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528EC" w:rsidRDefault="0064225F">
      <w:pPr>
        <w:spacing w:after="0" w:line="240" w:lineRule="auto"/>
        <w:ind w:left="1189" w:right="215" w:hanging="10"/>
        <w:jc w:val="center"/>
        <w:rPr>
          <w:rFonts w:ascii="Arial" w:eastAsia="Arial" w:hAnsi="Arial" w:cs="Arial"/>
          <w:sz w:val="24"/>
          <w:u w:val="single"/>
        </w:rPr>
      </w:pPr>
      <w:r>
        <w:rPr>
          <w:rFonts w:ascii="Arial" w:eastAsia="Arial" w:hAnsi="Arial" w:cs="Arial"/>
          <w:b/>
          <w:sz w:val="24"/>
          <w:u w:val="single"/>
        </w:rPr>
        <w:t>MUMBAI PORT AUTHORITY</w:t>
      </w:r>
    </w:p>
    <w:p w:rsidR="007528EC" w:rsidRDefault="0064225F">
      <w:pPr>
        <w:spacing w:after="0" w:line="240" w:lineRule="auto"/>
        <w:ind w:left="1189" w:right="215" w:hanging="10"/>
        <w:jc w:val="center"/>
        <w:rPr>
          <w:rFonts w:ascii="Arial" w:eastAsia="Arial" w:hAnsi="Arial" w:cs="Arial"/>
          <w:sz w:val="24"/>
          <w:u w:val="single"/>
        </w:rPr>
      </w:pPr>
      <w:r>
        <w:rPr>
          <w:rFonts w:ascii="Arial" w:eastAsia="Arial" w:hAnsi="Arial" w:cs="Arial"/>
          <w:b/>
          <w:sz w:val="24"/>
          <w:u w:val="single"/>
        </w:rPr>
        <w:t>ESTATE DIVISON</w:t>
      </w:r>
    </w:p>
    <w:p w:rsidR="007528EC" w:rsidRDefault="007528EC">
      <w:pPr>
        <w:spacing w:after="0" w:line="240" w:lineRule="auto"/>
        <w:ind w:left="1189" w:right="215" w:hanging="10"/>
        <w:jc w:val="center"/>
        <w:rPr>
          <w:rFonts w:ascii="Arial" w:eastAsia="Arial" w:hAnsi="Arial" w:cs="Arial"/>
          <w:sz w:val="24"/>
          <w:u w:val="single"/>
        </w:rPr>
      </w:pPr>
    </w:p>
    <w:p w:rsidR="007528EC" w:rsidRDefault="0064225F">
      <w:pPr>
        <w:spacing w:after="0" w:line="240" w:lineRule="auto"/>
        <w:ind w:left="1189" w:right="215" w:hanging="10"/>
        <w:jc w:val="center"/>
        <w:rPr>
          <w:rFonts w:ascii="Arial" w:eastAsia="Arial" w:hAnsi="Arial" w:cs="Arial"/>
          <w:sz w:val="24"/>
          <w:u w:val="single"/>
        </w:rPr>
      </w:pPr>
      <w:r>
        <w:tab/>
      </w:r>
      <w:r>
        <w:tab/>
      </w:r>
      <w:r>
        <w:tab/>
      </w:r>
      <w:r>
        <w:tab/>
      </w:r>
      <w:r>
        <w:tab/>
      </w:r>
      <w:r>
        <w:tab/>
      </w:r>
      <w:r>
        <w:tab/>
      </w:r>
      <w:r>
        <w:tab/>
      </w:r>
    </w:p>
    <w:p w:rsidR="007528EC" w:rsidRDefault="0064225F">
      <w:pPr>
        <w:spacing w:after="0" w:line="240" w:lineRule="auto"/>
        <w:ind w:left="1189" w:right="215" w:hanging="624"/>
        <w:jc w:val="both"/>
        <w:rPr>
          <w:rFonts w:ascii="Arial" w:eastAsia="Arial" w:hAnsi="Arial" w:cs="Arial"/>
          <w:sz w:val="24"/>
          <w:u w:val="single"/>
        </w:rPr>
      </w:pPr>
      <w:r>
        <w:rPr>
          <w:rFonts w:ascii="Arial" w:eastAsia="Arial" w:hAnsi="Arial" w:cs="Arial"/>
          <w:sz w:val="24"/>
        </w:rPr>
        <w:t xml:space="preserve">Sub: </w:t>
      </w:r>
      <w:r>
        <w:tab/>
      </w:r>
      <w:r>
        <w:rPr>
          <w:rFonts w:ascii="Arial" w:eastAsia="Arial" w:hAnsi="Arial" w:cs="Arial"/>
          <w:sz w:val="24"/>
          <w:u w:val="single"/>
        </w:rPr>
        <w:t>Sale of Transferable Development Rights (TDR) through open E-Tender cum E-Auction for Titwala Land.</w:t>
      </w:r>
    </w:p>
    <w:p w:rsidR="007528EC" w:rsidRDefault="007528EC">
      <w:pPr>
        <w:spacing w:after="0" w:line="240" w:lineRule="auto"/>
        <w:ind w:left="1189" w:right="215" w:hanging="10"/>
        <w:jc w:val="both"/>
        <w:rPr>
          <w:rFonts w:ascii="Arial" w:eastAsia="Arial" w:hAnsi="Arial" w:cs="Arial"/>
          <w:sz w:val="24"/>
          <w:u w:val="single"/>
        </w:rPr>
      </w:pPr>
    </w:p>
    <w:p w:rsidR="007528EC" w:rsidRDefault="0064225F">
      <w:pPr>
        <w:spacing w:after="0" w:line="240" w:lineRule="auto"/>
        <w:ind w:left="1189" w:right="215" w:hanging="10"/>
        <w:jc w:val="center"/>
        <w:rPr>
          <w:rFonts w:ascii="Arial" w:eastAsia="Arial" w:hAnsi="Arial" w:cs="Arial"/>
          <w:sz w:val="24"/>
          <w:u w:val="single"/>
        </w:rPr>
      </w:pPr>
      <w:r>
        <w:rPr>
          <w:rFonts w:ascii="Arial" w:eastAsia="Arial" w:hAnsi="Arial" w:cs="Arial"/>
          <w:b/>
          <w:sz w:val="24"/>
          <w:u w:val="single"/>
        </w:rPr>
        <w:t>LAND ALLOTMENT COMMITTEE REPORT</w:t>
      </w:r>
    </w:p>
    <w:p w:rsidR="007528EC" w:rsidRDefault="007528EC">
      <w:pPr>
        <w:spacing w:after="0" w:line="240" w:lineRule="auto"/>
        <w:ind w:left="1189" w:right="215" w:hanging="10"/>
        <w:jc w:val="both"/>
        <w:rPr>
          <w:rFonts w:ascii="Arial" w:eastAsia="Arial" w:hAnsi="Arial" w:cs="Arial"/>
          <w:color w:val="333333"/>
          <w:sz w:val="24"/>
        </w:rPr>
      </w:pPr>
    </w:p>
    <w:p w:rsidR="007528EC" w:rsidRDefault="0064225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120" w:line="240" w:lineRule="auto"/>
        <w:ind w:hanging="720"/>
        <w:jc w:val="both"/>
        <w:rPr>
          <w:rFonts w:ascii="Arial" w:eastAsia="Arial" w:hAnsi="Arial" w:cs="Arial"/>
          <w:color w:val="333333"/>
          <w:sz w:val="24"/>
          <w:u w:val="single"/>
        </w:rPr>
      </w:pPr>
      <w:r>
        <w:rPr>
          <w:rFonts w:ascii="Arial" w:eastAsia="Arial" w:hAnsi="Arial" w:cs="Arial"/>
          <w:b/>
          <w:color w:val="333333"/>
          <w:sz w:val="24"/>
          <w:u w:val="single"/>
        </w:rPr>
        <w:t xml:space="preserve">Background </w:t>
      </w:r>
    </w:p>
    <w:p w:rsidR="007528EC" w:rsidRDefault="0064225F">
      <w:pPr>
        <w:spacing w:after="0" w:line="264" w:lineRule="auto"/>
        <w:ind w:firstLine="720"/>
        <w:jc w:val="both"/>
        <w:rPr>
          <w:color w:val="000000"/>
        </w:rPr>
      </w:pPr>
      <w:r>
        <w:rPr>
          <w:rFonts w:ascii="Arial" w:eastAsia="Arial" w:hAnsi="Arial" w:cs="Arial"/>
          <w:sz w:val="24"/>
        </w:rPr>
        <w:t>Mumbai Port Authority (MbPA) owned a piece of land at Manda, Kalyan (Titwala) under the jurisdiction of KDMC (Kalyan Dombivli Municipal Corporation) bearing Survey No.21 and Survey No.166. After approval of MOPSW (Annexure-A), MbPA handed over land admeasuring 15260 sq.m. to KDMC for construction of a 30 m. w</w:t>
      </w:r>
      <w:r w:rsidR="005D5057">
        <w:rPr>
          <w:rFonts w:ascii="Arial" w:eastAsia="Arial" w:hAnsi="Arial" w:cs="Arial"/>
          <w:sz w:val="24"/>
        </w:rPr>
        <w:t>ide Ring Road</w:t>
      </w:r>
      <w:r>
        <w:rPr>
          <w:rFonts w:ascii="Arial" w:eastAsia="Arial" w:hAnsi="Arial" w:cs="Arial"/>
          <w:sz w:val="24"/>
        </w:rPr>
        <w:t>.</w:t>
      </w:r>
    </w:p>
    <w:p w:rsidR="007528EC" w:rsidRDefault="0064225F">
      <w:pPr>
        <w:spacing w:after="0" w:line="264" w:lineRule="auto"/>
        <w:ind w:firstLine="720"/>
        <w:jc w:val="both"/>
        <w:rPr>
          <w:rFonts w:ascii="Arial" w:eastAsia="Arial" w:hAnsi="Arial" w:cs="Arial"/>
          <w:color w:val="000000"/>
          <w:sz w:val="24"/>
        </w:rPr>
      </w:pPr>
      <w:r>
        <w:rPr>
          <w:rFonts w:ascii="Arial" w:eastAsia="Arial" w:hAnsi="Arial" w:cs="Arial"/>
          <w:sz w:val="24"/>
        </w:rPr>
        <w:t>KDMC, in lieu of the land, granted TDR (Transferable Development Rights) of 30520 sq.m. built-up area vide letter dated 25.05.2023, in accordance with the provisions of the Government Sanctioned UDCPR dated 2.12.2020. This TDR is equivalent to double of the land area handed over to KDMC, i.e., (15260 x 2) sq.m.</w:t>
      </w:r>
    </w:p>
    <w:p w:rsidR="007528EC" w:rsidRDefault="007528EC">
      <w:pPr>
        <w:spacing w:after="0" w:line="240" w:lineRule="auto"/>
        <w:ind w:firstLine="720"/>
        <w:jc w:val="both"/>
        <w:rPr>
          <w:rFonts w:ascii="Arial" w:eastAsia="Arial" w:hAnsi="Arial" w:cs="Arial"/>
          <w:sz w:val="24"/>
        </w:rPr>
      </w:pPr>
    </w:p>
    <w:p w:rsidR="007528EC" w:rsidRDefault="0064225F">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120" w:line="240" w:lineRule="auto"/>
        <w:ind w:hanging="720"/>
        <w:jc w:val="both"/>
        <w:rPr>
          <w:rFonts w:ascii="Arial" w:eastAsia="Arial" w:hAnsi="Arial" w:cs="Arial"/>
          <w:color w:val="000000"/>
          <w:sz w:val="24"/>
          <w:u w:val="single"/>
        </w:rPr>
      </w:pPr>
      <w:r>
        <w:rPr>
          <w:rFonts w:ascii="Arial" w:eastAsia="Arial" w:hAnsi="Arial" w:cs="Arial"/>
          <w:b/>
          <w:color w:val="000000"/>
          <w:sz w:val="24"/>
          <w:u w:val="single"/>
        </w:rPr>
        <w:t>Policy for Utilization and Transfer of Transferable Development Rights (TDR)</w:t>
      </w:r>
      <w:r>
        <w:rPr>
          <w:rFonts w:ascii="Carlito Regular" w:eastAsia="Carlito Regular" w:hAnsi="Carlito Regular" w:cs="Carlito Regular"/>
          <w:color w:val="000000"/>
        </w:rPr>
        <w:t xml:space="preserve"> </w:t>
      </w:r>
      <w:r>
        <w:rPr>
          <w:rFonts w:ascii="Arial" w:eastAsia="Arial" w:hAnsi="Arial" w:cs="Arial"/>
          <w:b/>
          <w:color w:val="000000"/>
          <w:sz w:val="24"/>
          <w:u w:val="single"/>
        </w:rPr>
        <w:t>Provisions:</w:t>
      </w:r>
    </w:p>
    <w:p w:rsidR="007528EC" w:rsidRDefault="0064225F">
      <w:pPr>
        <w:spacing w:after="120" w:line="240" w:lineRule="auto"/>
        <w:jc w:val="both"/>
        <w:rPr>
          <w:rFonts w:ascii="Arial" w:eastAsia="Arial" w:hAnsi="Arial" w:cs="Arial"/>
          <w:sz w:val="24"/>
        </w:rPr>
      </w:pPr>
      <w:r>
        <w:rPr>
          <w:rFonts w:ascii="Arial" w:eastAsia="Arial" w:hAnsi="Arial" w:cs="Arial"/>
          <w:b/>
          <w:sz w:val="24"/>
        </w:rPr>
        <w:t xml:space="preserve">2.1 </w:t>
      </w:r>
      <w:r>
        <w:tab/>
      </w:r>
      <w:r w:rsidR="0098227A">
        <w:rPr>
          <w:rFonts w:ascii="Arial" w:eastAsia="Arial" w:hAnsi="Arial" w:cs="Arial"/>
          <w:sz w:val="24"/>
        </w:rPr>
        <w:t xml:space="preserve">There is no policy </w:t>
      </w:r>
      <w:r>
        <w:rPr>
          <w:rFonts w:ascii="Arial" w:eastAsia="Arial" w:hAnsi="Arial" w:cs="Arial"/>
          <w:sz w:val="24"/>
        </w:rPr>
        <w:t>available with reference to managing and sale of TDR in MPA Act 2021 and PGLM-2015. In view of this, Civil Engineering Department had mooted proposal for approval of Board a Policy f</w:t>
      </w:r>
      <w:r>
        <w:rPr>
          <w:rFonts w:ascii="Arimo Regular" w:eastAsia="Arimo Regular" w:hAnsi="Arimo Regular" w:cs="Arimo Regular"/>
          <w:color w:val="000000"/>
          <w:sz w:val="24"/>
        </w:rPr>
        <w:t xml:space="preserve">or Utilization and Transfer of Transferable Development Rights (TDR) – Sale of TDR through Open Bidding Process, based on provisions of Government Sanctioned UDCPR dated 2.12.2020. </w:t>
      </w:r>
      <w:r>
        <w:rPr>
          <w:rFonts w:ascii="Arimo Regular" w:eastAsia="Arimo Regular" w:hAnsi="Arimo Regular" w:cs="Arimo Regular"/>
          <w:b/>
          <w:color w:val="000000"/>
          <w:sz w:val="24"/>
        </w:rPr>
        <w:t>Board vide resolution No. 173</w:t>
      </w:r>
      <w:r>
        <w:rPr>
          <w:rFonts w:ascii="Arimo Regular" w:eastAsia="Arimo Regular" w:hAnsi="Arimo Regular" w:cs="Arimo Regular"/>
          <w:color w:val="000000"/>
          <w:sz w:val="24"/>
        </w:rPr>
        <w:t xml:space="preserve"> dated 24.11.2023 (Annexure-B) has approved policy for Utilization and Transfer of Transferable Development Rights (TDR) with some corrections. The extract of the finally approved policy is at Annexure C.</w:t>
      </w:r>
    </w:p>
    <w:p w:rsidR="007528EC" w:rsidRDefault="007528EC">
      <w:pPr>
        <w:widowControl w:val="0"/>
        <w:spacing w:after="120" w:line="240" w:lineRule="auto"/>
        <w:jc w:val="both"/>
        <w:rPr>
          <w:rFonts w:ascii="Arimo Regular" w:eastAsia="Arimo Regular" w:hAnsi="Arimo Regular" w:cs="Arimo Regular"/>
          <w:color w:val="000000"/>
          <w:sz w:val="24"/>
        </w:rPr>
      </w:pPr>
    </w:p>
    <w:p w:rsidR="007528EC" w:rsidRDefault="0064225F">
      <w:pPr>
        <w:spacing w:after="120" w:line="240" w:lineRule="auto"/>
        <w:jc w:val="both"/>
        <w:rPr>
          <w:rFonts w:ascii="Arial" w:eastAsia="Arial" w:hAnsi="Arial" w:cs="Arial"/>
          <w:sz w:val="24"/>
        </w:rPr>
      </w:pPr>
      <w:r>
        <w:rPr>
          <w:rFonts w:ascii="Arial Regular" w:eastAsia="Arial Regular" w:hAnsi="Arial Regular" w:cs="Arial Regular"/>
          <w:b/>
          <w:color w:val="000000"/>
          <w:sz w:val="24"/>
        </w:rPr>
        <w:t>2.2   TDR Provisions as per Prevailing Development Control Regulations:</w:t>
      </w:r>
    </w:p>
    <w:p w:rsidR="007528EC" w:rsidRDefault="0064225F">
      <w:pPr>
        <w:pStyle w:val="ListParagraph"/>
        <w:numPr>
          <w:ilvl w:val="0"/>
          <w:numId w:val="8"/>
        </w:numPr>
        <w:spacing w:after="0" w:line="240" w:lineRule="auto"/>
        <w:jc w:val="both"/>
        <w:rPr>
          <w:rFonts w:ascii="Arial" w:eastAsia="Arial" w:hAnsi="Arial" w:cs="Arial"/>
          <w:b/>
          <w:sz w:val="24"/>
        </w:rPr>
      </w:pPr>
      <w:r>
        <w:rPr>
          <w:rFonts w:ascii="Arial Regular" w:eastAsia="Arial Regular" w:hAnsi="Arial Regular" w:cs="Arial Regular"/>
          <w:color w:val="000000"/>
          <w:sz w:val="24"/>
        </w:rPr>
        <w:t>Transferable Development Rights (TDR) is compensation given by the Planning Authority, in lieu of monetary compensation for transfer of land under the reservation to the Planning Authority. The TDR shall be in the form of Development Rights Certificate (DRC), which will clearly show the entitlement of Floor Space Index (FSI) or built-up area as Development Rights. The owner of the DRC can utilize the said built-up area on any other plot subject to provisions under prevailing development control regulations. The owner can transfer the TDR to any individual or any agencies</w:t>
      </w:r>
      <w:r>
        <w:rPr>
          <w:rFonts w:ascii="Arial Regular" w:eastAsia="Arial Regular" w:hAnsi="Arial Regular" w:cs="Arial Regular"/>
          <w:b/>
          <w:color w:val="000000"/>
          <w:sz w:val="24"/>
        </w:rPr>
        <w:t>.</w:t>
      </w:r>
    </w:p>
    <w:p w:rsidR="007528EC" w:rsidRDefault="0064225F">
      <w:pPr>
        <w:pStyle w:val="ListParagraph"/>
        <w:numPr>
          <w:ilvl w:val="0"/>
          <w:numId w:val="8"/>
        </w:numPr>
        <w:spacing w:after="0" w:line="240" w:lineRule="auto"/>
        <w:jc w:val="both"/>
        <w:rPr>
          <w:rFonts w:ascii="Arial" w:eastAsia="Arial" w:hAnsi="Arial" w:cs="Arial"/>
          <w:sz w:val="24"/>
        </w:rPr>
      </w:pPr>
      <w:r>
        <w:rPr>
          <w:rFonts w:ascii="Arial Regular" w:eastAsia="Arial Regular" w:hAnsi="Arial Regular" w:cs="Arial Regular"/>
          <w:color w:val="000000"/>
          <w:sz w:val="24"/>
        </w:rPr>
        <w:t>The DRC is transferable. The built-up area of the DRC can be transferred fully or partially depending on the requirements of the purchaser.</w:t>
      </w:r>
    </w:p>
    <w:p w:rsidR="007528EC" w:rsidRDefault="007528EC">
      <w:pPr>
        <w:pStyle w:val="ListParagraph"/>
        <w:spacing w:line="240" w:lineRule="auto"/>
        <w:jc w:val="both"/>
        <w:rPr>
          <w:rFonts w:ascii="Arial" w:eastAsia="Arial" w:hAnsi="Arial" w:cs="Arial"/>
          <w:sz w:val="24"/>
        </w:rPr>
      </w:pPr>
    </w:p>
    <w:p w:rsidR="007528EC" w:rsidRDefault="0064225F">
      <w:pPr>
        <w:pStyle w:val="ListParagraph"/>
        <w:numPr>
          <w:ilvl w:val="0"/>
          <w:numId w:val="8"/>
        </w:numPr>
        <w:spacing w:after="0" w:line="240" w:lineRule="auto"/>
        <w:jc w:val="both"/>
        <w:rPr>
          <w:rFonts w:ascii="Arial" w:eastAsia="Arial" w:hAnsi="Arial" w:cs="Arial"/>
          <w:sz w:val="24"/>
          <w:u w:val="single"/>
        </w:rPr>
      </w:pPr>
      <w:r>
        <w:rPr>
          <w:rFonts w:ascii="Arial Regular" w:eastAsia="Arial Regular" w:hAnsi="Arial Regular" w:cs="Arial Regular"/>
          <w:color w:val="000000"/>
          <w:sz w:val="24"/>
          <w:u w:val="single"/>
        </w:rPr>
        <w:t>TDR of Titwala land granted by KDMC:</w:t>
      </w:r>
    </w:p>
    <w:p w:rsidR="007528EC" w:rsidRDefault="0064225F">
      <w:pPr>
        <w:spacing w:after="0" w:line="240" w:lineRule="auto"/>
        <w:ind w:left="720"/>
        <w:jc w:val="both"/>
        <w:rPr>
          <w:rFonts w:ascii="Arial Regular" w:eastAsia="Arial Regular" w:hAnsi="Arial Regular" w:cs="Arial Regular"/>
          <w:color w:val="000000"/>
          <w:sz w:val="24"/>
        </w:rPr>
      </w:pPr>
      <w:r>
        <w:rPr>
          <w:rFonts w:ascii="Arial Regular" w:eastAsia="Arial Regular" w:hAnsi="Arial Regular" w:cs="Arial Regular"/>
          <w:color w:val="000000"/>
          <w:sz w:val="24"/>
        </w:rPr>
        <w:t xml:space="preserve">(i) Regulations for grant of Transferable Development Rights (TDR) within the limits of Kalyan Dombivli Municipal Corporation shall be as per the provisions of Government Sanctioned Unified Development Control &amp; Promotion Regulations (UDCPR) for Maharashtra State dated 2.12.2020. </w:t>
      </w:r>
    </w:p>
    <w:p w:rsidR="007528EC" w:rsidRDefault="0064225F">
      <w:pPr>
        <w:widowControl w:val="0"/>
        <w:spacing w:after="0" w:line="240" w:lineRule="auto"/>
        <w:ind w:left="720"/>
        <w:jc w:val="both"/>
        <w:rPr>
          <w:rFonts w:ascii="Arial Regular" w:eastAsia="Arial Regular" w:hAnsi="Arial Regular" w:cs="Arial Regular"/>
          <w:color w:val="000000"/>
          <w:sz w:val="24"/>
        </w:rPr>
      </w:pPr>
      <w:r>
        <w:rPr>
          <w:rFonts w:ascii="Arial Regular" w:eastAsia="Arial Regular" w:hAnsi="Arial Regular" w:cs="Arial Regular"/>
          <w:color w:val="000000"/>
          <w:sz w:val="24"/>
          <w:u w:val="single"/>
        </w:rPr>
        <w:lastRenderedPageBreak/>
        <w:t xml:space="preserve"> </w:t>
      </w:r>
    </w:p>
    <w:p w:rsidR="007528EC" w:rsidRDefault="0064225F">
      <w:pPr>
        <w:widowControl w:val="0"/>
        <w:spacing w:after="0" w:line="240" w:lineRule="auto"/>
        <w:ind w:left="720"/>
        <w:jc w:val="both"/>
        <w:rPr>
          <w:rFonts w:ascii="Arial Regular" w:eastAsia="Arial Regular" w:hAnsi="Arial Regular" w:cs="Arial Regular"/>
          <w:color w:val="000000"/>
          <w:sz w:val="24"/>
        </w:rPr>
      </w:pPr>
      <w:r>
        <w:rPr>
          <w:rFonts w:ascii="Arial Regular" w:eastAsia="Arial Regular" w:hAnsi="Arial Regular" w:cs="Arial Regular"/>
          <w:color w:val="000000"/>
          <w:sz w:val="24"/>
        </w:rPr>
        <w:t xml:space="preserve">(ii) </w:t>
      </w:r>
      <w:r>
        <w:rPr>
          <w:rFonts w:ascii="Arial Regular" w:eastAsia="Arial Regular" w:hAnsi="Arial Regular" w:cs="Arial Regular"/>
          <w:color w:val="000000"/>
          <w:sz w:val="24"/>
          <w:u w:val="single"/>
        </w:rPr>
        <w:t>Transfer of Development Right Certificate DRC:</w:t>
      </w:r>
    </w:p>
    <w:p w:rsidR="007528EC" w:rsidRDefault="0064225F">
      <w:pPr>
        <w:widowControl w:val="0"/>
        <w:spacing w:after="0" w:line="240" w:lineRule="auto"/>
        <w:ind w:left="720"/>
        <w:jc w:val="both"/>
        <w:rPr>
          <w:rFonts w:ascii="Arial Regular" w:eastAsia="Arial Regular" w:hAnsi="Arial Regular" w:cs="Arial Regular"/>
          <w:color w:val="000000"/>
          <w:sz w:val="24"/>
        </w:rPr>
      </w:pPr>
      <w:r>
        <w:rPr>
          <w:rFonts w:ascii="Arial Regular" w:eastAsia="Arial Regular" w:hAnsi="Arial Regular" w:cs="Arial Regular"/>
          <w:color w:val="000000"/>
          <w:sz w:val="24"/>
        </w:rPr>
        <w:t>As per Regulation 11.2.10 of UDCPR, if a holder of DRC intends to transfer it to any other person, he shall submit the original DRC to the Authority with an application along with relevant documents as may be prescribed by the Authority and a registered agreement which is duly signed by Transferor and Transferee, for seeking endorsement of the new holders name, i.e., the transferee, on the said certificate. The transfer shall not be valid without endorsement by the Authority and in such circumstances the Certificate shall be available for use only to the holder/ transferor. The utilisation of TDR from</w:t>
      </w:r>
      <w:r w:rsidR="001C32FF">
        <w:rPr>
          <w:rFonts w:ascii="Arial Regular" w:eastAsia="Arial Regular" w:hAnsi="Arial Regular" w:cs="Arial Regular"/>
          <w:color w:val="000000"/>
          <w:sz w:val="24"/>
        </w:rPr>
        <w:t xml:space="preserve"> </w:t>
      </w:r>
      <w:bookmarkStart w:id="0" w:name="_GoBack"/>
      <w:bookmarkEnd w:id="0"/>
      <w:r>
        <w:rPr>
          <w:rFonts w:ascii="Arial Regular" w:eastAsia="Arial Regular" w:hAnsi="Arial Regular" w:cs="Arial Regular"/>
          <w:color w:val="000000"/>
          <w:sz w:val="24"/>
        </w:rPr>
        <w:t>such certificate shall not be permissible during transfer procedure.</w:t>
      </w:r>
    </w:p>
    <w:p w:rsidR="007528EC" w:rsidRDefault="007528EC">
      <w:pPr>
        <w:widowControl w:val="0"/>
        <w:spacing w:after="0" w:line="240" w:lineRule="auto"/>
        <w:ind w:left="720"/>
        <w:jc w:val="both"/>
        <w:rPr>
          <w:rFonts w:ascii="Arial Regular" w:eastAsia="Arial Regular" w:hAnsi="Arial Regular" w:cs="Arial Regular"/>
          <w:color w:val="000000"/>
          <w:sz w:val="24"/>
        </w:rPr>
      </w:pPr>
    </w:p>
    <w:p w:rsidR="007528EC" w:rsidRDefault="007528EC">
      <w:pPr>
        <w:widowControl w:val="0"/>
        <w:spacing w:after="0" w:line="240" w:lineRule="auto"/>
        <w:ind w:left="720"/>
        <w:jc w:val="both"/>
        <w:rPr>
          <w:rFonts w:ascii="Arial Regular" w:eastAsia="Arial Regular" w:hAnsi="Arial Regular" w:cs="Arial Regular"/>
          <w:color w:val="000000"/>
          <w:sz w:val="24"/>
        </w:rPr>
      </w:pPr>
    </w:p>
    <w:p w:rsidR="007528EC" w:rsidRDefault="0064225F">
      <w:pPr>
        <w:spacing w:after="0" w:line="240" w:lineRule="auto"/>
        <w:jc w:val="both"/>
        <w:rPr>
          <w:rFonts w:ascii="Arial" w:eastAsia="Arial" w:hAnsi="Arial" w:cs="Arial"/>
          <w:b/>
          <w:sz w:val="24"/>
        </w:rPr>
      </w:pPr>
      <w:r>
        <w:rPr>
          <w:rFonts w:ascii="Arial" w:eastAsia="Arial" w:hAnsi="Arial" w:cs="Arial"/>
          <w:b/>
          <w:sz w:val="24"/>
        </w:rPr>
        <w:t xml:space="preserve">    3.</w:t>
      </w:r>
      <w:r>
        <w:tab/>
      </w:r>
      <w:r>
        <w:rPr>
          <w:rFonts w:ascii="Arial" w:eastAsia="Arial" w:hAnsi="Arial" w:cs="Arial"/>
          <w:b/>
          <w:sz w:val="24"/>
        </w:rPr>
        <w:t xml:space="preserve">  </w:t>
      </w:r>
      <w:r>
        <w:rPr>
          <w:rFonts w:ascii="Arial" w:eastAsia="Arial" w:hAnsi="Arial" w:cs="Arial"/>
          <w:b/>
          <w:sz w:val="24"/>
          <w:u w:val="single"/>
        </w:rPr>
        <w:t>Proposal</w:t>
      </w:r>
      <w:r>
        <w:rPr>
          <w:rFonts w:ascii="Arial" w:eastAsia="Arial" w:hAnsi="Arial" w:cs="Arial"/>
          <w:b/>
          <w:sz w:val="24"/>
        </w:rPr>
        <w:t xml:space="preserve"> :-</w:t>
      </w:r>
    </w:p>
    <w:p w:rsidR="007528EC" w:rsidRDefault="007528EC">
      <w:pPr>
        <w:spacing w:after="0" w:line="240" w:lineRule="auto"/>
        <w:jc w:val="both"/>
        <w:rPr>
          <w:rFonts w:ascii="Arial" w:eastAsia="Arial" w:hAnsi="Arial" w:cs="Arial"/>
          <w:sz w:val="16"/>
        </w:rPr>
      </w:pPr>
    </w:p>
    <w:p w:rsidR="007528EC" w:rsidRDefault="0064225F">
      <w:pPr>
        <w:spacing w:after="0" w:line="240" w:lineRule="auto"/>
        <w:ind w:left="720" w:hanging="720"/>
        <w:jc w:val="both"/>
        <w:rPr>
          <w:rFonts w:ascii="Arial" w:eastAsia="Arial" w:hAnsi="Arial" w:cs="Arial"/>
          <w:sz w:val="24"/>
        </w:rPr>
      </w:pPr>
      <w:r>
        <w:rPr>
          <w:rFonts w:ascii="Arial" w:eastAsia="Arial" w:hAnsi="Arial" w:cs="Arial"/>
          <w:sz w:val="24"/>
        </w:rPr>
        <w:t xml:space="preserve"> 3.1     As per the Board approved Policy at Annexure- C,  while deciding the base price, data shall be collected at least for 3 instances from the concerned Planning Authority about the sale of TDR and accordingly the base rate shall be decided. In each instance, the base price shall be approved by the Land Allotment Committee (LAC). </w:t>
      </w:r>
    </w:p>
    <w:p w:rsidR="007528EC" w:rsidRDefault="0064225F">
      <w:pPr>
        <w:spacing w:after="0" w:line="240" w:lineRule="auto"/>
        <w:ind w:left="720" w:hanging="720"/>
        <w:jc w:val="both"/>
        <w:rPr>
          <w:rFonts w:ascii="Arial" w:eastAsia="Arial" w:hAnsi="Arial" w:cs="Arial"/>
          <w:sz w:val="24"/>
        </w:rPr>
      </w:pPr>
      <w:r>
        <w:rPr>
          <w:rFonts w:ascii="Arial" w:eastAsia="Arial" w:hAnsi="Arial" w:cs="Arial"/>
          <w:sz w:val="24"/>
        </w:rPr>
        <w:t xml:space="preserve">3.2      Accordingly to fulfil the above clause, Estate Division had appointed a Govt. approved valuer who had been provided with details TDR </w:t>
      </w:r>
      <w:r w:rsidR="00774E85">
        <w:rPr>
          <w:rFonts w:ascii="Arial" w:eastAsia="Arial" w:hAnsi="Arial" w:cs="Arial"/>
          <w:sz w:val="24"/>
        </w:rPr>
        <w:t>Development Right</w:t>
      </w:r>
      <w:r>
        <w:rPr>
          <w:rFonts w:ascii="Arial" w:eastAsia="Arial" w:hAnsi="Arial" w:cs="Arial"/>
          <w:sz w:val="24"/>
        </w:rPr>
        <w:t xml:space="preserve"> Certificate issued by KDMC along with details of the plot and requested to inform the  size of the sale of TDR and Base price of the TDR based on the last 3 instances available with the concerned Planning Authority. The valuer's report is at Annexure</w:t>
      </w:r>
      <w:r w:rsidR="00774E85">
        <w:rPr>
          <w:rFonts w:ascii="Arial" w:eastAsia="Arial" w:hAnsi="Arial" w:cs="Arial"/>
          <w:sz w:val="24"/>
        </w:rPr>
        <w:t xml:space="preserve"> </w:t>
      </w:r>
      <w:r>
        <w:rPr>
          <w:rFonts w:ascii="Arial" w:eastAsia="Arial" w:hAnsi="Arial" w:cs="Arial"/>
          <w:sz w:val="24"/>
        </w:rPr>
        <w:t>-</w:t>
      </w:r>
      <w:r w:rsidR="00774E85">
        <w:rPr>
          <w:rFonts w:ascii="Arial" w:eastAsia="Arial" w:hAnsi="Arial" w:cs="Arial"/>
          <w:sz w:val="24"/>
        </w:rPr>
        <w:t xml:space="preserve"> </w:t>
      </w:r>
      <w:r>
        <w:rPr>
          <w:rFonts w:ascii="Arial" w:eastAsia="Arial" w:hAnsi="Arial" w:cs="Arial"/>
          <w:sz w:val="24"/>
        </w:rPr>
        <w:t>E.</w:t>
      </w:r>
    </w:p>
    <w:p w:rsidR="007528EC" w:rsidRDefault="0064225F">
      <w:pPr>
        <w:widowControl w:val="0"/>
        <w:spacing w:after="0" w:line="240" w:lineRule="auto"/>
        <w:ind w:left="720" w:hanging="720"/>
        <w:jc w:val="both"/>
        <w:rPr>
          <w:rFonts w:ascii="Arial" w:eastAsia="Arial" w:hAnsi="Arial" w:cs="Arial"/>
          <w:sz w:val="24"/>
        </w:rPr>
      </w:pPr>
      <w:r>
        <w:rPr>
          <w:rFonts w:ascii="Arial" w:eastAsia="Arial" w:hAnsi="Arial" w:cs="Arial"/>
          <w:sz w:val="24"/>
        </w:rPr>
        <w:t>3.3      Tender to be prepared based on the terms and condition and formats given in Broad approved Policy for sale of TDR.</w:t>
      </w: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u w:val="single"/>
        </w:rPr>
      </w:pPr>
    </w:p>
    <w:p w:rsidR="007528EC" w:rsidRDefault="0064225F">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hanging="720"/>
        <w:jc w:val="both"/>
        <w:rPr>
          <w:rFonts w:ascii="Arial" w:eastAsia="Arial" w:hAnsi="Arial" w:cs="Arial"/>
          <w:b/>
          <w:color w:val="000000"/>
          <w:sz w:val="24"/>
          <w:u w:val="single"/>
        </w:rPr>
      </w:pPr>
      <w:r>
        <w:rPr>
          <w:rFonts w:ascii="Arial" w:eastAsia="Arial" w:hAnsi="Arial" w:cs="Arial"/>
          <w:b/>
          <w:color w:val="000000"/>
          <w:sz w:val="24"/>
          <w:u w:val="single"/>
        </w:rPr>
        <w:t>Details of TDR</w:t>
      </w:r>
      <w:r>
        <w:rPr>
          <w:rFonts w:ascii="Arial" w:eastAsia="Arial" w:hAnsi="Arial" w:cs="Arial"/>
          <w:b/>
          <w:color w:val="000000"/>
          <w:sz w:val="24"/>
        </w:rPr>
        <w:t xml:space="preserve"> :</w:t>
      </w:r>
    </w:p>
    <w:p w:rsidR="007528EC" w:rsidRDefault="007528EC">
      <w:pPr>
        <w:pStyle w:val="ListParagraph"/>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Arial" w:hAnsi="Arial" w:cs="Arial"/>
          <w:b/>
          <w:color w:val="000000"/>
          <w:sz w:val="24"/>
          <w:u w:val="single"/>
        </w:rPr>
      </w:pPr>
    </w:p>
    <w:tbl>
      <w:tblPr>
        <w:tblStyle w:val="a"/>
        <w:tblW w:w="791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600" w:firstRow="0" w:lastRow="0" w:firstColumn="0" w:lastColumn="0" w:noHBand="1" w:noVBand="1"/>
      </w:tblPr>
      <w:tblGrid>
        <w:gridCol w:w="619"/>
        <w:gridCol w:w="1666"/>
        <w:gridCol w:w="5625"/>
      </w:tblGrid>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TDR Issuing Planning Authority</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Kalyan Dombivili Municipal Corporation (KDMC)</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2.</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98227A">
            <w:pPr>
              <w:spacing w:after="0"/>
              <w:ind w:right="-108"/>
              <w:rPr>
                <w:rFonts w:ascii="Arial" w:eastAsia="Arial" w:hAnsi="Arial" w:cs="Arial"/>
                <w:sz w:val="24"/>
              </w:rPr>
            </w:pPr>
            <w:r>
              <w:rPr>
                <w:rFonts w:ascii="Arial" w:eastAsia="Arial" w:hAnsi="Arial" w:cs="Arial"/>
                <w:sz w:val="24"/>
              </w:rPr>
              <w:t>Location and</w:t>
            </w:r>
            <w:r w:rsidR="0064225F">
              <w:rPr>
                <w:rFonts w:ascii="Arial" w:eastAsia="Arial" w:hAnsi="Arial" w:cs="Arial"/>
                <w:sz w:val="24"/>
              </w:rPr>
              <w:t xml:space="preserve"> details of Plot </w:t>
            </w:r>
            <w:r>
              <w:rPr>
                <w:rFonts w:ascii="Arial" w:eastAsia="Arial" w:hAnsi="Arial" w:cs="Arial"/>
                <w:sz w:val="24"/>
              </w:rPr>
              <w:t>surrendered</w:t>
            </w:r>
            <w:r w:rsidR="0064225F">
              <w:rPr>
                <w:rFonts w:ascii="Arial" w:eastAsia="Arial" w:hAnsi="Arial" w:cs="Arial"/>
                <w:sz w:val="24"/>
              </w:rPr>
              <w:t xml:space="preserve">  against TDR</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Village : Manda</w:t>
            </w:r>
          </w:p>
          <w:p w:rsidR="007528EC" w:rsidRDefault="0098227A">
            <w:pPr>
              <w:widowControl w:val="0"/>
              <w:spacing w:after="0"/>
              <w:rPr>
                <w:rFonts w:ascii="Arial" w:eastAsia="Arial" w:hAnsi="Arial" w:cs="Arial"/>
                <w:sz w:val="24"/>
              </w:rPr>
            </w:pPr>
            <w:r>
              <w:rPr>
                <w:rFonts w:ascii="Arial" w:eastAsia="Arial" w:hAnsi="Arial" w:cs="Arial"/>
                <w:sz w:val="24"/>
              </w:rPr>
              <w:t>Survey</w:t>
            </w:r>
            <w:r w:rsidR="0064225F">
              <w:rPr>
                <w:rFonts w:ascii="Arial" w:eastAsia="Arial" w:hAnsi="Arial" w:cs="Arial"/>
                <w:sz w:val="24"/>
              </w:rPr>
              <w:t xml:space="preserve"> No. 21 (P) and Survey No. 166 (P) </w:t>
            </w:r>
          </w:p>
          <w:p w:rsidR="007528EC" w:rsidRDefault="0064225F">
            <w:pPr>
              <w:widowControl w:val="0"/>
              <w:spacing w:after="0"/>
              <w:rPr>
                <w:rFonts w:ascii="Arial" w:eastAsia="Arial" w:hAnsi="Arial" w:cs="Arial"/>
                <w:sz w:val="24"/>
              </w:rPr>
            </w:pPr>
            <w:r>
              <w:rPr>
                <w:rFonts w:ascii="Arial" w:eastAsia="Arial" w:hAnsi="Arial" w:cs="Arial"/>
                <w:sz w:val="24"/>
              </w:rPr>
              <w:t>Zone: Residential</w:t>
            </w:r>
          </w:p>
          <w:p w:rsidR="007528EC" w:rsidRDefault="0064225F">
            <w:pPr>
              <w:widowControl w:val="0"/>
              <w:spacing w:after="0"/>
              <w:rPr>
                <w:rFonts w:ascii="Arial" w:eastAsia="Arial" w:hAnsi="Arial" w:cs="Arial"/>
                <w:sz w:val="24"/>
              </w:rPr>
            </w:pPr>
            <w:r>
              <w:rPr>
                <w:rFonts w:ascii="Arial" w:eastAsia="Arial" w:hAnsi="Arial" w:cs="Arial"/>
                <w:sz w:val="24"/>
              </w:rPr>
              <w:t>Reservation of Land surrendered: 30.00 mt. wide Ring (Rout) Road.</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3.</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 xml:space="preserve">Area of Plot </w:t>
            </w:r>
            <w:r w:rsidR="0098227A">
              <w:rPr>
                <w:rFonts w:ascii="Arial" w:eastAsia="Arial" w:hAnsi="Arial" w:cs="Arial"/>
                <w:sz w:val="24"/>
              </w:rPr>
              <w:t>surrendered</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15260 sq.mt.</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4.</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Details of DRC</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Folio No.: K-5-299</w:t>
            </w:r>
          </w:p>
          <w:p w:rsidR="007528EC" w:rsidRDefault="0064225F">
            <w:pPr>
              <w:widowControl w:val="0"/>
              <w:spacing w:after="0"/>
              <w:rPr>
                <w:rFonts w:ascii="Arial" w:eastAsia="Arial" w:hAnsi="Arial" w:cs="Arial"/>
                <w:sz w:val="24"/>
              </w:rPr>
            </w:pPr>
            <w:r>
              <w:rPr>
                <w:rFonts w:ascii="Arial" w:eastAsia="Arial" w:hAnsi="Arial" w:cs="Arial"/>
                <w:sz w:val="24"/>
              </w:rPr>
              <w:t>Certificate No. 882  (Annexure - F)</w:t>
            </w:r>
          </w:p>
          <w:p w:rsidR="007528EC" w:rsidRDefault="0064225F">
            <w:pPr>
              <w:widowControl w:val="0"/>
              <w:spacing w:after="0"/>
              <w:rPr>
                <w:rFonts w:ascii="Arial" w:eastAsia="Arial" w:hAnsi="Arial" w:cs="Arial"/>
                <w:sz w:val="24"/>
              </w:rPr>
            </w:pPr>
            <w:r>
              <w:rPr>
                <w:rFonts w:ascii="Arial" w:eastAsia="Arial" w:hAnsi="Arial" w:cs="Arial"/>
                <w:sz w:val="24"/>
              </w:rPr>
              <w:t>Name of the DRC Holder : Chairman, Mumbai Port Authority</w:t>
            </w:r>
          </w:p>
          <w:p w:rsidR="007528EC" w:rsidRDefault="0064225F">
            <w:pPr>
              <w:widowControl w:val="0"/>
              <w:spacing w:after="0"/>
              <w:rPr>
                <w:rFonts w:ascii="Arial" w:eastAsia="Arial" w:hAnsi="Arial" w:cs="Arial"/>
                <w:sz w:val="24"/>
              </w:rPr>
            </w:pPr>
            <w:r>
              <w:rPr>
                <w:rFonts w:ascii="Arial" w:eastAsia="Arial" w:hAnsi="Arial" w:cs="Arial"/>
                <w:sz w:val="24"/>
              </w:rPr>
              <w:t>Issued by Letter No.: KDMC/RV/HVH/1069 dated 25/05/2023</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5.</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 xml:space="preserve">FSI Credit of Built-Up area: </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30520 sq.mt. (15260 * 2)</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lastRenderedPageBreak/>
              <w:t>6.</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Transfer Methodology</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 xml:space="preserve">Sale by open </w:t>
            </w:r>
            <w:r w:rsidR="0098227A">
              <w:rPr>
                <w:rFonts w:ascii="Arial" w:eastAsia="Arial" w:hAnsi="Arial" w:cs="Arial"/>
                <w:sz w:val="24"/>
              </w:rPr>
              <w:t>bidding</w:t>
            </w:r>
            <w:r>
              <w:rPr>
                <w:rFonts w:ascii="Arial" w:eastAsia="Arial" w:hAnsi="Arial" w:cs="Arial"/>
                <w:sz w:val="24"/>
              </w:rPr>
              <w:t xml:space="preserve"> process through e-auction.</w:t>
            </w:r>
          </w:p>
          <w:p w:rsidR="007528EC" w:rsidRPr="00774E85" w:rsidRDefault="007528EC">
            <w:pPr>
              <w:spacing w:after="0"/>
              <w:rPr>
                <w:rFonts w:ascii="Arial" w:eastAsia="Arial" w:hAnsi="Arial" w:cs="Arial"/>
                <w:sz w:val="24"/>
              </w:rPr>
            </w:pPr>
          </w:p>
          <w:p w:rsidR="007528EC" w:rsidRDefault="0064225F">
            <w:pPr>
              <w:spacing w:after="0"/>
              <w:rPr>
                <w:rFonts w:ascii="Arial" w:eastAsia="Arial" w:hAnsi="Arial" w:cs="Arial"/>
                <w:sz w:val="24"/>
              </w:rPr>
            </w:pPr>
            <w:r w:rsidRPr="00774E85">
              <w:rPr>
                <w:rFonts w:ascii="Arial" w:eastAsia="Arial" w:hAnsi="Arial" w:cs="Arial"/>
                <w:sz w:val="24"/>
              </w:rPr>
              <w:t>After selection of successful bidder and receipt of payment in full, the original DRC will be submitted to the Authority with an application along with relevant documents as may be prescribed by the Authority and a registered agreement which is duly signed by Transferor and Transferee, for seeking endorsement of the new holders name, i.e., the transferee, on the said certificate</w:t>
            </w:r>
            <w:r>
              <w:rPr>
                <w:rFonts w:ascii="Arial" w:eastAsia="Arial" w:hAnsi="Arial" w:cs="Arial"/>
                <w:sz w:val="24"/>
              </w:rPr>
              <w:t xml:space="preserve"> for sold quantity of FSI/BUA</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7.</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 xml:space="preserve">Base Rate : </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line="264" w:lineRule="auto"/>
              <w:rPr>
                <w:color w:val="000000"/>
              </w:rPr>
            </w:pPr>
            <w:r>
              <w:rPr>
                <w:rFonts w:ascii="Arial" w:eastAsia="Arial" w:hAnsi="Arial" w:cs="Arial"/>
                <w:sz w:val="24"/>
              </w:rPr>
              <w:t>While suggesting Base rate, Valuer has remarked "Considering costs, efforts and time involved of MbPA for sale of TDR and the net amount realizable per sq. m. Only MbPA finance department [ with available data with the department] can come up with a suggestion for acceptable rate and minimum quantity based on response to the tender, each time whenever tender is floated, this net amount per sq. m. may change based on the response to optimize/maximize sale proceeds.</w:t>
            </w:r>
          </w:p>
          <w:p w:rsidR="007528EC" w:rsidRDefault="0064225F">
            <w:pPr>
              <w:spacing w:line="264" w:lineRule="auto"/>
              <w:rPr>
                <w:rFonts w:ascii="Arial" w:eastAsia="Arial" w:hAnsi="Arial" w:cs="Arial"/>
                <w:color w:val="000000"/>
                <w:sz w:val="24"/>
              </w:rPr>
            </w:pPr>
            <w:r>
              <w:rPr>
                <w:rFonts w:ascii="Arial" w:eastAsia="Arial" w:hAnsi="Arial" w:cs="Arial"/>
                <w:color w:val="000000"/>
                <w:sz w:val="24"/>
              </w:rPr>
              <w:t xml:space="preserve">Presently, ASR for the open land of </w:t>
            </w:r>
            <w:r w:rsidR="0098227A">
              <w:rPr>
                <w:rFonts w:ascii="Arial" w:eastAsia="Arial" w:hAnsi="Arial" w:cs="Arial"/>
                <w:color w:val="000000"/>
                <w:sz w:val="24"/>
              </w:rPr>
              <w:t>originating</w:t>
            </w:r>
            <w:r>
              <w:rPr>
                <w:rFonts w:ascii="Arial" w:eastAsia="Arial" w:hAnsi="Arial" w:cs="Arial"/>
                <w:color w:val="000000"/>
                <w:sz w:val="24"/>
              </w:rPr>
              <w:t xml:space="preserve"> TDR is </w:t>
            </w:r>
            <w:r w:rsidR="0098227A" w:rsidRPr="0098227A">
              <w:rPr>
                <w:rFonts w:ascii="Arial" w:eastAsia="Arial" w:hAnsi="Arial" w:cs="Arial"/>
                <w:color w:val="000000"/>
                <w:sz w:val="24"/>
              </w:rPr>
              <w:t>₹</w:t>
            </w:r>
            <w:r w:rsidR="0098227A">
              <w:rPr>
                <w:rFonts w:ascii="Arial" w:eastAsia="Arial" w:hAnsi="Arial" w:cs="Arial"/>
                <w:color w:val="000000"/>
                <w:sz w:val="24"/>
              </w:rPr>
              <w:t xml:space="preserve"> </w:t>
            </w:r>
            <w:r>
              <w:rPr>
                <w:rFonts w:ascii="Arial" w:eastAsia="Arial" w:hAnsi="Arial" w:cs="Arial"/>
                <w:color w:val="000000"/>
                <w:sz w:val="24"/>
              </w:rPr>
              <w:t>11,300/- per sqm, and same rate was prevailing at time of making valuation report.</w:t>
            </w:r>
          </w:p>
          <w:p w:rsidR="007528EC" w:rsidRDefault="0064225F">
            <w:pPr>
              <w:spacing w:after="0"/>
              <w:rPr>
                <w:rFonts w:ascii="Arial" w:eastAsia="Arial" w:hAnsi="Arial" w:cs="Arial"/>
                <w:sz w:val="24"/>
              </w:rPr>
            </w:pPr>
            <w:r>
              <w:rPr>
                <w:rFonts w:ascii="Arial" w:eastAsia="Arial" w:hAnsi="Arial" w:cs="Arial"/>
                <w:sz w:val="24"/>
              </w:rPr>
              <w:t xml:space="preserve">Valuer has stated that rate for TDR keeps fluctuating virtually daily and in the past 1 year it has transacted between 35% to 52% of Govt. RRV of </w:t>
            </w:r>
            <w:r w:rsidR="0098227A">
              <w:rPr>
                <w:rFonts w:ascii="Arial" w:eastAsia="Arial" w:hAnsi="Arial" w:cs="Arial"/>
                <w:sz w:val="24"/>
              </w:rPr>
              <w:t>originating</w:t>
            </w:r>
            <w:r>
              <w:rPr>
                <w:rFonts w:ascii="Arial" w:eastAsia="Arial" w:hAnsi="Arial" w:cs="Arial"/>
                <w:sz w:val="24"/>
              </w:rPr>
              <w:t xml:space="preserve"> land. </w:t>
            </w:r>
            <w:r>
              <w:rPr>
                <w:rFonts w:ascii="Arimo Regular" w:eastAsia="Arimo Regular" w:hAnsi="Arimo Regular" w:cs="Arimo Regular"/>
                <w:color w:val="000000"/>
                <w:sz w:val="24"/>
              </w:rPr>
              <w:t xml:space="preserve">In the opinion of a Valuer, </w:t>
            </w:r>
            <w:r>
              <w:rPr>
                <w:rFonts w:ascii="Arial" w:eastAsia="Arial" w:hAnsi="Arial" w:cs="Arial"/>
                <w:sz w:val="24"/>
              </w:rPr>
              <w:t xml:space="preserve">the range should be </w:t>
            </w:r>
            <w:r w:rsidR="0098227A" w:rsidRPr="0098227A">
              <w:rPr>
                <w:rFonts w:ascii="Arial" w:eastAsia="Arial" w:hAnsi="Arial" w:cs="Arial"/>
                <w:b/>
                <w:sz w:val="24"/>
              </w:rPr>
              <w:t>₹</w:t>
            </w:r>
            <w:r>
              <w:rPr>
                <w:rFonts w:ascii="Arial" w:eastAsia="Arial" w:hAnsi="Arial" w:cs="Arial"/>
                <w:b/>
                <w:sz w:val="24"/>
              </w:rPr>
              <w:t xml:space="preserve"> 3900/- per sqm to </w:t>
            </w:r>
            <w:r w:rsidR="0098227A" w:rsidRPr="0098227A">
              <w:rPr>
                <w:rFonts w:ascii="Arial" w:eastAsia="Arial" w:hAnsi="Arial" w:cs="Arial"/>
                <w:b/>
                <w:sz w:val="24"/>
              </w:rPr>
              <w:t>₹</w:t>
            </w:r>
            <w:r>
              <w:rPr>
                <w:rFonts w:ascii="Arial" w:eastAsia="Arial" w:hAnsi="Arial" w:cs="Arial"/>
                <w:b/>
                <w:sz w:val="24"/>
              </w:rPr>
              <w:t xml:space="preserve"> 5900/- per sqm.</w:t>
            </w:r>
            <w:r>
              <w:rPr>
                <w:rFonts w:ascii="Arial" w:eastAsia="Arial" w:hAnsi="Arial" w:cs="Arial"/>
                <w:sz w:val="24"/>
              </w:rPr>
              <w:t xml:space="preserve"> for FY 2025-2026</w:t>
            </w:r>
            <w:r>
              <w:rPr>
                <w:rFonts w:ascii="Arial" w:eastAsia="Arial" w:hAnsi="Arial" w:cs="Arial"/>
                <w:b/>
                <w:sz w:val="24"/>
              </w:rPr>
              <w:t xml:space="preserve">. </w:t>
            </w:r>
          </w:p>
          <w:p w:rsidR="007528EC" w:rsidRDefault="007528EC">
            <w:pPr>
              <w:widowControl w:val="0"/>
              <w:spacing w:after="0"/>
              <w:rPr>
                <w:rFonts w:ascii="Arial Regular" w:eastAsia="Arial Regular" w:hAnsi="Arial Regular" w:cs="Arial Regular"/>
                <w:color w:val="000000"/>
                <w:sz w:val="24"/>
              </w:rPr>
            </w:pPr>
          </w:p>
          <w:p w:rsidR="007528EC" w:rsidRDefault="007528EC">
            <w:pPr>
              <w:widowControl w:val="0"/>
              <w:spacing w:after="0"/>
              <w:rPr>
                <w:rFonts w:ascii="Arial" w:eastAsia="Arial" w:hAnsi="Arial" w:cs="Arial"/>
                <w:color w:val="FF0000"/>
                <w:sz w:val="24"/>
              </w:rPr>
            </w:pP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8.</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widowControl w:val="0"/>
              <w:pBdr>
                <w:top w:val="none" w:sz="0" w:space="0" w:color="000000"/>
                <w:left w:val="none" w:sz="0" w:space="0" w:color="000000"/>
                <w:bottom w:val="none" w:sz="0" w:space="0" w:color="000000"/>
                <w:right w:val="none" w:sz="0" w:space="0" w:color="000000"/>
                <w:between w:val="none" w:sz="0" w:space="0" w:color="000000"/>
              </w:pBdr>
              <w:spacing w:after="0" w:line="275" w:lineRule="auto"/>
              <w:jc w:val="both"/>
              <w:rPr>
                <w:rFonts w:ascii="Arial" w:eastAsia="Arial" w:hAnsi="Arial" w:cs="Arial"/>
                <w:color w:val="000000"/>
                <w:sz w:val="24"/>
              </w:rPr>
            </w:pPr>
            <w:r>
              <w:rPr>
                <w:rFonts w:ascii="Arial" w:eastAsia="Arial" w:hAnsi="Arial" w:cs="Arial"/>
                <w:color w:val="000000"/>
                <w:sz w:val="24"/>
              </w:rPr>
              <w:t>Market Assessment by Valuer</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rsidP="0098227A">
            <w:pPr>
              <w:widowControl w:val="0"/>
              <w:spacing w:after="0"/>
              <w:rPr>
                <w:rFonts w:ascii="Arial" w:eastAsia="Arial" w:hAnsi="Arial" w:cs="Arial"/>
                <w:sz w:val="24"/>
              </w:rPr>
            </w:pPr>
            <w:r>
              <w:rPr>
                <w:rFonts w:ascii="Arimo Regular" w:eastAsia="Arimo Regular" w:hAnsi="Arimo Regular" w:cs="Arimo Regular"/>
                <w:sz w:val="24"/>
              </w:rPr>
              <w:t xml:space="preserve">Valuer has remarked " It is safe to assume that at lowest rate MbPA may get </w:t>
            </w:r>
            <w:r w:rsidR="0098227A" w:rsidRPr="0098227A">
              <w:rPr>
                <w:rFonts w:ascii="Arimo Regular" w:eastAsia="Arimo Regular" w:hAnsi="Arimo Regular" w:cs="Arimo Regular"/>
                <w:sz w:val="24"/>
              </w:rPr>
              <w:t>₹</w:t>
            </w:r>
            <w:r>
              <w:rPr>
                <w:rFonts w:ascii="Arimo Regular" w:eastAsia="Arimo Regular" w:hAnsi="Arimo Regular" w:cs="Arimo Regular"/>
                <w:sz w:val="24"/>
              </w:rPr>
              <w:t xml:space="preserve"> 12,07,06,600/- and at 52% of Govt. RRV, MbPA may get </w:t>
            </w:r>
            <w:r w:rsidR="0098227A" w:rsidRPr="0098227A">
              <w:rPr>
                <w:rFonts w:ascii="Arimo Regular" w:eastAsia="Arimo Regular" w:hAnsi="Arimo Regular" w:cs="Arimo Regular"/>
                <w:sz w:val="24"/>
              </w:rPr>
              <w:t>₹</w:t>
            </w:r>
            <w:r>
              <w:rPr>
                <w:rFonts w:ascii="Arimo Regular" w:eastAsia="Arimo Regular" w:hAnsi="Arimo Regular" w:cs="Arimo Regular"/>
                <w:sz w:val="24"/>
              </w:rPr>
              <w:t xml:space="preserve"> 17,93,35,520/-. I am of the opinion that MbPA should aim for </w:t>
            </w:r>
            <w:r w:rsidR="0098227A" w:rsidRPr="0098227A">
              <w:rPr>
                <w:rFonts w:ascii="Arimo Regular" w:eastAsia="Arimo Regular" w:hAnsi="Arimo Regular" w:cs="Arimo Regular"/>
                <w:sz w:val="24"/>
              </w:rPr>
              <w:t>₹</w:t>
            </w:r>
            <w:r>
              <w:rPr>
                <w:rFonts w:ascii="Arimo Regular" w:eastAsia="Arimo Regular" w:hAnsi="Arimo Regular" w:cs="Arimo Regular"/>
                <w:sz w:val="24"/>
              </w:rPr>
              <w:t xml:space="preserve"> 15,00,00,000/- in the next </w:t>
            </w:r>
            <w:r>
              <w:rPr>
                <w:rFonts w:ascii="Arimo Regular" w:eastAsia="Arimo Regular" w:hAnsi="Arimo Regular" w:cs="Arimo Regular"/>
                <w:color w:val="000000"/>
                <w:sz w:val="24"/>
              </w:rPr>
              <w:t xml:space="preserve">financial year with a </w:t>
            </w:r>
            <w:r w:rsidR="0098227A">
              <w:rPr>
                <w:rFonts w:ascii="Arimo Regular" w:eastAsia="Arimo Regular" w:hAnsi="Arimo Regular" w:cs="Arimo Regular"/>
                <w:color w:val="000000"/>
                <w:sz w:val="24"/>
              </w:rPr>
              <w:t>careful</w:t>
            </w:r>
            <w:r>
              <w:rPr>
                <w:rFonts w:ascii="Arimo Regular" w:eastAsia="Arimo Regular" w:hAnsi="Arimo Regular" w:cs="Arimo Regular"/>
                <w:color w:val="000000"/>
                <w:sz w:val="24"/>
              </w:rPr>
              <w:t xml:space="preserve"> strategy overcoming all fluctuations in demand as well as unit rates"</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9.</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widowControl w:val="0"/>
              <w:pBdr>
                <w:top w:val="none" w:sz="0" w:space="0" w:color="000000"/>
                <w:left w:val="none" w:sz="0" w:space="0" w:color="000000"/>
                <w:bottom w:val="none" w:sz="0" w:space="0" w:color="000000"/>
                <w:right w:val="none" w:sz="0" w:space="0" w:color="000000"/>
                <w:between w:val="none" w:sz="0" w:space="0" w:color="000000"/>
              </w:pBdr>
              <w:spacing w:after="0" w:line="275" w:lineRule="auto"/>
              <w:jc w:val="both"/>
              <w:rPr>
                <w:rFonts w:ascii="Arial" w:eastAsia="Arial" w:hAnsi="Arial" w:cs="Arial"/>
                <w:color w:val="000000"/>
                <w:sz w:val="24"/>
              </w:rPr>
            </w:pPr>
            <w:r>
              <w:rPr>
                <w:rFonts w:ascii="Arial" w:eastAsia="Arial" w:hAnsi="Arial" w:cs="Arial"/>
                <w:color w:val="000000"/>
                <w:sz w:val="24"/>
              </w:rPr>
              <w:t>Minimum TDR Quantity to be sold</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98227A">
            <w:pPr>
              <w:spacing w:line="264" w:lineRule="auto"/>
              <w:rPr>
                <w:color w:val="000000"/>
              </w:rPr>
            </w:pPr>
            <w:r>
              <w:rPr>
                <w:rFonts w:ascii="Arial" w:eastAsia="Arial" w:hAnsi="Arial" w:cs="Arial"/>
                <w:sz w:val="24"/>
              </w:rPr>
              <w:t>Valuer has remarked "</w:t>
            </w:r>
            <w:r w:rsidR="0064225F">
              <w:rPr>
                <w:rFonts w:ascii="Arial" w:eastAsia="Arial" w:hAnsi="Arial" w:cs="Arial"/>
                <w:sz w:val="24"/>
              </w:rPr>
              <w:t>There is no restriction to sell any quantity either minimum or maximum based on available balance quantity with the seller."</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lastRenderedPageBreak/>
              <w:t>10.</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Special Remarks</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A) Valuer</w:t>
            </w:r>
            <w:r w:rsidR="0098227A">
              <w:rPr>
                <w:rFonts w:ascii="Arial" w:eastAsia="Arial" w:hAnsi="Arial" w:cs="Arial"/>
                <w:sz w:val="24"/>
              </w:rPr>
              <w:t>’</w:t>
            </w:r>
            <w:r>
              <w:rPr>
                <w:rFonts w:ascii="Arial" w:eastAsia="Arial" w:hAnsi="Arial" w:cs="Arial"/>
                <w:sz w:val="24"/>
              </w:rPr>
              <w:t>s report of Pg No. 20 and 21 may please be perused, where he has remarked on Grouping of TDR.</w:t>
            </w:r>
          </w:p>
          <w:p w:rsidR="007528EC" w:rsidRDefault="0064225F">
            <w:pPr>
              <w:widowControl w:val="0"/>
              <w:spacing w:after="0"/>
              <w:rPr>
                <w:rFonts w:ascii="Arial" w:eastAsia="Arial" w:hAnsi="Arial" w:cs="Arial"/>
                <w:sz w:val="24"/>
              </w:rPr>
            </w:pPr>
            <w:r>
              <w:rPr>
                <w:rFonts w:ascii="Arial" w:eastAsia="Arial" w:hAnsi="Arial" w:cs="Arial"/>
                <w:sz w:val="24"/>
              </w:rPr>
              <w:t xml:space="preserve">B) </w:t>
            </w:r>
            <w:r w:rsidRPr="0098227A">
              <w:rPr>
                <w:rFonts w:ascii="Arial" w:eastAsia="Arial" w:hAnsi="Arial" w:cs="Arial"/>
                <w:sz w:val="24"/>
              </w:rPr>
              <w:t>Suggested multiple tenders periodically, starting immediately, to optimize / maximize gains considering present market situation share market is fluctuating / volatile and gold is beyond reach for common people , substantial investment is likely to come to real estate raising demand for TDR.</w:t>
            </w:r>
          </w:p>
          <w:p w:rsidR="007528EC" w:rsidRPr="0098227A" w:rsidRDefault="0064225F">
            <w:pPr>
              <w:widowControl w:val="0"/>
              <w:spacing w:after="0"/>
              <w:rPr>
                <w:rFonts w:ascii="Arial" w:eastAsia="Arial" w:hAnsi="Arial" w:cs="Arial"/>
                <w:sz w:val="24"/>
              </w:rPr>
            </w:pPr>
            <w:r w:rsidRPr="0098227A">
              <w:rPr>
                <w:rFonts w:ascii="Arial" w:eastAsia="Arial" w:hAnsi="Arial" w:cs="Arial"/>
                <w:sz w:val="24"/>
              </w:rPr>
              <w:t xml:space="preserve">C) </w:t>
            </w:r>
            <w:r w:rsidR="0098227A" w:rsidRPr="0098227A">
              <w:rPr>
                <w:rFonts w:ascii="Arial" w:eastAsia="Arial" w:hAnsi="Arial" w:cs="Arial"/>
                <w:sz w:val="24"/>
              </w:rPr>
              <w:t>Suggested</w:t>
            </w:r>
            <w:r w:rsidRPr="0098227A">
              <w:rPr>
                <w:rFonts w:ascii="Arial" w:eastAsia="Arial" w:hAnsi="Arial" w:cs="Arial"/>
                <w:sz w:val="24"/>
              </w:rPr>
              <w:t xml:space="preserve"> open competition / E-Tender without disclosing base-price to optimize / maximize gains.</w:t>
            </w:r>
          </w:p>
          <w:p w:rsidR="007528EC" w:rsidRDefault="0064225F">
            <w:pPr>
              <w:widowControl w:val="0"/>
              <w:spacing w:after="0"/>
              <w:rPr>
                <w:rFonts w:ascii="Arial Regular" w:eastAsia="Arial Regular" w:hAnsi="Arial Regular" w:cs="Arial Regular"/>
                <w:color w:val="000000"/>
                <w:sz w:val="24"/>
              </w:rPr>
            </w:pPr>
            <w:r w:rsidRPr="0098227A">
              <w:rPr>
                <w:rFonts w:ascii="Arial" w:eastAsia="Arial" w:hAnsi="Arial" w:cs="Arial"/>
                <w:sz w:val="24"/>
              </w:rPr>
              <w:t>Pre-decided price will lead to less recovery from sale of TDR</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11.</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Parameter Finalization</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sidRPr="00774E85">
              <w:rPr>
                <w:rFonts w:ascii="Arial" w:eastAsia="Arial" w:hAnsi="Arial" w:cs="Arial"/>
                <w:sz w:val="24"/>
              </w:rPr>
              <w:t>In view of above points 7,8,9 &amp; 10 it is proposed to deliberate the issue with LAC Members  to arrive at the base price, quantum and Grouping for TDR sale.</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12.</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Security Deposit</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w:t>
            </w:r>
          </w:p>
        </w:tc>
      </w:tr>
      <w:tr w:rsidR="007528EC">
        <w:trPr>
          <w:trHeight w:val="102"/>
        </w:trPr>
        <w:tc>
          <w:tcPr>
            <w:tcW w:w="56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13.</w:t>
            </w:r>
          </w:p>
        </w:tc>
        <w:tc>
          <w:tcPr>
            <w:tcW w:w="1678"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 xml:space="preserve">Limits for Usage of TDR </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Within KDMC limits</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14.</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Tender Cost</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98227A" w:rsidP="0098227A">
            <w:pPr>
              <w:spacing w:after="0"/>
              <w:rPr>
                <w:rFonts w:ascii="Arial" w:eastAsia="Arial" w:hAnsi="Arial" w:cs="Arial"/>
                <w:sz w:val="24"/>
              </w:rPr>
            </w:pPr>
            <w:r w:rsidRPr="0098227A">
              <w:rPr>
                <w:rFonts w:ascii="Arial" w:eastAsia="Arial" w:hAnsi="Arial" w:cs="Arial"/>
                <w:sz w:val="24"/>
              </w:rPr>
              <w:t>₹</w:t>
            </w:r>
            <w:r>
              <w:rPr>
                <w:rFonts w:ascii="Arial" w:eastAsia="Arial" w:hAnsi="Arial" w:cs="Arial"/>
                <w:sz w:val="24"/>
              </w:rPr>
              <w:t xml:space="preserve"> </w:t>
            </w:r>
            <w:r w:rsidR="0064225F">
              <w:rPr>
                <w:rFonts w:ascii="Arial" w:eastAsia="Arial" w:hAnsi="Arial" w:cs="Arial"/>
                <w:sz w:val="24"/>
              </w:rPr>
              <w:t>1050 (Rupees One Thousand and Fifty only) including GST @ 5%</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15.</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Earnest Money Deposit</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10% of the estimate price of the total TDR</w:t>
            </w:r>
          </w:p>
        </w:tc>
      </w:tr>
      <w:tr w:rsidR="007528EC">
        <w:trPr>
          <w:trHeight w:val="102"/>
        </w:trPr>
        <w:tc>
          <w:tcPr>
            <w:tcW w:w="562" w:type="dxa"/>
            <w:tcBorders>
              <w:top w:val="single" w:sz="7" w:space="0" w:color="000000"/>
              <w:left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16.</w:t>
            </w:r>
          </w:p>
        </w:tc>
        <w:tc>
          <w:tcPr>
            <w:tcW w:w="1678" w:type="dxa"/>
            <w:tcBorders>
              <w:top w:val="single" w:sz="7" w:space="0" w:color="000000"/>
              <w:left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Eligibility Criteria</w:t>
            </w:r>
          </w:p>
        </w:tc>
        <w:tc>
          <w:tcPr>
            <w:tcW w:w="5671" w:type="dxa"/>
            <w:tcBorders>
              <w:top w:val="single" w:sz="7" w:space="0" w:color="000000"/>
              <w:left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sidRPr="00774E85">
              <w:rPr>
                <w:rFonts w:ascii="Arial" w:eastAsia="Arial" w:hAnsi="Arial" w:cs="Arial"/>
                <w:sz w:val="24"/>
              </w:rPr>
              <w:t>The Bidder should be competent to enter into contract under the Indian Contract Act, 1872 for which the Bidder should submit copy of the documents like PAN Card in case individual Person, Shops &amp; Establishment License in case of Proprietors, Registered Partnership Deed/ Certificate in case of Partnership firm, Registration Certificate in case of Company, etc.</w:t>
            </w:r>
          </w:p>
        </w:tc>
      </w:tr>
      <w:tr w:rsidR="007528EC">
        <w:trPr>
          <w:trHeight w:val="102"/>
        </w:trPr>
        <w:tc>
          <w:tcPr>
            <w:tcW w:w="622"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17.</w:t>
            </w:r>
          </w:p>
        </w:tc>
        <w:tc>
          <w:tcPr>
            <w:tcW w:w="1617"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Pre-Qualification Criteria</w:t>
            </w:r>
          </w:p>
        </w:tc>
        <w:tc>
          <w:tcPr>
            <w:tcW w:w="5671" w:type="dxa"/>
            <w:tcBorders>
              <w:top w:val="single" w:sz="7" w:space="0" w:color="000000"/>
              <w:left w:val="single" w:sz="7" w:space="0" w:color="000000"/>
              <w:bottom w:val="single" w:sz="7" w:space="0" w:color="000000"/>
              <w:right w:val="single" w:sz="7" w:space="0" w:color="000000"/>
            </w:tcBorders>
            <w:tcMar>
              <w:top w:w="0" w:type="dxa"/>
              <w:left w:w="108" w:type="dxa"/>
              <w:bottom w:w="0" w:type="dxa"/>
              <w:right w:w="108" w:type="dxa"/>
            </w:tcMar>
          </w:tcPr>
          <w:p w:rsidR="007528EC" w:rsidRDefault="0064225F">
            <w:pPr>
              <w:spacing w:after="0"/>
              <w:rPr>
                <w:rFonts w:ascii="Arial" w:eastAsia="Arial" w:hAnsi="Arial" w:cs="Arial"/>
                <w:sz w:val="24"/>
              </w:rPr>
            </w:pPr>
            <w:r>
              <w:rPr>
                <w:rFonts w:ascii="Arial" w:eastAsia="Arial" w:hAnsi="Arial" w:cs="Arial"/>
                <w:sz w:val="24"/>
              </w:rPr>
              <w:t>No PQC required</w:t>
            </w:r>
          </w:p>
        </w:tc>
      </w:tr>
    </w:tbl>
    <w:p w:rsidR="007528EC" w:rsidRDefault="007528EC">
      <w:pPr>
        <w:spacing w:after="0" w:line="240" w:lineRule="auto"/>
        <w:ind w:left="449"/>
        <w:jc w:val="both"/>
        <w:rPr>
          <w:rFonts w:ascii="Arial" w:eastAsia="Arial" w:hAnsi="Arial" w:cs="Arial"/>
          <w:sz w:val="24"/>
        </w:rPr>
      </w:pPr>
      <w:bookmarkStart w:id="1" w:name="_gjdgxs"/>
      <w:bookmarkEnd w:id="1"/>
    </w:p>
    <w:p w:rsidR="007528EC" w:rsidRDefault="007528EC">
      <w:pPr>
        <w:spacing w:after="0" w:line="240" w:lineRule="auto"/>
        <w:ind w:left="449"/>
        <w:jc w:val="both"/>
        <w:rPr>
          <w:rFonts w:ascii="Arial" w:eastAsia="Arial" w:hAnsi="Arial" w:cs="Arial"/>
          <w:sz w:val="24"/>
        </w:rPr>
      </w:pPr>
    </w:p>
    <w:p w:rsidR="007528EC" w:rsidRDefault="007528EC">
      <w:pPr>
        <w:spacing w:after="0"/>
        <w:rPr>
          <w:rFonts w:ascii="Arial" w:eastAsia="Arial" w:hAnsi="Arial" w:cs="Arial"/>
          <w:b/>
          <w:sz w:val="24"/>
        </w:rPr>
      </w:pPr>
    </w:p>
    <w:p w:rsidR="007528EC" w:rsidRDefault="007528EC">
      <w:pPr>
        <w:pStyle w:val="ListParagraph"/>
        <w:spacing w:after="0"/>
        <w:ind w:left="283"/>
        <w:rPr>
          <w:rFonts w:ascii="Arial" w:eastAsia="Arial" w:hAnsi="Arial" w:cs="Arial"/>
          <w:b/>
          <w:sz w:val="24"/>
        </w:rPr>
      </w:pPr>
    </w:p>
    <w:p w:rsidR="007528EC" w:rsidRDefault="007528EC">
      <w:pPr>
        <w:pStyle w:val="ListParagraph"/>
        <w:spacing w:after="0"/>
        <w:ind w:left="283"/>
        <w:rPr>
          <w:rFonts w:ascii="Arial" w:eastAsia="Arial" w:hAnsi="Arial" w:cs="Arial"/>
          <w:sz w:val="24"/>
          <w:u w:val="single"/>
        </w:rPr>
      </w:pPr>
    </w:p>
    <w:p w:rsidR="00774E85" w:rsidRDefault="00774E85">
      <w:pPr>
        <w:pStyle w:val="ListParagraph"/>
        <w:spacing w:after="0"/>
        <w:ind w:left="283"/>
        <w:rPr>
          <w:rFonts w:ascii="Arial" w:eastAsia="Arial" w:hAnsi="Arial" w:cs="Arial"/>
          <w:sz w:val="24"/>
          <w:u w:val="single"/>
        </w:rPr>
      </w:pPr>
    </w:p>
    <w:p w:rsidR="00774E85" w:rsidRDefault="00774E85">
      <w:pPr>
        <w:pStyle w:val="ListParagraph"/>
        <w:spacing w:after="0"/>
        <w:ind w:left="283"/>
        <w:rPr>
          <w:rFonts w:ascii="Arial" w:eastAsia="Arial" w:hAnsi="Arial" w:cs="Arial"/>
          <w:sz w:val="24"/>
          <w:u w:val="single"/>
        </w:rPr>
      </w:pPr>
    </w:p>
    <w:p w:rsidR="00774E85" w:rsidRDefault="00774E85">
      <w:pPr>
        <w:pStyle w:val="ListParagraph"/>
        <w:spacing w:after="0"/>
        <w:ind w:left="283"/>
        <w:rPr>
          <w:rFonts w:ascii="Arial" w:eastAsia="Arial" w:hAnsi="Arial" w:cs="Arial"/>
          <w:sz w:val="24"/>
          <w:u w:val="single"/>
        </w:rPr>
      </w:pPr>
    </w:p>
    <w:p w:rsidR="00774E85" w:rsidRDefault="00774E85">
      <w:pPr>
        <w:pStyle w:val="ListParagraph"/>
        <w:spacing w:after="0"/>
        <w:ind w:left="283"/>
        <w:rPr>
          <w:rFonts w:ascii="Arial" w:eastAsia="Arial" w:hAnsi="Arial" w:cs="Arial"/>
          <w:sz w:val="24"/>
          <w:u w:val="single"/>
        </w:rPr>
      </w:pPr>
    </w:p>
    <w:p w:rsidR="007528EC" w:rsidRDefault="0064225F">
      <w:pPr>
        <w:pStyle w:val="ListParagraph"/>
        <w:numPr>
          <w:ilvl w:val="0"/>
          <w:numId w:val="7"/>
        </w:numPr>
        <w:spacing w:after="0"/>
        <w:ind w:left="283"/>
        <w:rPr>
          <w:rFonts w:ascii="Arial" w:eastAsia="Arial" w:hAnsi="Arial" w:cs="Arial"/>
          <w:sz w:val="24"/>
          <w:u w:val="single"/>
        </w:rPr>
      </w:pPr>
      <w:r>
        <w:rPr>
          <w:rFonts w:ascii="Arial" w:eastAsia="Arial" w:hAnsi="Arial" w:cs="Arial"/>
          <w:b/>
          <w:sz w:val="24"/>
          <w:u w:val="single"/>
        </w:rPr>
        <w:lastRenderedPageBreak/>
        <w:t>Land Allotment Committee (LAC) Recommendations:</w:t>
      </w:r>
    </w:p>
    <w:p w:rsidR="007528EC" w:rsidRDefault="007528EC">
      <w:pPr>
        <w:pStyle w:val="ListParagraph"/>
        <w:ind w:left="283"/>
        <w:rPr>
          <w:rFonts w:ascii="Arial" w:eastAsia="Arial" w:hAnsi="Arial" w:cs="Arial"/>
          <w:sz w:val="24"/>
          <w:u w:val="single"/>
        </w:rPr>
      </w:pPr>
    </w:p>
    <w:p w:rsidR="007528EC" w:rsidRDefault="0064225F">
      <w:pPr>
        <w:spacing w:after="0" w:line="240" w:lineRule="auto"/>
        <w:jc w:val="both"/>
        <w:rPr>
          <w:rFonts w:ascii="Arial" w:eastAsia="Arial" w:hAnsi="Arial" w:cs="Arial"/>
          <w:sz w:val="24"/>
        </w:rPr>
      </w:pPr>
      <w:r>
        <w:rPr>
          <w:rFonts w:ascii="Arial" w:eastAsia="Arial" w:hAnsi="Arial" w:cs="Arial"/>
          <w:sz w:val="24"/>
        </w:rPr>
        <w:t xml:space="preserve">             To be finalised after LAC meeting.</w:t>
      </w:r>
      <w:r>
        <w:tab/>
      </w:r>
    </w:p>
    <w:p w:rsidR="007528EC" w:rsidRDefault="007528EC">
      <w:pPr>
        <w:spacing w:after="0" w:line="240" w:lineRule="auto"/>
        <w:ind w:left="1224"/>
        <w:jc w:val="both"/>
        <w:rPr>
          <w:rFonts w:ascii="Arial" w:eastAsia="Arial" w:hAnsi="Arial" w:cs="Arial"/>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tbl>
      <w:tblPr>
        <w:tblStyle w:val="a0"/>
        <w:tblW w:w="9396" w:type="dxa"/>
        <w:tblLayout w:type="fixed"/>
        <w:tblLook w:val="0600" w:firstRow="0" w:lastRow="0" w:firstColumn="0" w:lastColumn="0" w:noHBand="1" w:noVBand="1"/>
      </w:tblPr>
      <w:tblGrid>
        <w:gridCol w:w="2256"/>
        <w:gridCol w:w="1973"/>
        <w:gridCol w:w="2160"/>
        <w:gridCol w:w="3007"/>
      </w:tblGrid>
      <w:tr w:rsidR="007528EC">
        <w:tc>
          <w:tcPr>
            <w:tcW w:w="2256" w:type="dxa"/>
            <w:tcMar>
              <w:top w:w="0" w:type="dxa"/>
              <w:left w:w="108" w:type="dxa"/>
              <w:bottom w:w="0" w:type="dxa"/>
              <w:right w:w="108" w:type="dxa"/>
            </w:tcMar>
          </w:tcPr>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right="-73"/>
              <w:jc w:val="center"/>
              <w:rPr>
                <w:rFonts w:ascii="Arial" w:eastAsia="Arial" w:hAnsi="Arial" w:cs="Arial"/>
                <w:color w:val="000000"/>
                <w:sz w:val="24"/>
              </w:rPr>
            </w:pPr>
            <w:r>
              <w:rPr>
                <w:rFonts w:ascii="Arial" w:eastAsia="Arial" w:hAnsi="Arial" w:cs="Arial"/>
                <w:color w:val="000000"/>
                <w:sz w:val="24"/>
              </w:rPr>
              <w:t>Chief Engineer</w:t>
            </w:r>
          </w:p>
        </w:tc>
        <w:tc>
          <w:tcPr>
            <w:tcW w:w="1973" w:type="dxa"/>
            <w:tcMar>
              <w:top w:w="0" w:type="dxa"/>
              <w:left w:w="108" w:type="dxa"/>
              <w:bottom w:w="0" w:type="dxa"/>
              <w:right w:w="108" w:type="dxa"/>
            </w:tcMar>
          </w:tcPr>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Arial" w:hAnsi="Arial" w:cs="Arial"/>
                <w:color w:val="000000"/>
                <w:sz w:val="24"/>
              </w:rPr>
            </w:pPr>
            <w:r>
              <w:rPr>
                <w:rFonts w:ascii="Arial" w:eastAsia="Arial" w:hAnsi="Arial" w:cs="Arial"/>
                <w:color w:val="000000"/>
                <w:sz w:val="24"/>
              </w:rPr>
              <w:t>FA &amp; CAO</w:t>
            </w:r>
          </w:p>
        </w:tc>
        <w:tc>
          <w:tcPr>
            <w:tcW w:w="2160" w:type="dxa"/>
            <w:tcMar>
              <w:top w:w="0" w:type="dxa"/>
              <w:left w:w="108" w:type="dxa"/>
              <w:bottom w:w="0" w:type="dxa"/>
              <w:right w:w="108" w:type="dxa"/>
            </w:tcMar>
          </w:tcPr>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Arial" w:hAnsi="Arial" w:cs="Arial"/>
                <w:color w:val="000000"/>
                <w:sz w:val="24"/>
              </w:rPr>
            </w:pPr>
            <w:r>
              <w:rPr>
                <w:rFonts w:ascii="Arial" w:eastAsia="Arial" w:hAnsi="Arial" w:cs="Arial"/>
                <w:color w:val="000000"/>
                <w:sz w:val="24"/>
              </w:rPr>
              <w:t>Traffic Manager</w:t>
            </w:r>
          </w:p>
        </w:tc>
        <w:tc>
          <w:tcPr>
            <w:tcW w:w="3007" w:type="dxa"/>
            <w:tcMar>
              <w:top w:w="0" w:type="dxa"/>
              <w:left w:w="108" w:type="dxa"/>
              <w:bottom w:w="0" w:type="dxa"/>
              <w:right w:w="108" w:type="dxa"/>
            </w:tcMar>
          </w:tcPr>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right="-73"/>
              <w:jc w:val="center"/>
              <w:rPr>
                <w:rFonts w:ascii="Arial" w:eastAsia="Arial" w:hAnsi="Arial" w:cs="Arial"/>
                <w:color w:val="000000"/>
                <w:sz w:val="24"/>
              </w:rPr>
            </w:pPr>
            <w:r>
              <w:rPr>
                <w:rFonts w:ascii="Arial" w:eastAsia="Arial" w:hAnsi="Arial" w:cs="Arial"/>
                <w:color w:val="000000"/>
                <w:sz w:val="24"/>
              </w:rPr>
              <w:t>Estate Manager (I/c)</w:t>
            </w:r>
          </w:p>
        </w:tc>
      </w:tr>
    </w:tbl>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r>
        <w:tab/>
      </w:r>
      <w:r>
        <w:tab/>
      </w:r>
      <w:r>
        <w:tab/>
      </w:r>
      <w:r>
        <w:tab/>
      </w: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left="6480"/>
        <w:jc w:val="both"/>
        <w:rPr>
          <w:rFonts w:ascii="Arial" w:eastAsia="Arial" w:hAnsi="Arial" w:cs="Arial"/>
          <w:color w:val="000000"/>
          <w:sz w:val="24"/>
        </w:rPr>
      </w:pPr>
      <w:r>
        <w:rPr>
          <w:rFonts w:ascii="Arial" w:eastAsia="Arial" w:hAnsi="Arial" w:cs="Arial"/>
          <w:color w:val="000000"/>
          <w:sz w:val="24"/>
        </w:rPr>
        <w:t>DY. CHAIRPERSON</w:t>
      </w: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6480" w:firstLine="720"/>
        <w:rPr>
          <w:rFonts w:ascii="Arial" w:eastAsia="Arial" w:hAnsi="Arial" w:cs="Arial"/>
          <w:color w:val="000000"/>
          <w:sz w:val="24"/>
        </w:rPr>
      </w:pP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ind w:left="6480" w:firstLine="720"/>
        <w:rPr>
          <w:rFonts w:ascii="Arial" w:eastAsia="Arial" w:hAnsi="Arial" w:cs="Arial"/>
          <w:color w:val="000000"/>
          <w:sz w:val="24"/>
        </w:rPr>
      </w:pP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75" w:lineRule="auto"/>
        <w:jc w:val="both"/>
        <w:rPr>
          <w:rFonts w:ascii="Arial" w:eastAsia="Arial" w:hAnsi="Arial" w:cs="Arial"/>
          <w:color w:val="000000"/>
          <w:sz w:val="24"/>
        </w:rPr>
      </w:pPr>
      <w:r>
        <w:rPr>
          <w:rFonts w:ascii="Arial" w:eastAsia="Arial" w:hAnsi="Arial" w:cs="Arial"/>
          <w:color w:val="000000"/>
          <w:sz w:val="24"/>
        </w:rPr>
        <w:t xml:space="preserve">Chairperson’s approval is requested to </w:t>
      </w:r>
      <w:r w:rsidR="001905AF">
        <w:rPr>
          <w:rFonts w:ascii="Arial" w:eastAsia="Arial" w:hAnsi="Arial" w:cs="Arial"/>
          <w:color w:val="000000"/>
          <w:sz w:val="24"/>
        </w:rPr>
        <w:t xml:space="preserve">the </w:t>
      </w:r>
      <w:r>
        <w:rPr>
          <w:rFonts w:ascii="Arial" w:eastAsia="Arial" w:hAnsi="Arial" w:cs="Arial"/>
          <w:color w:val="000000"/>
          <w:sz w:val="24"/>
        </w:rPr>
        <w:t>LAC recommendations. On approval, tenders will be invited and the matter will be placed before the Board for ex-post facto approval.</w:t>
      </w:r>
      <w:r>
        <w:tab/>
      </w:r>
      <w:r>
        <w:tab/>
      </w:r>
      <w:r>
        <w:tab/>
      </w:r>
      <w:r>
        <w:tab/>
      </w:r>
      <w:r>
        <w:tab/>
      </w:r>
    </w:p>
    <w:p w:rsidR="007528EC" w:rsidRDefault="007528EC">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Arial" w:hAnsi="Arial" w:cs="Arial"/>
          <w:color w:val="000000"/>
          <w:sz w:val="24"/>
        </w:rPr>
      </w:pP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Arial" w:hAnsi="Arial" w:cs="Arial"/>
          <w:color w:val="000000"/>
          <w:sz w:val="24"/>
        </w:rPr>
      </w:pPr>
      <w:r>
        <w:tab/>
      </w:r>
      <w:r>
        <w:tab/>
      </w: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jc w:val="both"/>
        <w:rPr>
          <w:rFonts w:ascii="Arial" w:eastAsia="Arial" w:hAnsi="Arial" w:cs="Arial"/>
          <w:color w:val="000000"/>
          <w:sz w:val="24"/>
        </w:rPr>
      </w:pPr>
      <w:r>
        <w:tab/>
      </w:r>
      <w:r>
        <w:tab/>
      </w:r>
    </w:p>
    <w:p w:rsidR="007528EC" w:rsidRDefault="0064225F">
      <w:pPr>
        <w:pBdr>
          <w:top w:val="none" w:sz="0" w:space="0" w:color="000000"/>
          <w:left w:val="none" w:sz="0" w:space="0" w:color="000000"/>
          <w:bottom w:val="none" w:sz="0" w:space="0" w:color="000000"/>
          <w:right w:val="none" w:sz="0" w:space="0" w:color="000000"/>
          <w:between w:val="none" w:sz="0" w:space="0" w:color="000000"/>
        </w:pBdr>
        <w:spacing w:after="0" w:line="240" w:lineRule="auto"/>
        <w:ind w:left="5760" w:firstLine="720"/>
        <w:jc w:val="both"/>
        <w:rPr>
          <w:rFonts w:ascii="Arial" w:eastAsia="Arial" w:hAnsi="Arial" w:cs="Arial"/>
          <w:color w:val="000000"/>
          <w:sz w:val="24"/>
        </w:rPr>
      </w:pPr>
      <w:r>
        <w:rPr>
          <w:rFonts w:ascii="Arial" w:eastAsia="Arial" w:hAnsi="Arial" w:cs="Arial"/>
          <w:color w:val="000000"/>
          <w:sz w:val="24"/>
        </w:rPr>
        <w:t xml:space="preserve">     CHAIRPERSON</w:t>
      </w:r>
    </w:p>
    <w:p w:rsidR="007528EC" w:rsidRDefault="007528EC" w:rsidP="001C32FF">
      <w:pPr>
        <w:spacing w:after="120"/>
        <w:rPr>
          <w:rFonts w:ascii="Arial" w:eastAsia="Arial" w:hAnsi="Arial" w:cs="Arial"/>
          <w:b/>
          <w:sz w:val="24"/>
          <w:u w:val="single"/>
        </w:rPr>
      </w:pPr>
    </w:p>
    <w:sectPr w:rsidR="007528EC">
      <w:headerReference w:type="default" r:id="rId7"/>
      <w:footerReference w:type="default" r:id="rId8"/>
      <w:pgSz w:w="11908" w:h="16833"/>
      <w:pgMar w:top="993" w:right="1285" w:bottom="1350" w:left="1889" w:header="708"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59D8" w:rsidRDefault="008359D8">
      <w:pPr>
        <w:spacing w:after="0" w:line="240" w:lineRule="auto"/>
      </w:pPr>
      <w:r>
        <w:separator/>
      </w:r>
    </w:p>
  </w:endnote>
  <w:endnote w:type="continuationSeparator" w:id="0">
    <w:p w:rsidR="008359D8" w:rsidRDefault="00835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mo Regular">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rlito">
    <w:panose1 w:val="00000000000000000000"/>
    <w:charset w:val="00"/>
    <w:family w:val="roman"/>
    <w:notTrueType/>
    <w:pitch w:val="default"/>
  </w:font>
  <w:font w:name="Calade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rlito Regular">
    <w:altName w:val="Times New Roman"/>
    <w:charset w:val="00"/>
    <w:family w:val="auto"/>
    <w:pitch w:val="default"/>
  </w:font>
  <w:font w:name="Arial Regular">
    <w:altName w:val="Times New Roman"/>
    <w:panose1 w:val="00000000000000000000"/>
    <w:charset w:val="00"/>
    <w:family w:val="roman"/>
    <w:notTrueType/>
    <w:pitch w:val="default"/>
  </w:font>
  <w:font w:name="Shruti">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28EC" w:rsidRDefault="0064225F">
    <w:pPr>
      <w:pStyle w:val="Footer"/>
    </w:pPr>
    <w:r>
      <w:t xml:space="preserve">Page </w:t>
    </w:r>
    <w:r>
      <w:rPr>
        <w:b/>
      </w:rPr>
      <w:fldChar w:fldCharType="begin"/>
    </w:r>
    <w:r>
      <w:rPr>
        <w:b/>
      </w:rPr>
      <w:instrText>PAGE \* MERGEFORMAT</w:instrText>
    </w:r>
    <w:r>
      <w:rPr>
        <w:b/>
      </w:rPr>
      <w:fldChar w:fldCharType="separate"/>
    </w:r>
    <w:r w:rsidR="00990024">
      <w:rPr>
        <w:b/>
        <w:noProof/>
      </w:rPr>
      <w:t>2</w:t>
    </w:r>
    <w:r>
      <w:rPr>
        <w:b/>
      </w:rPr>
      <w:fldChar w:fldCharType="end"/>
    </w:r>
    <w:r>
      <w:t xml:space="preserve"> of </w:t>
    </w:r>
    <w:r>
      <w:rPr>
        <w:b/>
      </w:rPr>
      <w:fldChar w:fldCharType="begin"/>
    </w:r>
    <w:r>
      <w:rPr>
        <w:b/>
      </w:rPr>
      <w:instrText>NUMPAGES \* MERGEFORMAT</w:instrText>
    </w:r>
    <w:r>
      <w:rPr>
        <w:b/>
      </w:rPr>
      <w:fldChar w:fldCharType="separate"/>
    </w:r>
    <w:r w:rsidR="00990024">
      <w:rPr>
        <w:b/>
        <w:noProof/>
      </w:rPr>
      <w:t>5</w:t>
    </w:r>
    <w:r>
      <w:rPr>
        <w:b/>
      </w:rPr>
      <w:fldChar w:fldCharType="end"/>
    </w:r>
  </w:p>
  <w:p w:rsidR="007528EC" w:rsidRDefault="007528EC">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59D8" w:rsidRDefault="008359D8">
      <w:pPr>
        <w:spacing w:after="0" w:line="240" w:lineRule="auto"/>
      </w:pPr>
      <w:r>
        <w:separator/>
      </w:r>
    </w:p>
  </w:footnote>
  <w:footnote w:type="continuationSeparator" w:id="0">
    <w:p w:rsidR="008359D8" w:rsidRDefault="008359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28EC" w:rsidRDefault="007528E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F78B1"/>
    <w:multiLevelType w:val="multilevel"/>
    <w:tmpl w:val="E9063CEA"/>
    <w:lvl w:ilvl="0">
      <w:start w:val="1"/>
      <w:numFmt w:val="lowerLetter"/>
      <w:lvlText w:val="%1."/>
      <w:lvlJc w:val="left"/>
      <w:pPr>
        <w:widowControl/>
        <w:ind w:left="720" w:hanging="360"/>
      </w:pPr>
      <w:rPr>
        <w:b w:val="0"/>
      </w:rPr>
    </w:lvl>
    <w:lvl w:ilvl="1">
      <w:start w:val="1"/>
      <w:numFmt w:val="lowerRoman"/>
      <w:lvlText w:val="%2."/>
      <w:lvlJc w:val="left"/>
      <w:pPr>
        <w:widowControl/>
        <w:ind w:left="1440" w:hanging="360"/>
      </w:pPr>
    </w:lvl>
    <w:lvl w:ilvl="2">
      <w:start w:val="1"/>
      <w:numFmt w:val="decimal"/>
      <w:lvlText w:val="%3."/>
      <w:lvlJc w:val="left"/>
      <w:pPr>
        <w:widowControl/>
        <w:ind w:left="2160" w:hanging="360"/>
      </w:pPr>
    </w:lvl>
    <w:lvl w:ilvl="3">
      <w:start w:val="1"/>
      <w:numFmt w:val="lowerLetter"/>
      <w:lvlText w:val="%4."/>
      <w:lvlJc w:val="left"/>
      <w:pPr>
        <w:widowControl/>
        <w:ind w:left="2880" w:hanging="360"/>
      </w:pPr>
    </w:lvl>
    <w:lvl w:ilvl="4">
      <w:start w:val="1"/>
      <w:numFmt w:val="lowerRoman"/>
      <w:lvlText w:val="%5."/>
      <w:lvlJc w:val="left"/>
      <w:pPr>
        <w:widowControl/>
        <w:ind w:left="3600" w:hanging="360"/>
      </w:pPr>
    </w:lvl>
    <w:lvl w:ilvl="5">
      <w:start w:val="1"/>
      <w:numFmt w:val="decimal"/>
      <w:lvlText w:val="%6."/>
      <w:lvlJc w:val="left"/>
      <w:pPr>
        <w:widowControl/>
        <w:ind w:left="4320" w:hanging="360"/>
      </w:pPr>
    </w:lvl>
    <w:lvl w:ilvl="6">
      <w:start w:val="1"/>
      <w:numFmt w:val="lowerLetter"/>
      <w:lvlText w:val="%7."/>
      <w:lvlJc w:val="left"/>
      <w:pPr>
        <w:widowControl/>
        <w:ind w:left="5040" w:hanging="360"/>
      </w:pPr>
    </w:lvl>
    <w:lvl w:ilvl="7">
      <w:start w:val="1"/>
      <w:numFmt w:val="lowerRoman"/>
      <w:lvlText w:val="%8."/>
      <w:lvlJc w:val="left"/>
      <w:pPr>
        <w:widowControl/>
        <w:ind w:left="5760" w:hanging="360"/>
      </w:pPr>
    </w:lvl>
    <w:lvl w:ilvl="8">
      <w:start w:val="1"/>
      <w:numFmt w:val="decimal"/>
      <w:lvlText w:val="%9."/>
      <w:lvlJc w:val="left"/>
      <w:pPr>
        <w:widowControl/>
        <w:ind w:left="6480" w:hanging="360"/>
      </w:pPr>
    </w:lvl>
  </w:abstractNum>
  <w:abstractNum w:abstractNumId="1">
    <w:nsid w:val="2E7B5EB3"/>
    <w:multiLevelType w:val="multilevel"/>
    <w:tmpl w:val="6B94A33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180"/>
      </w:pPr>
    </w:lvl>
  </w:abstractNum>
  <w:abstractNum w:abstractNumId="2">
    <w:nsid w:val="2F0469DA"/>
    <w:multiLevelType w:val="multilevel"/>
    <w:tmpl w:val="23BC4EFA"/>
    <w:lvl w:ilvl="0">
      <w:start w:val="1"/>
      <w:numFmt w:val="lowerRoman"/>
      <w:lvlText w:val="%1."/>
      <w:lvlJc w:val="left"/>
      <w:pPr>
        <w:widowControl/>
        <w:ind w:left="720" w:hanging="360"/>
      </w:pPr>
    </w:lvl>
    <w:lvl w:ilvl="1">
      <w:start w:val="1"/>
      <w:numFmt w:val="lowerRoman"/>
      <w:lvlText w:val="%2."/>
      <w:lvlJc w:val="left"/>
      <w:pPr>
        <w:widowControl/>
        <w:ind w:left="1440" w:hanging="360"/>
      </w:pPr>
    </w:lvl>
    <w:lvl w:ilvl="2">
      <w:start w:val="1"/>
      <w:numFmt w:val="decimal"/>
      <w:lvlText w:val="%3."/>
      <w:lvlJc w:val="left"/>
      <w:pPr>
        <w:widowControl/>
        <w:ind w:left="2160" w:hanging="360"/>
      </w:pPr>
    </w:lvl>
    <w:lvl w:ilvl="3">
      <w:start w:val="1"/>
      <w:numFmt w:val="lowerLetter"/>
      <w:lvlText w:val="%4."/>
      <w:lvlJc w:val="left"/>
      <w:pPr>
        <w:widowControl/>
        <w:ind w:left="2880" w:hanging="360"/>
      </w:pPr>
    </w:lvl>
    <w:lvl w:ilvl="4">
      <w:start w:val="1"/>
      <w:numFmt w:val="lowerRoman"/>
      <w:lvlText w:val="%5."/>
      <w:lvlJc w:val="left"/>
      <w:pPr>
        <w:widowControl/>
        <w:ind w:left="3600" w:hanging="360"/>
      </w:pPr>
    </w:lvl>
    <w:lvl w:ilvl="5">
      <w:start w:val="1"/>
      <w:numFmt w:val="decimal"/>
      <w:lvlText w:val="%6."/>
      <w:lvlJc w:val="left"/>
      <w:pPr>
        <w:widowControl/>
        <w:ind w:left="4320" w:hanging="360"/>
      </w:pPr>
    </w:lvl>
    <w:lvl w:ilvl="6">
      <w:start w:val="1"/>
      <w:numFmt w:val="lowerLetter"/>
      <w:lvlText w:val="%7."/>
      <w:lvlJc w:val="left"/>
      <w:pPr>
        <w:widowControl/>
        <w:ind w:left="5040" w:hanging="360"/>
      </w:pPr>
    </w:lvl>
    <w:lvl w:ilvl="7">
      <w:start w:val="1"/>
      <w:numFmt w:val="lowerRoman"/>
      <w:lvlText w:val="%8."/>
      <w:lvlJc w:val="left"/>
      <w:pPr>
        <w:widowControl/>
        <w:ind w:left="5760" w:hanging="360"/>
      </w:pPr>
    </w:lvl>
    <w:lvl w:ilvl="8">
      <w:start w:val="1"/>
      <w:numFmt w:val="decimal"/>
      <w:lvlText w:val="%9."/>
      <w:lvlJc w:val="left"/>
      <w:pPr>
        <w:widowControl/>
        <w:ind w:left="6480" w:hanging="360"/>
      </w:pPr>
    </w:lvl>
  </w:abstractNum>
  <w:abstractNum w:abstractNumId="3">
    <w:nsid w:val="3FF4271C"/>
    <w:multiLevelType w:val="multilevel"/>
    <w:tmpl w:val="0B0C49C6"/>
    <w:lvl w:ilvl="0">
      <w:start w:val="1"/>
      <w:numFmt w:val="decimal"/>
      <w:lvlText w:val="%1."/>
      <w:lvlJc w:val="left"/>
      <w:pPr>
        <w:widowControl/>
        <w:ind w:left="720" w:hanging="360"/>
      </w:pPr>
      <w:rPr>
        <w:b/>
      </w:rPr>
    </w:lvl>
    <w:lvl w:ilvl="1">
      <w:start w:val="1"/>
      <w:numFmt w:val="decimal"/>
      <w:lvlText w:val="%1.%2"/>
      <w:lvlJc w:val="left"/>
      <w:pPr>
        <w:widowControl/>
        <w:ind w:left="720" w:hanging="360"/>
      </w:pPr>
    </w:lvl>
    <w:lvl w:ilvl="2">
      <w:start w:val="1"/>
      <w:numFmt w:val="decimal"/>
      <w:lvlText w:val="%1.%2.%3"/>
      <w:lvlJc w:val="left"/>
      <w:pPr>
        <w:widowControl/>
        <w:ind w:left="1080" w:hanging="720"/>
      </w:pPr>
    </w:lvl>
    <w:lvl w:ilvl="3">
      <w:start w:val="1"/>
      <w:numFmt w:val="decimal"/>
      <w:lvlText w:val="%1.%2.%3.%4"/>
      <w:lvlJc w:val="left"/>
      <w:pPr>
        <w:widowControl/>
        <w:ind w:left="1440" w:hanging="1080"/>
      </w:pPr>
    </w:lvl>
    <w:lvl w:ilvl="4">
      <w:start w:val="1"/>
      <w:numFmt w:val="decimal"/>
      <w:lvlText w:val="%1.%2.%3.%4.%5"/>
      <w:lvlJc w:val="left"/>
      <w:pPr>
        <w:widowControl/>
        <w:ind w:left="1440" w:hanging="1080"/>
      </w:pPr>
    </w:lvl>
    <w:lvl w:ilvl="5">
      <w:start w:val="1"/>
      <w:numFmt w:val="decimal"/>
      <w:lvlText w:val="%1.%2.%3.%4.%5.%6"/>
      <w:lvlJc w:val="left"/>
      <w:pPr>
        <w:widowControl/>
        <w:ind w:left="1800" w:hanging="1440"/>
      </w:pPr>
    </w:lvl>
    <w:lvl w:ilvl="6">
      <w:start w:val="1"/>
      <w:numFmt w:val="decimal"/>
      <w:lvlText w:val="%1.%2.%3.%4.%5.%6.%7"/>
      <w:lvlJc w:val="left"/>
      <w:pPr>
        <w:widowControl/>
        <w:ind w:left="1800" w:hanging="1440"/>
      </w:pPr>
    </w:lvl>
    <w:lvl w:ilvl="7">
      <w:start w:val="1"/>
      <w:numFmt w:val="decimal"/>
      <w:lvlText w:val="%1.%2.%3.%4.%5.%6.%7.%8"/>
      <w:lvlJc w:val="left"/>
      <w:pPr>
        <w:widowControl/>
        <w:ind w:left="2160" w:hanging="1800"/>
      </w:pPr>
    </w:lvl>
    <w:lvl w:ilvl="8">
      <w:start w:val="1"/>
      <w:numFmt w:val="decimal"/>
      <w:lvlText w:val="%1.%2.%3.%4.%5.%6.%7.%8.%9"/>
      <w:lvlJc w:val="left"/>
      <w:pPr>
        <w:widowControl/>
        <w:ind w:left="2160" w:hanging="1800"/>
      </w:pPr>
    </w:lvl>
  </w:abstractNum>
  <w:abstractNum w:abstractNumId="4">
    <w:nsid w:val="4B023F9D"/>
    <w:multiLevelType w:val="multilevel"/>
    <w:tmpl w:val="3A6C8C5E"/>
    <w:lvl w:ilvl="0">
      <w:start w:val="1"/>
      <w:numFmt w:val="lowerLetter"/>
      <w:lvlText w:val="(%1)"/>
      <w:lvlJc w:val="left"/>
      <w:pPr>
        <w:widowControl/>
        <w:ind w:left="1224" w:hanging="449"/>
      </w:pPr>
    </w:lvl>
    <w:lvl w:ilvl="1">
      <w:start w:val="1"/>
      <w:numFmt w:val="lowerLetter"/>
      <w:lvlText w:val="%2."/>
      <w:lvlJc w:val="left"/>
      <w:pPr>
        <w:widowControl/>
        <w:ind w:left="1854" w:hanging="360"/>
      </w:pPr>
    </w:lvl>
    <w:lvl w:ilvl="2">
      <w:start w:val="1"/>
      <w:numFmt w:val="lowerRoman"/>
      <w:lvlText w:val="%3."/>
      <w:lvlJc w:val="left"/>
      <w:pPr>
        <w:widowControl/>
        <w:ind w:left="2574" w:hanging="180"/>
      </w:pPr>
    </w:lvl>
    <w:lvl w:ilvl="3">
      <w:start w:val="1"/>
      <w:numFmt w:val="decimal"/>
      <w:lvlText w:val="%4."/>
      <w:lvlJc w:val="left"/>
      <w:pPr>
        <w:widowControl/>
        <w:ind w:left="3294" w:hanging="360"/>
      </w:pPr>
    </w:lvl>
    <w:lvl w:ilvl="4">
      <w:start w:val="1"/>
      <w:numFmt w:val="lowerLetter"/>
      <w:lvlText w:val="%5."/>
      <w:lvlJc w:val="left"/>
      <w:pPr>
        <w:widowControl/>
        <w:ind w:left="4014" w:hanging="360"/>
      </w:pPr>
    </w:lvl>
    <w:lvl w:ilvl="5">
      <w:start w:val="1"/>
      <w:numFmt w:val="lowerRoman"/>
      <w:lvlText w:val="%6."/>
      <w:lvlJc w:val="left"/>
      <w:pPr>
        <w:widowControl/>
        <w:ind w:left="4734" w:hanging="180"/>
      </w:pPr>
    </w:lvl>
    <w:lvl w:ilvl="6">
      <w:start w:val="1"/>
      <w:numFmt w:val="decimal"/>
      <w:lvlText w:val="%7."/>
      <w:lvlJc w:val="left"/>
      <w:pPr>
        <w:widowControl/>
        <w:ind w:left="5454" w:hanging="360"/>
      </w:pPr>
    </w:lvl>
    <w:lvl w:ilvl="7">
      <w:start w:val="1"/>
      <w:numFmt w:val="lowerLetter"/>
      <w:lvlText w:val="%8."/>
      <w:lvlJc w:val="left"/>
      <w:pPr>
        <w:widowControl/>
        <w:ind w:left="6174" w:hanging="360"/>
      </w:pPr>
    </w:lvl>
    <w:lvl w:ilvl="8">
      <w:start w:val="1"/>
      <w:numFmt w:val="lowerRoman"/>
      <w:lvlText w:val="%9."/>
      <w:lvlJc w:val="left"/>
      <w:pPr>
        <w:widowControl/>
        <w:ind w:left="6894" w:hanging="180"/>
      </w:pPr>
    </w:lvl>
  </w:abstractNum>
  <w:abstractNum w:abstractNumId="5">
    <w:nsid w:val="60E160CA"/>
    <w:multiLevelType w:val="multilevel"/>
    <w:tmpl w:val="04BAD29A"/>
    <w:lvl w:ilvl="0">
      <w:start w:val="1"/>
      <w:numFmt w:val="lowerLetter"/>
      <w:lvlText w:val="%1)"/>
      <w:lvlJc w:val="left"/>
      <w:pPr>
        <w:widowControl/>
        <w:ind w:left="1440" w:hanging="360"/>
      </w:pPr>
    </w:lvl>
    <w:lvl w:ilvl="1">
      <w:start w:val="1"/>
      <w:numFmt w:val="lowerLetter"/>
      <w:lvlText w:val="%2."/>
      <w:lvlJc w:val="left"/>
      <w:pPr>
        <w:widowControl/>
        <w:ind w:left="2160" w:hanging="360"/>
      </w:pPr>
    </w:lvl>
    <w:lvl w:ilvl="2">
      <w:start w:val="1"/>
      <w:numFmt w:val="lowerRoman"/>
      <w:lvlText w:val="%3."/>
      <w:lvlJc w:val="left"/>
      <w:pPr>
        <w:widowControl/>
        <w:ind w:left="2880" w:hanging="180"/>
      </w:pPr>
    </w:lvl>
    <w:lvl w:ilvl="3">
      <w:start w:val="1"/>
      <w:numFmt w:val="decimal"/>
      <w:lvlText w:val="%4."/>
      <w:lvlJc w:val="left"/>
      <w:pPr>
        <w:widowControl/>
        <w:ind w:left="3600" w:hanging="360"/>
      </w:pPr>
    </w:lvl>
    <w:lvl w:ilvl="4">
      <w:start w:val="1"/>
      <w:numFmt w:val="lowerLetter"/>
      <w:lvlText w:val="%5."/>
      <w:lvlJc w:val="left"/>
      <w:pPr>
        <w:widowControl/>
        <w:ind w:left="4320" w:hanging="360"/>
      </w:pPr>
    </w:lvl>
    <w:lvl w:ilvl="5">
      <w:start w:val="1"/>
      <w:numFmt w:val="lowerRoman"/>
      <w:lvlText w:val="%6."/>
      <w:lvlJc w:val="left"/>
      <w:pPr>
        <w:widowControl/>
        <w:ind w:left="5040" w:hanging="180"/>
      </w:pPr>
    </w:lvl>
    <w:lvl w:ilvl="6">
      <w:start w:val="1"/>
      <w:numFmt w:val="decimal"/>
      <w:lvlText w:val="%7."/>
      <w:lvlJc w:val="left"/>
      <w:pPr>
        <w:widowControl/>
        <w:ind w:left="5760" w:hanging="360"/>
      </w:pPr>
    </w:lvl>
    <w:lvl w:ilvl="7">
      <w:start w:val="1"/>
      <w:numFmt w:val="lowerLetter"/>
      <w:lvlText w:val="%8."/>
      <w:lvlJc w:val="left"/>
      <w:pPr>
        <w:widowControl/>
        <w:ind w:left="6480" w:hanging="360"/>
      </w:pPr>
    </w:lvl>
    <w:lvl w:ilvl="8">
      <w:start w:val="1"/>
      <w:numFmt w:val="lowerRoman"/>
      <w:lvlText w:val="%9."/>
      <w:lvlJc w:val="left"/>
      <w:pPr>
        <w:widowControl/>
        <w:ind w:left="7200" w:hanging="180"/>
      </w:pPr>
    </w:lvl>
  </w:abstractNum>
  <w:abstractNum w:abstractNumId="6">
    <w:nsid w:val="62634719"/>
    <w:multiLevelType w:val="multilevel"/>
    <w:tmpl w:val="7F58B02E"/>
    <w:lvl w:ilvl="0">
      <w:start w:val="4"/>
      <w:numFmt w:val="decimal"/>
      <w:lvlText w:val="%1."/>
      <w:lvlJc w:val="left"/>
      <w:pPr>
        <w:widowControl/>
        <w:ind w:left="720" w:hanging="360"/>
      </w:pPr>
      <w:rPr>
        <w:b/>
      </w:rPr>
    </w:lvl>
    <w:lvl w:ilvl="1">
      <w:start w:val="1"/>
      <w:numFmt w:val="decimal"/>
      <w:lvlText w:val="%1.%2"/>
      <w:lvlJc w:val="left"/>
      <w:pPr>
        <w:widowControl/>
        <w:ind w:left="720" w:hanging="360"/>
      </w:pPr>
    </w:lvl>
    <w:lvl w:ilvl="2">
      <w:start w:val="1"/>
      <w:numFmt w:val="decimal"/>
      <w:lvlText w:val="%1.%2.%3"/>
      <w:lvlJc w:val="left"/>
      <w:pPr>
        <w:widowControl/>
        <w:ind w:left="1080" w:hanging="720"/>
      </w:pPr>
    </w:lvl>
    <w:lvl w:ilvl="3">
      <w:start w:val="1"/>
      <w:numFmt w:val="decimal"/>
      <w:lvlText w:val="%1.%2.%3.%4"/>
      <w:lvlJc w:val="left"/>
      <w:pPr>
        <w:widowControl/>
        <w:ind w:left="1440" w:hanging="1080"/>
      </w:pPr>
    </w:lvl>
    <w:lvl w:ilvl="4">
      <w:start w:val="1"/>
      <w:numFmt w:val="decimal"/>
      <w:lvlText w:val="%1.%2.%3.%4.%5"/>
      <w:lvlJc w:val="left"/>
      <w:pPr>
        <w:widowControl/>
        <w:ind w:left="1440" w:hanging="1080"/>
      </w:pPr>
    </w:lvl>
    <w:lvl w:ilvl="5">
      <w:start w:val="1"/>
      <w:numFmt w:val="decimal"/>
      <w:lvlText w:val="%1.%2.%3.%4.%5.%6"/>
      <w:lvlJc w:val="left"/>
      <w:pPr>
        <w:widowControl/>
        <w:ind w:left="1800" w:hanging="1440"/>
      </w:pPr>
    </w:lvl>
    <w:lvl w:ilvl="6">
      <w:start w:val="1"/>
      <w:numFmt w:val="decimal"/>
      <w:lvlText w:val="%1.%2.%3.%4.%5.%6.%7"/>
      <w:lvlJc w:val="left"/>
      <w:pPr>
        <w:widowControl/>
        <w:ind w:left="1800" w:hanging="1440"/>
      </w:pPr>
    </w:lvl>
    <w:lvl w:ilvl="7">
      <w:start w:val="1"/>
      <w:numFmt w:val="decimal"/>
      <w:lvlText w:val="%1.%2.%3.%4.%5.%6.%7.%8"/>
      <w:lvlJc w:val="left"/>
      <w:pPr>
        <w:widowControl/>
        <w:ind w:left="2160" w:hanging="1800"/>
      </w:pPr>
    </w:lvl>
    <w:lvl w:ilvl="8">
      <w:start w:val="1"/>
      <w:numFmt w:val="decimal"/>
      <w:lvlText w:val="%1.%2.%3.%4.%5.%6.%7.%8.%9"/>
      <w:lvlJc w:val="left"/>
      <w:pPr>
        <w:widowControl/>
        <w:ind w:left="2160" w:hanging="1800"/>
      </w:pPr>
    </w:lvl>
  </w:abstractNum>
  <w:abstractNum w:abstractNumId="7">
    <w:nsid w:val="66B74600"/>
    <w:multiLevelType w:val="multilevel"/>
    <w:tmpl w:val="6E4AAD8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8">
    <w:nsid w:val="69702EF7"/>
    <w:multiLevelType w:val="multilevel"/>
    <w:tmpl w:val="D938E850"/>
    <w:lvl w:ilvl="0">
      <w:start w:val="1"/>
      <w:numFmt w:val="lowerRoman"/>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9">
    <w:nsid w:val="7EB24566"/>
    <w:multiLevelType w:val="multilevel"/>
    <w:tmpl w:val="53D0CF92"/>
    <w:lvl w:ilvl="0">
      <w:start w:val="1"/>
      <w:numFmt w:val="bullet"/>
      <w:lvlText w:val="●"/>
      <w:lvlJc w:val="left"/>
      <w:pPr>
        <w:widowControl/>
        <w:ind w:left="720" w:hanging="360"/>
      </w:pPr>
      <w:rPr>
        <w:rFonts w:ascii="Arimo Regular" w:eastAsia="Arimo Regular" w:hAnsi="Arimo Regular" w:cs="Arimo Regular"/>
      </w:rPr>
    </w:lvl>
    <w:lvl w:ilvl="1">
      <w:start w:val="1"/>
      <w:numFmt w:val="bullet"/>
      <w:lvlText w:val="●"/>
      <w:lvlJc w:val="left"/>
      <w:pPr>
        <w:widowControl/>
        <w:ind w:left="1440" w:hanging="360"/>
      </w:pPr>
      <w:rPr>
        <w:rFonts w:ascii="Arimo Regular" w:eastAsia="Arimo Regular" w:hAnsi="Arimo Regular" w:cs="Arimo Regular"/>
      </w:rPr>
    </w:lvl>
    <w:lvl w:ilvl="2">
      <w:start w:val="1"/>
      <w:numFmt w:val="bullet"/>
      <w:lvlText w:val="●"/>
      <w:lvlJc w:val="left"/>
      <w:pPr>
        <w:widowControl/>
        <w:ind w:left="2160" w:hanging="360"/>
      </w:pPr>
      <w:rPr>
        <w:rFonts w:ascii="Arimo Regular" w:eastAsia="Arimo Regular" w:hAnsi="Arimo Regular" w:cs="Arimo Regular"/>
      </w:rPr>
    </w:lvl>
    <w:lvl w:ilvl="3">
      <w:start w:val="1"/>
      <w:numFmt w:val="bullet"/>
      <w:lvlText w:val="●"/>
      <w:lvlJc w:val="left"/>
      <w:pPr>
        <w:widowControl/>
        <w:ind w:left="2880" w:hanging="360"/>
      </w:pPr>
      <w:rPr>
        <w:rFonts w:ascii="Arimo Regular" w:eastAsia="Arimo Regular" w:hAnsi="Arimo Regular" w:cs="Arimo Regular"/>
      </w:rPr>
    </w:lvl>
    <w:lvl w:ilvl="4">
      <w:start w:val="1"/>
      <w:numFmt w:val="bullet"/>
      <w:lvlText w:val="●"/>
      <w:lvlJc w:val="left"/>
      <w:pPr>
        <w:widowControl/>
        <w:ind w:left="3600" w:hanging="360"/>
      </w:pPr>
      <w:rPr>
        <w:rFonts w:ascii="Arimo Regular" w:eastAsia="Arimo Regular" w:hAnsi="Arimo Regular" w:cs="Arimo Regular"/>
      </w:rPr>
    </w:lvl>
    <w:lvl w:ilvl="5">
      <w:start w:val="1"/>
      <w:numFmt w:val="bullet"/>
      <w:lvlText w:val="●"/>
      <w:lvlJc w:val="left"/>
      <w:pPr>
        <w:widowControl/>
        <w:ind w:left="4320" w:hanging="360"/>
      </w:pPr>
      <w:rPr>
        <w:rFonts w:ascii="Arimo Regular" w:eastAsia="Arimo Regular" w:hAnsi="Arimo Regular" w:cs="Arimo Regular"/>
      </w:rPr>
    </w:lvl>
    <w:lvl w:ilvl="6">
      <w:start w:val="1"/>
      <w:numFmt w:val="bullet"/>
      <w:lvlText w:val="●"/>
      <w:lvlJc w:val="left"/>
      <w:pPr>
        <w:widowControl/>
        <w:ind w:left="5040" w:hanging="360"/>
      </w:pPr>
      <w:rPr>
        <w:rFonts w:ascii="Arimo Regular" w:eastAsia="Arimo Regular" w:hAnsi="Arimo Regular" w:cs="Arimo Regular"/>
      </w:rPr>
    </w:lvl>
    <w:lvl w:ilvl="7">
      <w:start w:val="1"/>
      <w:numFmt w:val="bullet"/>
      <w:lvlText w:val="●"/>
      <w:lvlJc w:val="left"/>
      <w:pPr>
        <w:widowControl/>
        <w:ind w:left="5760" w:hanging="360"/>
      </w:pPr>
      <w:rPr>
        <w:rFonts w:ascii="Arimo Regular" w:eastAsia="Arimo Regular" w:hAnsi="Arimo Regular" w:cs="Arimo Regular"/>
      </w:rPr>
    </w:lvl>
    <w:lvl w:ilvl="8">
      <w:start w:val="1"/>
      <w:numFmt w:val="bullet"/>
      <w:lvlText w:val="●"/>
      <w:lvlJc w:val="left"/>
      <w:pPr>
        <w:widowControl/>
        <w:ind w:left="6480" w:hanging="360"/>
      </w:pPr>
      <w:rPr>
        <w:rFonts w:ascii="Arimo Regular" w:eastAsia="Arimo Regular" w:hAnsi="Arimo Regular" w:cs="Arimo Regular"/>
      </w:rPr>
    </w:lvl>
  </w:abstractNum>
  <w:num w:numId="1">
    <w:abstractNumId w:val="7"/>
  </w:num>
  <w:num w:numId="2">
    <w:abstractNumId w:val="4"/>
  </w:num>
  <w:num w:numId="3">
    <w:abstractNumId w:val="3"/>
  </w:num>
  <w:num w:numId="4">
    <w:abstractNumId w:val="9"/>
  </w:num>
  <w:num w:numId="5">
    <w:abstractNumId w:val="5"/>
  </w:num>
  <w:num w:numId="6">
    <w:abstractNumId w:val="1"/>
  </w:num>
  <w:num w:numId="7">
    <w:abstractNumId w:val="6"/>
  </w:num>
  <w:num w:numId="8">
    <w:abstractNumId w:val="0"/>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8EC"/>
    <w:rsid w:val="001905AF"/>
    <w:rsid w:val="001C32FF"/>
    <w:rsid w:val="005C70C5"/>
    <w:rsid w:val="005D5057"/>
    <w:rsid w:val="0064225F"/>
    <w:rsid w:val="007528EC"/>
    <w:rsid w:val="00774E85"/>
    <w:rsid w:val="008359D8"/>
    <w:rsid w:val="0098227A"/>
    <w:rsid w:val="00990024"/>
    <w:rsid w:val="00E3218A"/>
    <w:rsid w:val="00F4641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F15262-B178-4D63-8306-1B5D0F75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lang w:val="en-IN" w:eastAsia="en-IN" w:bidi="gu-IN"/>
      </w:rPr>
    </w:rPrDefault>
    <w:pPrDefault>
      <w:pPr>
        <w:spacing w:after="160" w:line="25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unhideWhenUsed/>
    <w:qFormat/>
  </w:style>
  <w:style w:type="paragraph" w:styleId="Heading1">
    <w:name w:val="heading 1"/>
    <w:aliases w:val="heading 1"/>
    <w:basedOn w:val="Normal"/>
    <w:next w:val="Normal"/>
    <w:link w:val="Heading1Char"/>
    <w:uiPriority w:val="1"/>
    <w:unhideWhenUsed/>
    <w:qFormat/>
    <w:pPr>
      <w:keepNext/>
      <w:keepLines/>
      <w:spacing w:before="480" w:after="120"/>
      <w:outlineLvl w:val="0"/>
    </w:pPr>
    <w:rPr>
      <w:b/>
      <w:sz w:val="48"/>
    </w:rPr>
  </w:style>
  <w:style w:type="paragraph" w:styleId="Heading2">
    <w:name w:val="heading 2"/>
    <w:aliases w:val="heading 2"/>
    <w:basedOn w:val="Normal"/>
    <w:next w:val="Normal"/>
    <w:link w:val="Heading2Char"/>
    <w:uiPriority w:val="1"/>
    <w:unhideWhenUsed/>
    <w:qFormat/>
    <w:pPr>
      <w:keepNext/>
      <w:keepLines/>
      <w:spacing w:before="360" w:after="80"/>
      <w:outlineLvl w:val="1"/>
    </w:pPr>
    <w:rPr>
      <w:b/>
      <w:sz w:val="36"/>
    </w:rPr>
  </w:style>
  <w:style w:type="paragraph" w:styleId="Heading3">
    <w:name w:val="heading 3"/>
    <w:aliases w:val="heading 3"/>
    <w:basedOn w:val="Normal"/>
    <w:next w:val="Normal"/>
    <w:link w:val="Heading3Char"/>
    <w:uiPriority w:val="1"/>
    <w:unhideWhenUsed/>
    <w:qFormat/>
    <w:pPr>
      <w:keepNext/>
      <w:keepLines/>
      <w:spacing w:before="280" w:after="80"/>
      <w:outlineLvl w:val="2"/>
    </w:pPr>
    <w:rPr>
      <w:b/>
      <w:sz w:val="28"/>
    </w:rPr>
  </w:style>
  <w:style w:type="paragraph" w:styleId="Heading4">
    <w:name w:val="heading 4"/>
    <w:aliases w:val="heading 4"/>
    <w:basedOn w:val="Normal"/>
    <w:next w:val="Normal"/>
    <w:link w:val="Heading4Char"/>
    <w:uiPriority w:val="1"/>
    <w:unhideWhenUsed/>
    <w:qFormat/>
    <w:pPr>
      <w:keepNext/>
      <w:keepLines/>
      <w:spacing w:before="240" w:after="40"/>
      <w:outlineLvl w:val="3"/>
    </w:pPr>
    <w:rPr>
      <w:b/>
      <w:sz w:val="24"/>
    </w:rPr>
  </w:style>
  <w:style w:type="paragraph" w:styleId="Heading5">
    <w:name w:val="heading 5"/>
    <w:aliases w:val="heading 5"/>
    <w:basedOn w:val="Normal"/>
    <w:next w:val="Normal"/>
    <w:link w:val="Heading5Char"/>
    <w:uiPriority w:val="1"/>
    <w:unhideWhenUsed/>
    <w:qFormat/>
    <w:pPr>
      <w:keepNext/>
      <w:keepLines/>
      <w:spacing w:before="220" w:after="40"/>
      <w:outlineLvl w:val="4"/>
    </w:pPr>
    <w:rPr>
      <w:b/>
    </w:rPr>
  </w:style>
  <w:style w:type="paragraph" w:styleId="Heading6">
    <w:name w:val="heading 6"/>
    <w:aliases w:val="heading 6"/>
    <w:basedOn w:val="Normal"/>
    <w:next w:val="Normal"/>
    <w:link w:val="Heading6Char"/>
    <w:uiPriority w:val="1"/>
    <w:unhideWhenUsed/>
    <w:qFormat/>
    <w:pPr>
      <w:keepNext/>
      <w:keepLines/>
      <w:spacing w:before="200" w:after="40"/>
      <w:outlineLvl w:val="5"/>
    </w:pPr>
    <w:rPr>
      <w:b/>
      <w:sz w:val="20"/>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243F60"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1F497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1F497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
    <w:unhideWhenUsed/>
    <w:qFormat/>
    <w:pPr>
      <w:tabs>
        <w:tab w:val="center" w:pos="4680"/>
        <w:tab w:val="right" w:pos="9360"/>
      </w:tabs>
      <w:spacing w:after="0" w:line="240" w:lineRule="auto"/>
    </w:pPr>
  </w:style>
  <w:style w:type="paragraph" w:styleId="Title">
    <w:name w:val="Title"/>
    <w:basedOn w:val="Normal"/>
    <w:next w:val="Normal"/>
    <w:link w:val="TitleChar"/>
    <w:uiPriority w:val="1"/>
    <w:unhideWhenUsed/>
    <w:qFormat/>
    <w:pPr>
      <w:keepNext/>
      <w:keepLines/>
      <w:spacing w:before="480" w:after="120"/>
    </w:pPr>
    <w:rPr>
      <w:b/>
      <w:sz w:val="72"/>
    </w:rPr>
  </w:style>
  <w:style w:type="paragraph" w:styleId="Subtitle">
    <w:name w:val="Subtitle"/>
    <w:basedOn w:val="Normal"/>
    <w:next w:val="Normal"/>
    <w:link w:val="SubtitleChar"/>
    <w:uiPriority w:val="1"/>
    <w:unhideWhenUsed/>
    <w:qFormat/>
    <w:pPr>
      <w:spacing w:before="240" w:after="480" w:line="240" w:lineRule="auto"/>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pBdr>
        <w:top w:val="single" w:sz="0" w:space="7" w:color="000000"/>
        <w:left w:val="single" w:sz="24" w:space="7" w:color="365F91" w:themeColor="accent1" w:themeShade="BF"/>
        <w:bottom w:val="single" w:sz="0" w:space="7" w:color="000000"/>
      </w:pBdr>
      <w:shd w:val="clear" w:color="auto" w:fill="DBE5F1" w:themeFill="accent1" w:themeFillTint="33"/>
      <w:spacing w:after="360" w:line="311" w:lineRule="auto"/>
    </w:pPr>
    <w:rPr>
      <w:rFonts w:asciiTheme="minorHAnsi" w:eastAsiaTheme="minorHAnsi" w:hAnsiTheme="minorHAnsi" w:cstheme="minorHAnsi"/>
      <w:color w:val="000000" w:themeColor="dark1"/>
      <w:sz w:val="24"/>
    </w:rPr>
  </w:style>
  <w:style w:type="paragraph" w:styleId="IntenseQuote">
    <w:name w:val="Intense Quote"/>
    <w:basedOn w:val="Normal"/>
    <w:next w:val="Normal"/>
    <w:uiPriority w:val="1"/>
    <w:unhideWhenUsed/>
    <w:qFormat/>
    <w:pPr>
      <w:pBdr>
        <w:left w:val="single" w:sz="18" w:space="0" w:color="4F81BD" w:themeColor="accent1"/>
      </w:pBdr>
      <w:spacing w:before="100" w:line="300" w:lineRule="auto"/>
      <w:ind w:left="1224" w:right="1224"/>
    </w:pPr>
    <w:rPr>
      <w:rFonts w:asciiTheme="majorHAnsi" w:eastAsiaTheme="majorHAnsi" w:hAnsiTheme="majorHAnsi" w:cstheme="majorHAnsi"/>
      <w:color w:val="4F81BD" w:themeColor="accent1"/>
      <w:sz w:val="28"/>
    </w:rPr>
  </w:style>
  <w:style w:type="paragraph" w:styleId="BalloonText">
    <w:name w:val="Balloon Text"/>
    <w:basedOn w:val="Normal"/>
    <w:uiPriority w:val="1"/>
    <w:unhideWhenUsed/>
    <w:qFormat/>
    <w:pPr>
      <w:spacing w:after="0" w:line="240" w:lineRule="auto"/>
    </w:pPr>
    <w:rPr>
      <w:rFonts w:ascii="Segoe UI" w:eastAsia="Segoe UI" w:hAnsi="Segoe UI" w:cs="Segoe UI"/>
      <w:sz w:val="18"/>
    </w:rPr>
  </w:style>
  <w:style w:type="paragraph" w:styleId="ListParagraph">
    <w:name w:val="List Paragraph"/>
    <w:basedOn w:val="Normal"/>
    <w:uiPriority w:val="1"/>
    <w:unhideWhenUsed/>
    <w:qFormat/>
    <w:pPr>
      <w:ind w:left="720"/>
    </w:pPr>
  </w:style>
  <w:style w:type="paragraph" w:styleId="Footer">
    <w:name w:val="footer"/>
    <w:basedOn w:val="Normal"/>
    <w:uiPriority w:val="1"/>
    <w:unhideWhenUsed/>
    <w:qFormat/>
    <w:pPr>
      <w:tabs>
        <w:tab w:val="center" w:pos="4680"/>
        <w:tab w:val="right" w:pos="9360"/>
      </w:tabs>
      <w:spacing w:after="0" w:line="240" w:lineRule="auto"/>
    </w:pPr>
  </w:style>
  <w:style w:type="paragraph" w:styleId="NoSpacing">
    <w:name w:val="No Spacing"/>
    <w:uiPriority w:val="1"/>
    <w:unhideWhenUsed/>
    <w:qFormat/>
    <w:pPr>
      <w:spacing w:after="0" w:line="240" w:lineRule="auto"/>
    </w:pPr>
    <w:rPr>
      <w:rFonts w:ascii="Cambria" w:eastAsia="Cambria" w:hAnsi="Cambria" w:cs="Cambria"/>
    </w:rPr>
  </w:style>
  <w:style w:type="character" w:customStyle="1" w:styleId="Heading4Char">
    <w:name w:val="Heading 4 Char"/>
    <w:aliases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1F497D" w:themeColor="dark2"/>
      <w:sz w:val="20"/>
    </w:rPr>
  </w:style>
  <w:style w:type="character" w:customStyle="1" w:styleId="BalloonTextChar">
    <w:name w:val="Balloon Text Char"/>
    <w:basedOn w:val="DefaultParagraphFont"/>
    <w:uiPriority w:val="1"/>
    <w:unhideWhenUsed/>
    <w:qFormat/>
    <w:rPr>
      <w:rFonts w:ascii="Segoe UI" w:eastAsia="Segoe UI" w:hAnsi="Segoe UI" w:cs="Segoe UI"/>
      <w:sz w:val="18"/>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erChar">
    <w:name w:val="Header Char"/>
    <w:basedOn w:val="DefaultParagraphFont"/>
    <w:uiPriority w:val="1"/>
    <w:unhideWhenUsed/>
    <w:qFormat/>
  </w:style>
  <w:style w:type="character" w:customStyle="1" w:styleId="Heading2Char">
    <w:name w:val="Heading 2 Char"/>
    <w:aliases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1F497D" w:themeColor="dark2"/>
      <w:sz w:val="20"/>
    </w:rPr>
  </w:style>
  <w:style w:type="character" w:customStyle="1" w:styleId="Heading6Char">
    <w:name w:val="Heading 6 Char"/>
    <w:aliases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5F91"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0" w:themeColor="accent1" w:themeShade="7F"/>
      <w:sz w:val="20"/>
    </w:rPr>
  </w:style>
  <w:style w:type="character" w:customStyle="1" w:styleId="Heading1Char">
    <w:name w:val="Heading 1 Char"/>
    <w:aliases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aliases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aliases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character" w:customStyle="1" w:styleId="FooterChar">
    <w:name w:val="Footer Char"/>
    <w:basedOn w:val="DefaultParagraphFont"/>
    <w:uiPriority w:val="1"/>
    <w:unhideWhenUsed/>
    <w:qFormat/>
  </w:style>
  <w:style w:type="table" w:customStyle="1" w:styleId="a">
    <w:uiPriority w:val="1"/>
    <w:unhideWhenUsed/>
    <w:qFormat/>
    <w:tblPr>
      <w:tblInd w:w="0" w:type="dxa"/>
      <w:tblCellMar>
        <w:top w:w="0" w:type="dxa"/>
        <w:left w:w="0" w:type="dxa"/>
        <w:bottom w:w="0" w:type="dxa"/>
        <w:right w:w="0" w:type="dxa"/>
      </w:tblCellMar>
    </w:tblPr>
    <w:tcPr>
      <w:tcMar>
        <w:left w:w="90" w:type="dxa"/>
        <w:right w:w="90" w:type="dxa"/>
      </w:tcMar>
    </w:tcPr>
  </w:style>
  <w:style w:type="table" w:customStyle="1" w:styleId="a0">
    <w:uiPriority w:val="1"/>
    <w:unhideWhenUsed/>
    <w:qFormat/>
    <w:tblPr>
      <w:tblInd w:w="0" w:type="dxa"/>
      <w:tblCellMar>
        <w:top w:w="0" w:type="dxa"/>
        <w:left w:w="0" w:type="dxa"/>
        <w:bottom w:w="0" w:type="dxa"/>
        <w:right w:w="0" w:type="dxa"/>
      </w:tblCellMar>
    </w:tblPr>
    <w:tcPr>
      <w:tcMar>
        <w:left w:w="90" w:type="dxa"/>
        <w:right w:w="9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2026-06-22T07:11:00Z</dcterms:created>
  <dcterms:modified xsi:type="dcterms:W3CDTF">2026-06-22T07:48:00Z</dcterms:modified>
</cp:coreProperties>
</file>