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209B7" w:sz="6"/>
        </w:pBdr>
        <w:spacing w:after="100" w:before="0"/>
        <w:jc w:val="center"/>
      </w:pPr>
      <w:r>
        <w:rPr>
          <w:rFonts w:ascii="Arial" w:cs="Arial" w:eastAsia="Arial" w:hAnsi="Arial"/>
          <w:b/>
          <w:bCs/>
          <w:color w:val="7209B7"/>
          <w:sz w:val="36"/>
          <w:szCs w:val="36"/>
        </w:rPr>
        <w:t xml:space="preserve">EXECUTIVE SUMMARY</w:t>
      </w:r>
    </w:p>
    <w:p>
      <w:pPr>
        <w:spacing w:after="60" w:before="80"/>
        <w:jc w:val="center"/>
      </w:pPr>
      <w:r>
        <w:rPr>
          <w:rFonts w:ascii="Arial" w:cs="Arial" w:eastAsia="Arial" w:hAnsi="Arial"/>
          <w:b/>
          <w:bCs/>
          <w:color w:val="1A1A2E"/>
          <w:sz w:val="28"/>
          <w:szCs w:val="28"/>
        </w:rPr>
        <w:t xml:space="preserve">Factory-to-Customer Shipping Route Efficiency Analysis</w:t>
      </w:r>
    </w:p>
    <w:p>
      <w:pPr>
        <w:spacing w:after="300" w:before="0"/>
        <w:jc w:val="center"/>
      </w:pPr>
      <w:r>
        <w:rPr>
          <w:rFonts w:ascii="Arial" w:cs="Arial" w:eastAsia="Arial" w:hAnsi="Arial"/>
          <w:color w:val="666666"/>
          <w:sz w:val="20"/>
          <w:szCs w:val="20"/>
        </w:rPr>
        <w:t xml:space="preserve">Nassau Candy Distributor  |  Unified Mentor Internship Project  |  2024-2025</w:t>
      </w:r>
    </w:p>
    <w:p>
      <w:pPr>
        <w:spacing w:after="120" w:before="300"/>
      </w:pPr>
      <w:r>
        <w:rPr>
          <w:rFonts w:ascii="Arial" w:cs="Arial" w:eastAsia="Arial" w:hAnsi="Arial"/>
          <w:b/>
          <w:bCs/>
          <w:color w:val="7209B7"/>
          <w:sz w:val="30"/>
          <w:szCs w:val="30"/>
        </w:rPr>
        <w:t xml:space="preserve">Purpose</w:t>
      </w:r>
    </w:p>
    <w:p>
      <w:pPr>
        <w:spacing w:after="60" w:before="60"/>
        <w:jc w:val="both"/>
      </w:pPr>
      <w:r>
        <w:rPr>
          <w:rFonts w:ascii="Arial" w:cs="Arial" w:eastAsia="Arial" w:hAnsi="Arial"/>
          <w:sz w:val="22"/>
          <w:szCs w:val="22"/>
        </w:rPr>
        <w:t xml:space="preserve">This executive summary presents the key findings and strategic recommendations from a comprehensive analysis of Nassau Candy Distributor's shipping route efficiency. The analysis examines 10,194 shipment records across 5 factories, 15 products, 4 regions, and 59 US states to identify logistics optimization opportunities that will reduce delivery times, lower operational costs, and improve customer satisfaction.</w:t>
      </w:r>
    </w:p>
    <w:p>
      <w:pPr>
        <w:spacing w:after="60" w:before="60"/>
      </w:pPr>
      <w:r>
        <w:t xml:space="preserve"/>
      </w:r>
    </w:p>
    <w:p>
      <w:pPr>
        <w:spacing w:after="120" w:before="300"/>
      </w:pPr>
      <w:r>
        <w:rPr>
          <w:rFonts w:ascii="Arial" w:cs="Arial" w:eastAsia="Arial" w:hAnsi="Arial"/>
          <w:b/>
          <w:bCs/>
          <w:color w:val="7209B7"/>
          <w:sz w:val="30"/>
          <w:szCs w:val="30"/>
        </w:rPr>
        <w:t xml:space="preserve">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r>
              <w:rPr>
                <w:rFonts w:ascii="Arial" w:cs="Arial" w:eastAsia="Arial" w:hAnsi="Arial"/>
                <w:b/>
                <w:bCs/>
                <w:sz w:val="22"/>
                <w:szCs w:val="22"/>
              </w:rPr>
              <w:t xml:space="preserve">Total Orders Analyzed</w:t>
            </w:r>
          </w:p>
        </w:tc>
        <w:tc>
          <w:tcPr>
            <w:tcW w:type="dxa" w:w="468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pPr>
              <w:jc w:val="center"/>
            </w:pPr>
            <w:r>
              <w:rPr>
                <w:rFonts w:ascii="Arial" w:cs="Arial" w:eastAsia="Arial" w:hAnsi="Arial"/>
                <w:b/>
                <w:bCs/>
                <w:color w:val="7209B7"/>
                <w:sz w:val="24"/>
                <w:szCs w:val="24"/>
              </w:rPr>
              <w:t xml:space="preserve">10,194</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2"/>
                <w:szCs w:val="22"/>
              </w:rPr>
              <w:t xml:space="preserve">Analysis Period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7209B7"/>
                <w:sz w:val="24"/>
                <w:szCs w:val="24"/>
              </w:rPr>
              <w:t xml:space="preserve">Jan 2024 - Dec 2025</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r>
              <w:rPr>
                <w:rFonts w:ascii="Arial" w:cs="Arial" w:eastAsia="Arial" w:hAnsi="Arial"/>
                <w:b/>
                <w:bCs/>
                <w:sz w:val="22"/>
                <w:szCs w:val="22"/>
              </w:rPr>
              <w:t xml:space="preserve">Average Shipping Lead Time</w:t>
            </w:r>
          </w:p>
        </w:tc>
        <w:tc>
          <w:tcPr>
            <w:tcW w:type="dxa" w:w="468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pPr>
              <w:jc w:val="center"/>
            </w:pPr>
            <w:r>
              <w:rPr>
                <w:rFonts w:ascii="Arial" w:cs="Arial" w:eastAsia="Arial" w:hAnsi="Arial"/>
                <w:b/>
                <w:bCs/>
                <w:color w:val="7209B7"/>
                <w:sz w:val="24"/>
                <w:szCs w:val="24"/>
              </w:rPr>
              <w:t xml:space="preserve">1,320.8 days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2"/>
                <w:szCs w:val="22"/>
              </w:rPr>
              <w:t xml:space="preserve">Lead Time Range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7209B7"/>
                <w:sz w:val="24"/>
                <w:szCs w:val="24"/>
              </w:rPr>
              <w:t xml:space="preserve">904 to 1,642 days</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r>
              <w:rPr>
                <w:rFonts w:ascii="Arial" w:cs="Arial" w:eastAsia="Arial" w:hAnsi="Arial"/>
                <w:b/>
                <w:bCs/>
                <w:sz w:val="22"/>
                <w:szCs w:val="22"/>
              </w:rPr>
              <w:t xml:space="preserve">Current Delay Rate</w:t>
            </w:r>
          </w:p>
        </w:tc>
        <w:tc>
          <w:tcPr>
            <w:tcW w:type="dxa" w:w="468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pPr>
              <w:jc w:val="center"/>
            </w:pPr>
            <w:r>
              <w:rPr>
                <w:rFonts w:ascii="Arial" w:cs="Arial" w:eastAsia="Arial" w:hAnsi="Arial"/>
                <w:b/>
                <w:bCs/>
                <w:color w:val="7209B7"/>
                <w:sz w:val="24"/>
                <w:szCs w:val="24"/>
              </w:rPr>
              <w:t xml:space="preserve">21.1%</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2"/>
                <w:szCs w:val="22"/>
              </w:rPr>
              <w:t xml:space="preserve">Unique Routes Analyzed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7209B7"/>
                <w:sz w:val="24"/>
                <w:szCs w:val="24"/>
              </w:rPr>
              <w:t xml:space="preserve">196</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r>
              <w:rPr>
                <w:rFonts w:ascii="Arial" w:cs="Arial" w:eastAsia="Arial" w:hAnsi="Arial"/>
                <w:b/>
                <w:bCs/>
                <w:sz w:val="22"/>
                <w:szCs w:val="22"/>
              </w:rPr>
              <w:t xml:space="preserve">Number of Factories</w:t>
            </w:r>
          </w:p>
        </w:tc>
        <w:tc>
          <w:tcPr>
            <w:tcW w:type="dxa" w:w="468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tcPr>
          <w:p>
            <w:pPr>
              <w:jc w:val="center"/>
            </w:pPr>
            <w:r>
              <w:rPr>
                <w:rFonts w:ascii="Arial" w:cs="Arial" w:eastAsia="Arial" w:hAnsi="Arial"/>
                <w:b/>
                <w:bCs/>
                <w:color w:val="7209B7"/>
                <w:sz w:val="24"/>
                <w:szCs w:val="24"/>
              </w:rPr>
              <w:t xml:space="preserve">5</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2"/>
                <w:szCs w:val="22"/>
              </w:rPr>
              <w:t xml:space="preserve">US States/Territories Served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7209B7"/>
                <w:sz w:val="24"/>
                <w:szCs w:val="24"/>
              </w:rPr>
              <w:t xml:space="preserve">59</w:t>
            </w:r>
          </w:p>
        </w:tc>
      </w:tr>
    </w:tbl>
    <w:p>
      <w:pPr>
        <w:spacing w:after="60" w:before="60"/>
      </w:pPr>
      <w:r>
        <w:t xml:space="preserve"/>
      </w:r>
    </w:p>
    <w:p>
      <w:pPr>
        <w:spacing w:after="120" w:before="300"/>
      </w:pPr>
      <w:r>
        <w:rPr>
          <w:rFonts w:ascii="Arial" w:cs="Arial" w:eastAsia="Arial" w:hAnsi="Arial"/>
          <w:b/>
          <w:bCs/>
          <w:color w:val="7209B7"/>
          <w:sz w:val="30"/>
          <w:szCs w:val="30"/>
        </w:rPr>
        <w:t xml:space="preserve">Critical Findings</w:t>
      </w:r>
    </w:p>
    <w:p>
      <w:pPr>
        <w:spacing w:after="80" w:before="200"/>
      </w:pPr>
      <w:r>
        <w:rPr>
          <w:rFonts w:ascii="Arial" w:cs="Arial" w:eastAsia="Arial" w:hAnsi="Arial"/>
          <w:b/>
          <w:bCs/>
          <w:color w:val="3A0CA3"/>
          <w:sz w:val="24"/>
          <w:szCs w:val="24"/>
        </w:rPr>
        <w:t xml:space="preserve">1. Factory Performance</w:t>
      </w:r>
    </w:p>
    <w:p>
      <w:pPr>
        <w:spacing w:after="60" w:before="60"/>
        <w:jc w:val="both"/>
      </w:pPr>
      <w:r>
        <w:rPr>
          <w:rFonts w:ascii="Arial" w:cs="Arial" w:eastAsia="Arial" w:hAnsi="Arial"/>
          <w:sz w:val="22"/>
          <w:szCs w:val="22"/>
        </w:rPr>
        <w:t xml:space="preserve">The Other Factory (Tennessee) is the highest-performing facility with an average lead time of 1,280 days and an efficiency score of 49.0/100. Sugar Shack (Minnesota) is the slowest despite minimal order volume (33 orders). Lot's O' Nuts (Arizona) and Wicked Choccy's (Georgia) handle 96.6% of all orders with comparable mid-range performance.</w:t>
      </w:r>
    </w:p>
    <w:p>
      <w:pPr>
        <w:spacing w:after="60" w:before="60"/>
      </w:pPr>
      <w:r>
        <w:t xml:space="preserve"/>
      </w:r>
    </w:p>
    <w:p>
      <w:pPr>
        <w:spacing w:after="80" w:before="200"/>
      </w:pPr>
      <w:r>
        <w:rPr>
          <w:rFonts w:ascii="Arial" w:cs="Arial" w:eastAsia="Arial" w:hAnsi="Arial"/>
          <w:b/>
          <w:bCs/>
          <w:color w:val="3A0CA3"/>
          <w:sz w:val="24"/>
          <w:szCs w:val="24"/>
        </w:rPr>
        <w:t xml:space="preserve">2. Shipping Mode Anomaly — Urgent Investigation Required</w:t>
      </w:r>
    </w:p>
    <w:p>
      <w:pPr>
        <w:spacing w:after="60" w:before="60"/>
        <w:jc w:val="both"/>
      </w:pPr>
      <w:r>
        <w:rPr>
          <w:rFonts w:ascii="Arial" w:cs="Arial" w:eastAsia="Arial" w:hAnsi="Arial"/>
          <w:sz w:val="22"/>
          <w:szCs w:val="22"/>
        </w:rPr>
        <w:t xml:space="preserve">Standard Class shipping unexpectedly outperforms all expedited modes, recording the lowest average lead time of 1,314 days. First Class shipping is the slowest at 1,338 days. This counterintuitive result suggests potential misclassification of shipment types or systemic inefficiencies in the expedited shipping pipeline that require immediate investigation.</w:t>
      </w:r>
    </w:p>
    <w:p>
      <w:pPr>
        <w:spacing w:after="60" w:before="60"/>
      </w:pPr>
      <w:r>
        <w:t xml:space="preserve"/>
      </w:r>
    </w:p>
    <w:p>
      <w:pPr>
        <w:spacing w:after="80" w:before="200"/>
      </w:pPr>
      <w:r>
        <w:rPr>
          <w:rFonts w:ascii="Arial" w:cs="Arial" w:eastAsia="Arial" w:hAnsi="Arial"/>
          <w:b/>
          <w:bCs/>
          <w:color w:val="3A0CA3"/>
          <w:sz w:val="24"/>
          <w:szCs w:val="24"/>
        </w:rPr>
        <w:t xml:space="preserve">3. Geographic Bottlenecks</w:t>
      </w:r>
    </w:p>
    <w:p>
      <w:pPr>
        <w:spacing w:after="60" w:before="60"/>
        <w:jc w:val="both"/>
      </w:pPr>
      <w:r>
        <w:rPr>
          <w:rFonts w:ascii="Arial" w:cs="Arial" w:eastAsia="Arial" w:hAnsi="Arial"/>
          <w:sz w:val="22"/>
          <w:szCs w:val="22"/>
        </w:rPr>
        <w:t xml:space="preserve">The following routes represent the highest-priority optimization targets:</w:t>
      </w:r>
    </w:p>
    <w:p>
      <w:pPr>
        <w:pStyle w:val="ListParagraph"/>
        <w:numPr>
          <w:ilvl w:val="0"/>
          <w:numId w:val="2"/>
        </w:numPr>
        <w:spacing w:after="40" w:before="40"/>
      </w:pPr>
      <w:r>
        <w:rPr>
          <w:rFonts w:ascii="Arial" w:cs="Arial" w:eastAsia="Arial" w:hAnsi="Arial"/>
          <w:sz w:val="22"/>
          <w:szCs w:val="22"/>
        </w:rPr>
        <w:t xml:space="preserve">Sugar Shack (MN) to New Jersey: 1,642 days — efficiency score of 0.0/100 (worst in network)</w:t>
      </w:r>
    </w:p>
    <w:p>
      <w:pPr>
        <w:pStyle w:val="ListParagraph"/>
        <w:numPr>
          <w:ilvl w:val="0"/>
          <w:numId w:val="2"/>
        </w:numPr>
        <w:spacing w:after="40" w:before="40"/>
      </w:pPr>
      <w:r>
        <w:rPr>
          <w:rFonts w:ascii="Arial" w:cs="Arial" w:eastAsia="Arial" w:hAnsi="Arial"/>
          <w:sz w:val="22"/>
          <w:szCs w:val="22"/>
        </w:rPr>
        <w:t xml:space="preserve">Lot's O' Nuts (AZ) to North Dakota: 1,638 days — efficiency score of 0.5/100</w:t>
      </w:r>
    </w:p>
    <w:p>
      <w:pPr>
        <w:pStyle w:val="ListParagraph"/>
        <w:numPr>
          <w:ilvl w:val="0"/>
          <w:numId w:val="2"/>
        </w:numPr>
        <w:spacing w:after="40" w:before="40"/>
      </w:pPr>
      <w:r>
        <w:rPr>
          <w:rFonts w:ascii="Arial" w:cs="Arial" w:eastAsia="Arial" w:hAnsi="Arial"/>
          <w:sz w:val="22"/>
          <w:szCs w:val="22"/>
        </w:rPr>
        <w:t xml:space="preserve">Wicked Choccy's (GA) to West Virginia: 1,639 days — efficiency score of 0.4/100</w:t>
      </w:r>
    </w:p>
    <w:p>
      <w:pPr>
        <w:spacing w:after="60" w:before="60"/>
      </w:pPr>
      <w:r>
        <w:t xml:space="preserve"/>
      </w:r>
    </w:p>
    <w:p>
      <w:pPr>
        <w:spacing w:after="80" w:before="200"/>
      </w:pPr>
      <w:r>
        <w:rPr>
          <w:rFonts w:ascii="Arial" w:cs="Arial" w:eastAsia="Arial" w:hAnsi="Arial"/>
          <w:b/>
          <w:bCs/>
          <w:color w:val="3A0CA3"/>
          <w:sz w:val="24"/>
          <w:szCs w:val="24"/>
        </w:rPr>
        <w:t xml:space="preserve">4. Regional Performance</w:t>
      </w:r>
    </w:p>
    <w:p>
      <w:pPr>
        <w:spacing w:after="60" w:before="60"/>
        <w:jc w:val="both"/>
      </w:pPr>
      <w:r>
        <w:rPr>
          <w:rFonts w:ascii="Arial" w:cs="Arial" w:eastAsia="Arial" w:hAnsi="Arial"/>
          <w:sz w:val="22"/>
          <w:szCs w:val="22"/>
        </w:rPr>
        <w:t xml:space="preserve">The Gulf region is the fastest (avg 1,311 days), while the Interior region is the slowest (avg 1,323 days). Atlantic and Pacific regions show similar mid-range performance.</w:t>
      </w:r>
    </w:p>
    <w:p>
      <w:pPr>
        <w:spacing w:after="60" w:before="60"/>
      </w:pPr>
      <w:r>
        <w:t xml:space="preserve"/>
      </w:r>
    </w:p>
    <w:p>
      <w:pPr>
        <w:spacing w:after="80" w:before="200"/>
      </w:pPr>
      <w:r>
        <w:rPr>
          <w:rFonts w:ascii="Arial" w:cs="Arial" w:eastAsia="Arial" w:hAnsi="Arial"/>
          <w:b/>
          <w:bCs/>
          <w:color w:val="3A0CA3"/>
          <w:sz w:val="24"/>
          <w:szCs w:val="24"/>
        </w:rPr>
        <w:t xml:space="preserve">5. Best Performing Routes</w:t>
      </w:r>
    </w:p>
    <w:p>
      <w:pPr>
        <w:spacing w:after="60" w:before="60"/>
        <w:jc w:val="both"/>
      </w:pPr>
      <w:r>
        <w:rPr>
          <w:rFonts w:ascii="Arial" w:cs="Arial" w:eastAsia="Arial" w:hAnsi="Arial"/>
          <w:sz w:val="22"/>
          <w:szCs w:val="22"/>
        </w:rPr>
        <w:t xml:space="preserve">Secret Factory (Iowa) to New Mexico and Nebraska achieve near-perfect efficiency scores of 99.7/100 with lead times of just 906 days — demonstrating that highly efficient delivery is achievable within the current network when geographic conditions are favorable.</w:t>
      </w:r>
    </w:p>
    <w:p>
      <w:pPr>
        <w:spacing w:after="60" w:before="60"/>
      </w:pPr>
      <w:r>
        <w:t xml:space="preserve"/>
      </w:r>
    </w:p>
    <w:p>
      <w:pPr>
        <w:spacing w:after="120" w:before="300"/>
      </w:pPr>
      <w:r>
        <w:rPr>
          <w:rFonts w:ascii="Arial" w:cs="Arial" w:eastAsia="Arial" w:hAnsi="Arial"/>
          <w:b/>
          <w:bCs/>
          <w:color w:val="7209B7"/>
          <w:sz w:val="30"/>
          <w:szCs w:val="30"/>
        </w:rPr>
        <w:t xml:space="preserve">Strategic Recommendations</w:t>
      </w:r>
    </w:p>
    <w:p>
      <w:pPr>
        <w:spacing w:after="80" w:before="200"/>
      </w:pPr>
      <w:r>
        <w:rPr>
          <w:rFonts w:ascii="Arial" w:cs="Arial" w:eastAsia="Arial" w:hAnsi="Arial"/>
          <w:b/>
          <w:bCs/>
          <w:color w:val="3A0CA3"/>
          <w:sz w:val="24"/>
          <w:szCs w:val="24"/>
        </w:rPr>
        <w:t xml:space="preserve">Immediate Actions (0-3 months)</w:t>
      </w:r>
    </w:p>
    <w:p>
      <w:pPr>
        <w:pStyle w:val="ListParagraph"/>
        <w:numPr>
          <w:ilvl w:val="0"/>
          <w:numId w:val="2"/>
        </w:numPr>
        <w:spacing w:after="40" w:before="40"/>
      </w:pPr>
      <w:r>
        <w:rPr>
          <w:rFonts w:ascii="Arial" w:cs="Arial" w:eastAsia="Arial" w:hAnsi="Arial"/>
          <w:sz w:val="22"/>
          <w:szCs w:val="22"/>
        </w:rPr>
        <w:t xml:space="preserve">Launch audit of First Class and Same Day shipping processes to identify why they underperform Standard Class</w:t>
      </w:r>
    </w:p>
    <w:p>
      <w:pPr>
        <w:pStyle w:val="ListParagraph"/>
        <w:numPr>
          <w:ilvl w:val="0"/>
          <w:numId w:val="2"/>
        </w:numPr>
        <w:spacing w:after="40" w:before="40"/>
      </w:pPr>
      <w:r>
        <w:rPr>
          <w:rFonts w:ascii="Arial" w:cs="Arial" w:eastAsia="Arial" w:hAnsi="Arial"/>
          <w:sz w:val="22"/>
          <w:szCs w:val="22"/>
        </w:rPr>
        <w:t xml:space="preserve">Re-route Sugar Shack (MN) orders to Secret Factory (IA) given geographic proximity and Sugar Shack's poor performance</w:t>
      </w:r>
    </w:p>
    <w:p>
      <w:pPr>
        <w:pStyle w:val="ListParagraph"/>
        <w:numPr>
          <w:ilvl w:val="0"/>
          <w:numId w:val="2"/>
        </w:numPr>
        <w:spacing w:after="40" w:before="40"/>
      </w:pPr>
      <w:r>
        <w:rPr>
          <w:rFonts w:ascii="Arial" w:cs="Arial" w:eastAsia="Arial" w:hAnsi="Arial"/>
          <w:sz w:val="22"/>
          <w:szCs w:val="22"/>
        </w:rPr>
        <w:t xml:space="preserve">Establish dedicated carrier agreements for the Interior region to address consistently slow performance</w:t>
      </w:r>
    </w:p>
    <w:p>
      <w:pPr>
        <w:spacing w:after="60" w:before="60"/>
      </w:pPr>
      <w:r>
        <w:t xml:space="preserve"/>
      </w:r>
    </w:p>
    <w:p>
      <w:pPr>
        <w:spacing w:after="80" w:before="200"/>
      </w:pPr>
      <w:r>
        <w:rPr>
          <w:rFonts w:ascii="Arial" w:cs="Arial" w:eastAsia="Arial" w:hAnsi="Arial"/>
          <w:b/>
          <w:bCs/>
          <w:color w:val="3A0CA3"/>
          <w:sz w:val="24"/>
          <w:szCs w:val="24"/>
        </w:rPr>
        <w:t xml:space="preserve">Medium-Term Actions (3-12 months)</w:t>
      </w:r>
    </w:p>
    <w:p>
      <w:pPr>
        <w:pStyle w:val="ListParagraph"/>
        <w:numPr>
          <w:ilvl w:val="0"/>
          <w:numId w:val="2"/>
        </w:numPr>
        <w:spacing w:after="40" w:before="40"/>
      </w:pPr>
      <w:r>
        <w:rPr>
          <w:rFonts w:ascii="Arial" w:cs="Arial" w:eastAsia="Arial" w:hAnsi="Arial"/>
          <w:sz w:val="22"/>
          <w:szCs w:val="22"/>
        </w:rPr>
        <w:t xml:space="preserve">Deploy real-time lead time dashboards (Streamlit dashboard now available) for proactive monitoring</w:t>
      </w:r>
    </w:p>
    <w:p>
      <w:pPr>
        <w:pStyle w:val="ListParagraph"/>
        <w:numPr>
          <w:ilvl w:val="0"/>
          <w:numId w:val="2"/>
        </w:numPr>
        <w:spacing w:after="40" w:before="40"/>
      </w:pPr>
      <w:r>
        <w:rPr>
          <w:rFonts w:ascii="Arial" w:cs="Arial" w:eastAsia="Arial" w:hAnsi="Arial"/>
          <w:sz w:val="22"/>
          <w:szCs w:val="22"/>
        </w:rPr>
        <w:t xml:space="preserve">Establish regional distribution hubs in the Mountain West and Upper Midwest to reduce transit times</w:t>
      </w:r>
    </w:p>
    <w:p>
      <w:pPr>
        <w:pStyle w:val="ListParagraph"/>
        <w:numPr>
          <w:ilvl w:val="0"/>
          <w:numId w:val="2"/>
        </w:numPr>
        <w:spacing w:after="40" w:before="40"/>
      </w:pPr>
      <w:r>
        <w:rPr>
          <w:rFonts w:ascii="Arial" w:cs="Arial" w:eastAsia="Arial" w:hAnsi="Arial"/>
          <w:sz w:val="22"/>
          <w:szCs w:val="22"/>
        </w:rPr>
        <w:t xml:space="preserve">Implement route-level carrier performance scorecards for accountability</w:t>
      </w:r>
    </w:p>
    <w:p>
      <w:pPr>
        <w:spacing w:after="60" w:before="60"/>
      </w:pPr>
      <w:r>
        <w:t xml:space="preserve"/>
      </w:r>
    </w:p>
    <w:p>
      <w:pPr>
        <w:spacing w:after="80" w:before="200"/>
      </w:pPr>
      <w:r>
        <w:rPr>
          <w:rFonts w:ascii="Arial" w:cs="Arial" w:eastAsia="Arial" w:hAnsi="Arial"/>
          <w:b/>
          <w:bCs/>
          <w:color w:val="3A0CA3"/>
          <w:sz w:val="24"/>
          <w:szCs w:val="24"/>
        </w:rPr>
        <w:t xml:space="preserve">Long-Term Initiatives (12+ months)</w:t>
      </w:r>
    </w:p>
    <w:p>
      <w:pPr>
        <w:pStyle w:val="ListParagraph"/>
        <w:numPr>
          <w:ilvl w:val="0"/>
          <w:numId w:val="2"/>
        </w:numPr>
        <w:spacing w:after="40" w:before="40"/>
      </w:pPr>
      <w:r>
        <w:rPr>
          <w:rFonts w:ascii="Arial" w:cs="Arial" w:eastAsia="Arial" w:hAnsi="Arial"/>
          <w:sz w:val="22"/>
          <w:szCs w:val="22"/>
        </w:rPr>
        <w:t xml:space="preserve">Build predictive delivery time models to set accurate customer expectations at order placement</w:t>
      </w:r>
    </w:p>
    <w:p>
      <w:pPr>
        <w:pStyle w:val="ListParagraph"/>
        <w:numPr>
          <w:ilvl w:val="0"/>
          <w:numId w:val="2"/>
        </w:numPr>
        <w:spacing w:after="40" w:before="40"/>
      </w:pPr>
      <w:r>
        <w:rPr>
          <w:rFonts w:ascii="Arial" w:cs="Arial" w:eastAsia="Arial" w:hAnsi="Arial"/>
          <w:sz w:val="22"/>
          <w:szCs w:val="22"/>
        </w:rPr>
        <w:t xml:space="preserve">Evaluate strategic capacity expansion at The Other Factory (TN) given its best-in-class efficiency</w:t>
      </w:r>
    </w:p>
    <w:p>
      <w:pPr>
        <w:pStyle w:val="ListParagraph"/>
        <w:numPr>
          <w:ilvl w:val="0"/>
          <w:numId w:val="2"/>
        </w:numPr>
        <w:spacing w:after="40" w:before="40"/>
      </w:pPr>
      <w:r>
        <w:rPr>
          <w:rFonts w:ascii="Arial" w:cs="Arial" w:eastAsia="Arial" w:hAnsi="Arial"/>
          <w:sz w:val="22"/>
          <w:szCs w:val="22"/>
        </w:rPr>
        <w:t xml:space="preserve">Develop a dynamic route optimization system that adjusts factory-to-customer routing based on real-time carrier performance data</w:t>
      </w:r>
    </w:p>
    <w:p>
      <w:pPr>
        <w:spacing w:after="60" w:before="60"/>
      </w:pPr>
      <w:r>
        <w:t xml:space="preserve"/>
      </w:r>
    </w:p>
    <w:p>
      <w:pPr>
        <w:spacing w:after="120" w:before="300"/>
      </w:pPr>
      <w:r>
        <w:rPr>
          <w:rFonts w:ascii="Arial" w:cs="Arial" w:eastAsia="Arial" w:hAnsi="Arial"/>
          <w:b/>
          <w:bCs/>
          <w:color w:val="7209B7"/>
          <w:sz w:val="30"/>
          <w:szCs w:val="30"/>
        </w:rPr>
        <w:t xml:space="preserve">Conclusion</w:t>
      </w:r>
    </w:p>
    <w:p>
      <w:pPr>
        <w:spacing w:after="60" w:before="60"/>
        <w:jc w:val="both"/>
      </w:pPr>
      <w:r>
        <w:rPr>
          <w:rFonts w:ascii="Arial" w:cs="Arial" w:eastAsia="Arial" w:hAnsi="Arial"/>
          <w:sz w:val="22"/>
          <w:szCs w:val="22"/>
        </w:rPr>
        <w:t xml:space="preserve">Nassau Candy Distributor's distribution network demonstrates significant performance disparities — the best routes are nearly twice as fast as the worst. Closing this performance gap through targeted route optimization, carrier management reform, and infrastructure investment represents a major opportunity to improve customer satisfaction and reduce logistics costs. The interactive Streamlit dashboard developed as part of this project provides ongoing real-time visibility into these metrics, enabling data-driven logistics management going forward.</w:t>
      </w:r>
    </w:p>
    <w:p>
      <w:pPr>
        <w:spacing w:after="60" w:before="60"/>
      </w:pPr>
      <w:r>
        <w:t xml:space="preserve"/>
      </w:r>
    </w:p>
    <w:p>
      <w:pPr>
        <w:pBdr>
          <w:top w:val="single" w:color="7209B7" w:sz="4"/>
        </w:pBdr>
        <w:spacing w:after="0" w:before="400"/>
        <w:jc w:val="center"/>
      </w:pPr>
      <w:r>
        <w:rPr>
          <w:rFonts w:ascii="Arial" w:cs="Arial" w:eastAsia="Arial" w:hAnsi="Arial"/>
          <w:color w:val="888888"/>
          <w:sz w:val="18"/>
          <w:szCs w:val="18"/>
        </w:rPr>
        <w:t xml:space="preserve">Prepared by: Unified Mentor Internship Program  |  Nassau Candy Distributor Analytics Project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2026-04-28T11:12:45.404Z</dcterms:created>
  <dcterms:modified xsi:type="dcterms:W3CDTF">2026-04-28T11:12:45.406Z</dcterms:modified>
</cp:coreProperties>
</file>

<file path=docProps/custom.xml><?xml version="1.0" encoding="utf-8"?>
<Properties xmlns="http://schemas.openxmlformats.org/officeDocument/2006/custom-properties" xmlns:vt="http://schemas.openxmlformats.org/officeDocument/2006/docPropsVTypes"/>
</file>