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8" w:space="1" w:color="D50032"/>
        </w:pBdr>
        <w:spacing w:before="0" w:after="0"/>
      </w:pPr>
    </w:p>
    <w:p>
      <w:pPr>
        <w:spacing w:before="120" w:after="0"/>
      </w:pPr>
      <w:r>
        <w:rPr>
          <w:rFonts w:ascii="Calibri Light" w:hAnsi="Calibri Light"/>
          <w:b w:val="0"/>
          <w:i w:val="0"/>
          <w:color w:val="4F4F4E"/>
          <w:sz w:val="28"/>
        </w:rPr>
        <w:t>GoodWork Forensic Consulting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</w:pPr>
      <w:r>
        <w:rPr>
          <w:rFonts w:ascii="Calibri Light" w:hAnsi="Calibri Light"/>
          <w:b/>
          <w:i w:val="0"/>
          <w:color w:val="282827"/>
          <w:sz w:val="56"/>
        </w:rPr>
        <w:t>Fraud Risk Register</w:t>
      </w:r>
    </w:p>
    <w:p>
      <w:pPr>
        <w:spacing w:before="0" w:after="240"/>
      </w:pPr>
      <w:r>
        <w:rPr>
          <w:rFonts w:ascii="Calibri Light" w:hAnsi="Calibri Light"/>
          <w:b w:val="0"/>
          <w:i w:val="0"/>
          <w:color w:val="D50032"/>
          <w:sz w:val="32"/>
        </w:rPr>
        <w:t>Enterprise Fraud Risk Assessment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F4F4E"/>
          <w:sz w:val="22"/>
        </w:rPr>
        <w:t>Prepared for: [Client Name]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F4F4E"/>
          <w:sz w:val="22"/>
        </w:rPr>
        <w:t>[Date]</w:t>
      </w:r>
    </w:p>
    <w:p>
      <w:pPr>
        <w:pBdr>
          <w:bottom w:val="single" w:sz="8" w:space="1" w:color="D50032"/>
        </w:pBdr>
        <w:spacing w:before="0" w:after="0"/>
      </w:pPr>
    </w:p>
    <w:p>
      <w:pPr>
        <w:jc w:val="right"/>
        <w:spacing w:before="120" w:after="0"/>
      </w:pPr>
      <w:r>
        <w:rPr>
          <w:rFonts w:ascii="Calibri" w:hAnsi="Calibri"/>
          <w:b w:val="0"/>
          <w:i w:val="0"/>
          <w:color w:val="D50032"/>
          <w:sz w:val="18"/>
        </w:rPr>
        <w:t>CONFIDENTIAL</w:t>
      </w:r>
    </w:p>
    <w:p>
      <w:r>
        <w:br w:type="page"/>
      </w:r>
    </w:p>
    <w:p>
      <w:pPr>
        <w:pStyle w:val="GW_Heading1"/>
      </w:pPr>
      <w:r>
        <w:t>1.  Executive Summary</w:t>
      </w:r>
    </w:p>
    <w:p>
      <w:pPr>
        <w:pStyle w:val="GW_Body"/>
      </w:pPr>
      <w:r>
        <w:t>This document was generated by GoodWork Forensic AI. Replace this placeholder content with the actual executive summary for your engagement.</w:t>
      </w:r>
    </w:p>
    <w:p>
      <w:pPr>
        <w:pStyle w:val="GW_Heading2"/>
      </w:pPr>
      <w:r>
        <w:t>1.1  Background</w:t>
      </w:r>
    </w:p>
    <w:p>
      <w:pPr>
        <w:pStyle w:val="GW_Body"/>
      </w:pPr>
      <w:r>
        <w:t>Provide background context here. Describe the client, the circumstances leading to this engagement, and the key stakeholders involved.</w:t>
      </w:r>
    </w:p>
    <w:p>
      <w:pPr>
        <w:pStyle w:val="GW_Heading3"/>
      </w:pPr>
      <w:r>
        <w:t>Key Finding</w:t>
      </w:r>
    </w:p>
    <w:p>
      <w:pPr>
        <w:pStyle w:val="GW_Body"/>
      </w:pPr>
      <w:r>
        <w:t>Detail the finding with supporting evidence. Each finding should reference the specific documents reviewed and the methodology applied.</w:t>
      </w:r>
    </w:p>
    <w:p>
      <w:pPr>
        <w:pStyle w:val="GW_Caption"/>
      </w:pPr>
      <w:r>
        <w:t>Figure 1: Overview of engagement scope and key deliverables.</w:t>
      </w:r>
    </w:p>
    <w:p>
      <w:pPr>
        <w:pStyle w:val="GW_Disclaimer"/>
      </w:pPr>
      <w:r>
        <w:t>DISCLAIMER: This report has been prepared solely for the use of the client named above. GoodWork Forensic Consulting accepts no liability to any third party who may rely on this report.</w:t>
      </w:r>
    </w:p>
    <w:p>
      <w:pPr>
        <w:pStyle w:val="GW_Heading1"/>
      </w:pPr>
      <w:r>
        <w:t>2.  Scope &amp; Methodology</w:t>
      </w:r>
    </w:p>
    <w:p>
      <w:pPr>
        <w:pStyle w:val="GW_Body"/>
      </w:pPr>
      <w:r>
        <w:t>Describe the scope of the engagement, including inclusions, exclusions, and any limitations on the work performed.</w:t>
      </w:r>
    </w:p>
    <w:p>
      <w:pPr>
        <w:pStyle w:val="GW_Heading2"/>
      </w:pPr>
      <w:r>
        <w:t>2.1  Methodology</w:t>
      </w:r>
    </w:p>
    <w:p>
      <w:pPr>
        <w:pStyle w:val="GW_Body"/>
      </w:pPr>
      <w:r>
        <w:t>Describe the analytical approach: document review, interviews conducted, data analytics procedures, regulatory lookups, and any forensic software used.</w:t>
      </w:r>
    </w:p>
    <w:p>
      <w:pPr>
        <w:pStyle w:val="GW_Heading1"/>
      </w:pPr>
      <w:r>
        <w:t>3.  Findings</w:t>
      </w:r>
    </w:p>
    <w:p>
      <w:pPr>
        <w:pStyle w:val="GW_Body"/>
      </w:pPr>
      <w:r>
        <w:t>Each finding below follows the structure: Procedure → Finding → Implication → Conclusion, in accordance with ACFE reporting standards.</w:t>
      </w:r>
    </w:p>
    <w:p>
      <w:pPr>
        <w:pStyle w:val="GW_BASELINE"/>
      </w:pPr>
      <w:r>
        <w:t>BASELINE — this section was AI-generated and requires partner review.</w:t>
      </w:r>
    </w:p>
    <w:p>
      <w:pPr>
        <w:pStyle w:val="GW_Heading1"/>
      </w:pPr>
      <w:r>
        <w:t>Risk Register</w:t>
      </w:r>
    </w:p>
    <w:p>
      <w:pPr>
        <w:pStyle w:val="GW_Body"/>
      </w:pPr>
      <w:r>
        <w:t>The table below presents identified fraud risks with RAG-rated severity. Ratings: Green 1–8 (low), Amber 9–15 (medium), Red 16–25 (high/critical).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  <w:shd w:val="clear" w:color="auto" w:fill="282827"/>
          </w:tcPr>
          <w:p>
            <w:pPr>
              <w:pStyle w:val="GW_TableHeader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color="auto" w:fill="282827"/>
          </w:tcPr>
          <w:p>
            <w:pPr>
              <w:pStyle w:val="GW_TableHeader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Risk Title</w:t>
            </w:r>
          </w:p>
        </w:tc>
        <w:tc>
          <w:tcPr>
            <w:tcW w:type="dxa" w:w="1728"/>
            <w:shd w:val="clear" w:color="auto" w:fill="282827"/>
          </w:tcPr>
          <w:p>
            <w:pPr>
              <w:pStyle w:val="GW_TableHeader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1296"/>
            <w:shd w:val="clear" w:color="auto" w:fill="282827"/>
          </w:tcPr>
          <w:p>
            <w:pPr>
              <w:pStyle w:val="GW_TableHeader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Likelihood</w:t>
              <w:br/>
              <w:t>(1–5)</w:t>
            </w:r>
          </w:p>
        </w:tc>
        <w:tc>
          <w:tcPr>
            <w:tcW w:type="dxa" w:w="1296"/>
            <w:shd w:val="clear" w:color="auto" w:fill="282827"/>
          </w:tcPr>
          <w:p>
            <w:pPr>
              <w:pStyle w:val="GW_TableHeader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</w:t>
              <w:br/>
              <w:t>(1–5)</w:t>
            </w:r>
          </w:p>
        </w:tc>
        <w:tc>
          <w:tcPr>
            <w:tcW w:type="dxa" w:w="1296"/>
            <w:shd w:val="clear" w:color="auto" w:fill="282827"/>
          </w:tcPr>
          <w:p>
            <w:pPr>
              <w:pStyle w:val="GW_TableHeader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Rating</w:t>
              <w:br/>
              <w:t>(1–25)</w:t>
            </w:r>
          </w:p>
        </w:tc>
        <w:tc>
          <w:tcPr>
            <w:tcW w:type="dxa" w:w="1584"/>
            <w:shd w:val="clear" w:color="auto" w:fill="282827"/>
          </w:tcPr>
          <w:p>
            <w:pPr>
              <w:pStyle w:val="GW_TableHeader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Owner</w:t>
            </w:r>
          </w:p>
        </w:tc>
        <w:tc>
          <w:tcPr>
            <w:tcW w:type="dxa" w:w="1296"/>
            <w:shd w:val="clear" w:color="auto" w:fill="282827"/>
          </w:tcPr>
          <w:p>
            <w:pPr>
              <w:pStyle w:val="GW_TableHeader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Vendor Collusion Risk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Module 3 — Procurement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4</w:t>
            </w:r>
          </w:p>
        </w:tc>
        <w:tc>
          <w:tcPr>
            <w:tcW w:type="dxa" w:w="1296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B5E20"/>
                <w:sz w:val="20"/>
              </w:rPr>
              <w:t>8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CFO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Open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Payroll Ghost Employee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Module 4 — HR &amp; Payroll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3</w:t>
            </w:r>
          </w:p>
        </w:tc>
        <w:tc>
          <w:tcPr>
            <w:tcW w:type="dxa" w:w="1296"/>
            <w:shd w:val="clear" w:color="auto" w:fill="FFF3E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65100"/>
                <w:sz w:val="20"/>
              </w:rPr>
              <w:t>9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HR Dir.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Open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Management Override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Module 1 — Governance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5</w:t>
            </w:r>
          </w:p>
        </w:tc>
        <w:tc>
          <w:tcPr>
            <w:tcW w:type="dxa" w:w="1296"/>
            <w:shd w:val="clear" w:color="auto" w:fill="D5003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15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Board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Open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Expense Fraud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Module 5 — Expenses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3</w:t>
            </w:r>
          </w:p>
        </w:tc>
        <w:tc>
          <w:tcPr>
            <w:tcW w:type="dxa" w:w="1296"/>
            <w:shd w:val="clear" w:color="auto" w:fill="FFF3E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E65100"/>
                <w:sz w:val="20"/>
              </w:rPr>
              <w:t>12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Finance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Review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Bribery — Contracts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Module 6 — Third Parties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5</w:t>
            </w:r>
          </w:p>
        </w:tc>
        <w:tc>
          <w:tcPr>
            <w:tcW w:type="dxa" w:w="1296"/>
            <w:shd w:val="clear" w:color="auto" w:fill="D5003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15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Legal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Open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Data Theft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Module 7 — IT &amp; Data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3</w:t>
            </w:r>
          </w:p>
        </w:tc>
        <w:tc>
          <w:tcPr>
            <w:tcW w:type="dxa" w:w="1296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B5E20"/>
                <w:sz w:val="20"/>
              </w:rPr>
              <w:t>6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IT Mgr.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color w:val="282827"/>
                <w:sz w:val="20"/>
              </w:rPr>
              <w:t>Open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40" w:after="0"/>
    </w:pPr>
    <w:r>
      <w:rPr>
        <w:rFonts w:ascii="Calibri" w:hAnsi="Calibri"/>
        <w:b w:val="0"/>
        <w:i w:val="0"/>
        <w:color w:val="4F4F4E"/>
        <w:sz w:val="18"/>
      </w:rPr>
      <w:t xml:space="preserve">Confidential  |  GoodWork Forensic Consulting  |  Page </w:t>
    </w:r>
    <w:r>
      <w:rPr>
        <w:rFonts w:ascii="Calibri" w:hAnsi="Calibri"/>
        <w:b w:val="0"/>
        <w:i w:val="0"/>
        <w:color w:val="4F4F4E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pacing w:before="0" w:after="40"/>
      <w:tabs>
        <w:tab w:val="right" w:pos="9350"/>
      </w:tabs>
      <w:pBdr>
        <w:bottom w:val="single" w:sz="4" w:space="4" w:color="D5D5D5"/>
      </w:pBdr>
    </w:pPr>
    <w:r>
      <w:rPr>
        <w:rFonts w:ascii="Calibri" w:hAnsi="Calibri"/>
        <w:b w:val="0"/>
        <w:i w:val="0"/>
        <w:color w:val="4F4F4E"/>
        <w:sz w:val="18"/>
      </w:rPr>
      <w:t>GoodWork Forensic Consulting</w:t>
    </w:r>
    <w:r>
      <w:rPr>
        <w:rFonts w:ascii="Calibri" w:hAnsi="Calibri"/>
        <w:b w:val="0"/>
        <w:i w:val="0"/>
        <w:color w:val="4F4F4E"/>
        <w:sz w:val="18"/>
      </w:rPr>
      <w:tab/>
    </w:r>
    <w:r>
      <w:rPr>
        <w:rFonts w:ascii="Calibri" w:hAnsi="Calibri"/>
        <w:b w:val="0"/>
        <w:i w:val="0"/>
        <w:color w:val="4F4F4E"/>
        <w:sz w:val="18"/>
      </w:rPr>
      <w:t>[Document 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W_Title">
    <w:name w:val="GW_Title"/>
    <w:pPr>
      <w:spacing w:before="0" w:after="240"/>
    </w:pPr>
    <w:rPr>
      <w:rFonts w:ascii="Calibri Light" w:hAnsi="Calibri Light"/>
      <w:b/>
      <w:i w:val="0"/>
      <w:color w:val="282827"/>
      <w:sz w:val="56"/>
    </w:rPr>
  </w:style>
  <w:style w:type="paragraph" w:customStyle="1" w:styleId="GW_Heading1">
    <w:name w:val="GW_Heading1"/>
    <w:pPr>
      <w:spacing w:before="360" w:after="120"/>
      <w:pBdr>
        <w:bottom w:val="single" w:sz="8" w:space="1" w:color="D50032"/>
      </w:pBdr>
    </w:pPr>
    <w:rPr>
      <w:rFonts w:ascii="Calibri Light" w:hAnsi="Calibri Light"/>
      <w:b/>
      <w:i w:val="0"/>
      <w:color w:val="282827"/>
      <w:sz w:val="32"/>
    </w:rPr>
  </w:style>
  <w:style w:type="paragraph" w:customStyle="1" w:styleId="GW_Heading2">
    <w:name w:val="GW_Heading2"/>
    <w:pPr>
      <w:spacing w:before="240" w:after="80"/>
    </w:pPr>
    <w:rPr>
      <w:rFonts w:ascii="Calibri Light" w:hAnsi="Calibri Light"/>
      <w:b w:val="0"/>
      <w:i w:val="0"/>
      <w:color w:val="D50032"/>
      <w:sz w:val="26"/>
    </w:rPr>
  </w:style>
  <w:style w:type="paragraph" w:customStyle="1" w:styleId="GW_Heading3">
    <w:name w:val="GW_Heading3"/>
    <w:pPr>
      <w:spacing w:before="160" w:after="80"/>
    </w:pPr>
    <w:rPr>
      <w:rFonts w:ascii="Calibri" w:hAnsi="Calibri"/>
      <w:b/>
      <w:i w:val="0"/>
      <w:color w:val="282827"/>
      <w:sz w:val="22"/>
    </w:rPr>
  </w:style>
  <w:style w:type="paragraph" w:customStyle="1" w:styleId="GW_Body">
    <w:name w:val="GW_Body"/>
    <w:pPr>
      <w:spacing w:before="0" w:after="120" w:line="253" w:lineRule="exact"/>
    </w:pPr>
    <w:rPr>
      <w:rFonts w:ascii="Calibri" w:hAnsi="Calibri"/>
      <w:b w:val="0"/>
      <w:i w:val="0"/>
      <w:color w:val="4F4F4E"/>
      <w:sz w:val="22"/>
    </w:rPr>
  </w:style>
  <w:style w:type="paragraph" w:customStyle="1" w:styleId="GW_TableHeader">
    <w:name w:val="GW_TableHeader"/>
    <w:pPr>
      <w:spacing w:before="0" w:after="0"/>
    </w:pPr>
    <w:rPr>
      <w:rFonts w:ascii="Calibri" w:hAnsi="Calibri"/>
      <w:b/>
      <w:i w:val="0"/>
      <w:color w:val="FFFFFF"/>
      <w:sz w:val="20"/>
    </w:rPr>
  </w:style>
  <w:style w:type="paragraph" w:customStyle="1" w:styleId="GW_Caption">
    <w:name w:val="GW_Caption"/>
    <w:pPr>
      <w:spacing w:before="0" w:after="160"/>
    </w:pPr>
    <w:rPr>
      <w:rFonts w:ascii="Calibri" w:hAnsi="Calibri"/>
      <w:b w:val="0"/>
      <w:i/>
      <w:color w:val="4F4F4E"/>
      <w:sz w:val="18"/>
    </w:rPr>
  </w:style>
  <w:style w:type="paragraph" w:customStyle="1" w:styleId="GW_Disclaimer">
    <w:name w:val="GW_Disclaimer"/>
    <w:pPr>
      <w:spacing w:before="0" w:after="120"/>
      <w:ind w:left="432"/>
      <w:pBdr>
        <w:left w:val="single" w:sz="24" w:space="4" w:color="D50032"/>
      </w:pBdr>
    </w:pPr>
    <w:rPr>
      <w:rFonts w:ascii="Calibri" w:hAnsi="Calibri"/>
      <w:b w:val="0"/>
      <w:i/>
      <w:color w:val="4F4F4E"/>
      <w:sz w:val="18"/>
    </w:rPr>
  </w:style>
  <w:style w:type="paragraph" w:customStyle="1" w:styleId="GW_BASELINE">
    <w:name w:val="GW_BASELINE"/>
    <w:pPr>
      <w:spacing w:before="0" w:after="0"/>
    </w:pPr>
    <w:rPr>
      <w:rFonts w:ascii="Calibri" w:hAnsi="Calibri"/>
      <w:b w:val="0"/>
      <w:i/>
      <w:color w:val="4F4F4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