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1" w:color="D50032"/>
        </w:pBdr>
        <w:spacing w:before="0" w:after="0"/>
      </w:pPr>
    </w:p>
    <w:p>
      <w:pPr>
        <w:spacing w:before="120" w:after="0"/>
      </w:pPr>
      <w:r>
        <w:rPr>
          <w:rFonts w:ascii="Calibri Light" w:hAnsi="Calibri Light"/>
          <w:b w:val="0"/>
          <w:i w:val="0"/>
          <w:color w:val="4F4F4E"/>
          <w:sz w:val="28"/>
        </w:rPr>
        <w:t>GoodWork Forensic Consulting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</w:pPr>
      <w:r>
        <w:rPr>
          <w:rFonts w:ascii="Calibri Light" w:hAnsi="Calibri Light"/>
          <w:b/>
          <w:i w:val="0"/>
          <w:color w:val="282827"/>
          <w:sz w:val="56"/>
        </w:rPr>
        <w:t>Investigation Report</w:t>
      </w:r>
    </w:p>
    <w:p>
      <w:pPr>
        <w:spacing w:before="0" w:after="240"/>
      </w:pPr>
      <w:r>
        <w:rPr>
          <w:rFonts w:ascii="Calibri Light" w:hAnsi="Calibri Light"/>
          <w:b w:val="0"/>
          <w:i w:val="0"/>
          <w:color w:val="D50032"/>
          <w:sz w:val="32"/>
        </w:rPr>
        <w:t>Confidential — Prepared for Management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Prepared for: [Client Name]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[Date]</w:t>
      </w:r>
    </w:p>
    <w:p>
      <w:pPr>
        <w:pBdr>
          <w:bottom w:val="single" w:sz="8" w:space="1" w:color="D50032"/>
        </w:pBdr>
        <w:spacing w:before="0" w:after="0"/>
      </w:pPr>
    </w:p>
    <w:p>
      <w:pPr>
        <w:jc w:val="right"/>
        <w:spacing w:before="120" w:after="0"/>
      </w:pPr>
      <w:r>
        <w:rPr>
          <w:rFonts w:ascii="Calibri" w:hAnsi="Calibri"/>
          <w:b w:val="0"/>
          <w:i w:val="0"/>
          <w:color w:val="D50032"/>
          <w:sz w:val="18"/>
        </w:rPr>
        <w:t>CONFIDENTIAL</w:t>
      </w:r>
    </w:p>
    <w:p>
      <w:r>
        <w:br w:type="page"/>
      </w:r>
    </w:p>
    <w:p>
      <w:pPr>
        <w:pStyle w:val="GW_Heading1"/>
      </w:pPr>
      <w:r>
        <w:t>1.  Executive Summary</w:t>
      </w:r>
    </w:p>
    <w:p>
      <w:pPr>
        <w:pStyle w:val="GW_Body"/>
      </w:pPr>
      <w:r>
        <w:t>Provide a concise summary of the investigation, key findings, and recommended actions. This section is intended for senior management and the Board.</w:t>
      </w:r>
    </w:p>
    <w:p>
      <w:pPr>
        <w:pStyle w:val="GW_Heading1"/>
      </w:pPr>
      <w:r>
        <w:t>2.  Scope &amp; Methodology</w:t>
      </w:r>
    </w:p>
    <w:p>
      <w:pPr>
        <w:pStyle w:val="GW_Body"/>
      </w:pPr>
      <w:r>
        <w:t>Describe the scope of the investigation including dates, entities reviewed, and any agreed limitations. Set out the methodology applied.</w:t>
      </w:r>
    </w:p>
    <w:p>
      <w:pPr>
        <w:pStyle w:val="GW_Heading1"/>
      </w:pPr>
      <w:r>
        <w:t>3.  Background</w:t>
      </w:r>
    </w:p>
    <w:p>
      <w:pPr>
        <w:pStyle w:val="GW_Body"/>
      </w:pPr>
      <w:r>
        <w:t>Provide context: how the matter came to light, initial allegations or triggers, and relevant organisational background.</w:t>
      </w:r>
    </w:p>
    <w:p>
      <w:pPr>
        <w:pStyle w:val="GW_Heading1"/>
      </w:pPr>
      <w:r>
        <w:t>4.  Findings</w:t>
      </w:r>
    </w:p>
    <w:p>
      <w:pPr>
        <w:pStyle w:val="GW_Body"/>
      </w:pPr>
      <w:r>
        <w:t>Findings are presented in order of materiality. Critical findings are marked with a red indicator. All findings follow ACFE reporting standards.</w:t>
      </w:r>
    </w:p>
    <w:p>
      <w:pPr>
        <w:pStyle w:val="GW_Disclaimer"/>
      </w:pPr>
      <w:r>
        <w:rPr>
          <w:rFonts w:ascii="Calibri" w:hAnsi="Calibri"/>
          <w:b/>
          <w:i w:val="0"/>
          <w:color w:val="282827"/>
          <w:sz w:val="22"/>
        </w:rPr>
        <w:t>Finding 1: Misappropriation of Company Assets</w:t>
      </w:r>
    </w:p>
    <w:p>
      <w:pPr>
        <w:pStyle w:val="GW_Body"/>
      </w:pPr>
      <w:r>
        <w:t>Procedure: Describe the procedure applied to identify this finding.</w:t>
        <w:br/>
        <w:t>Finding: State the factual finding without opinion.</w:t>
        <w:br/>
        <w:t>Implication: Explain what this finding means in the context of the investigation.</w:t>
        <w:br/>
        <w:t>Conclusion: Set out the conclusion drawn and its basis.</w:t>
      </w:r>
    </w:p>
    <w:p>
      <w:pPr>
        <w:pStyle w:val="GW_Disclaimer"/>
      </w:pPr>
      <w:r>
        <w:rPr>
          <w:rFonts w:ascii="Calibri" w:hAnsi="Calibri"/>
          <w:b/>
          <w:i w:val="0"/>
          <w:color w:val="282827"/>
          <w:sz w:val="22"/>
        </w:rPr>
        <w:t>Finding 2: Unsupported Journal Entries — Q3 FY2024</w:t>
      </w:r>
    </w:p>
    <w:p>
      <w:pPr>
        <w:pStyle w:val="GW_Body"/>
      </w:pPr>
      <w:r>
        <w:t>Procedure: Describe the procedure applied to identify this finding.</w:t>
        <w:br/>
        <w:t>Finding: State the factual finding without opinion.</w:t>
        <w:br/>
        <w:t>Implication: Explain what this finding means in the context of the investigation.</w:t>
        <w:br/>
        <w:t>Conclusion: Set out the conclusion drawn and its basis.</w:t>
      </w:r>
    </w:p>
    <w:p>
      <w:pPr>
        <w:pStyle w:val="GW_Heading3"/>
      </w:pPr>
      <w:r>
        <w:t>Finding 3: Gaps in Internal Control Documentation</w:t>
      </w:r>
    </w:p>
    <w:p>
      <w:pPr>
        <w:pStyle w:val="GW_Body"/>
      </w:pPr>
      <w:r>
        <w:t>Procedure: Describe the procedure applied to identify this finding.</w:t>
        <w:br/>
        <w:t>Finding: State the factual finding without opinion.</w:t>
        <w:br/>
        <w:t>Implication: Explain what this finding means in the context of the investigation.</w:t>
        <w:br/>
        <w:t>Conclusion: Set out the conclusion drawn and its basis.</w:t>
      </w:r>
    </w:p>
    <w:p>
      <w:pPr>
        <w:pStyle w:val="GW_Heading1"/>
      </w:pPr>
      <w:r>
        <w:t>5.  Evidence Chain</w:t>
      </w:r>
    </w:p>
    <w:p>
      <w:pPr>
        <w:pStyle w:val="GW_Body"/>
      </w:pPr>
      <w:r>
        <w:t>The following evidence was obtained, reviewed, and relied upon in reaching the findings set out above. Evidence is listed in chronological order.</w:t>
      </w:r>
    </w:p>
    <w:p>
      <w:pPr>
        <w:pStyle w:val="GW_Heading2"/>
      </w:pPr>
      <w:r>
        <w:t>Evidence Chain</w:t>
      </w:r>
    </w:p>
    <w:p>
      <w:pPr>
        <w:pStyle w:val="GW_Body"/>
      </w:pPr>
      <w:r>
        <w:t>1. [Document name] — [date obtained] — [relevance to finding]</w:t>
        <w:br/>
        <w:t>2. [Interview transcript] — [interviewee] — [date] — [key statements]</w:t>
        <w:br/>
        <w:t>3. [Transaction data] — [period] — [source system]</w:t>
      </w:r>
    </w:p>
    <w:p>
      <w:pPr>
        <w:pStyle w:val="GW_Heading1"/>
      </w:pPr>
      <w:r>
        <w:t>6.  Conclusions</w:t>
      </w:r>
    </w:p>
    <w:p>
      <w:pPr>
        <w:pStyle w:val="GW_Body"/>
      </w:pPr>
      <w:r>
        <w:t>Set out the overall conclusions of the investigation based on the findings and evidence reviewed. Do not include opinions not supported by evidence.</w:t>
      </w:r>
    </w:p>
    <w:p>
      <w:pPr>
        <w:pStyle w:val="GW_Heading1"/>
      </w:pPr>
      <w:r>
        <w:t>7.  Recommendations</w:t>
      </w:r>
    </w:p>
    <w:p>
      <w:pPr>
        <w:pStyle w:val="GW_Body"/>
      </w:pPr>
      <w:r>
        <w:t>Set out remediation actions recommended to management, prioritised by urgency. Each recommendation should reference the finding it addresses.</w:t>
      </w:r>
    </w:p>
    <w:p>
      <w:pPr>
        <w:pStyle w:val="GW_Disclaimer"/>
      </w:pPr>
      <w:r>
        <w:t>DISCLAIMER: This report has been prepared solely for the use of the named client. GoodWork Forensic Consulting accepts no liability to third parties.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40" w:after="0"/>
    </w:pPr>
    <w:r>
      <w:rPr>
        <w:rFonts w:ascii="Calibri" w:hAnsi="Calibri"/>
        <w:b w:val="0"/>
        <w:i w:val="0"/>
        <w:color w:val="4F4F4E"/>
        <w:sz w:val="18"/>
      </w:rPr>
      <w:t xml:space="preserve">Confidential  |  GoodWork Forensic Consulting  |  Page </w:t>
    </w:r>
    <w:r>
      <w:rPr>
        <w:rFonts w:ascii="Calibri" w:hAnsi="Calibri"/>
        <w:b w:val="0"/>
        <w:i w:val="0"/>
        <w:color w:val="4F4F4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40"/>
      <w:tabs>
        <w:tab w:val="right" w:pos="9350"/>
      </w:tabs>
      <w:pBdr>
        <w:bottom w:val="single" w:sz="4" w:space="4" w:color="D5D5D5"/>
      </w:pBdr>
    </w:pPr>
    <w:r>
      <w:rPr>
        <w:rFonts w:ascii="Calibri" w:hAnsi="Calibri"/>
        <w:b w:val="0"/>
        <w:i w:val="0"/>
        <w:color w:val="4F4F4E"/>
        <w:sz w:val="18"/>
      </w:rPr>
      <w:t>GoodWork Forensic Consulting</w:t>
    </w:r>
    <w:r>
      <w:rPr>
        <w:rFonts w:ascii="Calibri" w:hAnsi="Calibri"/>
        <w:b w:val="0"/>
        <w:i w:val="0"/>
        <w:color w:val="4F4F4E"/>
        <w:sz w:val="18"/>
      </w:rPr>
      <w:tab/>
    </w:r>
    <w:r>
      <w:rPr>
        <w:rFonts w:ascii="Calibri" w:hAnsi="Calibri"/>
        <w:b w:val="0"/>
        <w:i w:val="0"/>
        <w:color w:val="4F4F4E"/>
        <w:sz w:val="18"/>
      </w:rPr>
      <w:t>[Document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W_Title">
    <w:name w:val="GW_Title"/>
    <w:pPr>
      <w:spacing w:before="0" w:after="240"/>
    </w:pPr>
    <w:rPr>
      <w:rFonts w:ascii="Calibri Light" w:hAnsi="Calibri Light"/>
      <w:b/>
      <w:i w:val="0"/>
      <w:color w:val="282827"/>
      <w:sz w:val="56"/>
    </w:rPr>
  </w:style>
  <w:style w:type="paragraph" w:customStyle="1" w:styleId="GW_Heading1">
    <w:name w:val="GW_Heading1"/>
    <w:pPr>
      <w:spacing w:before="360" w:after="120"/>
      <w:pBdr>
        <w:bottom w:val="single" w:sz="8" w:space="1" w:color="D50032"/>
      </w:pBdr>
    </w:pPr>
    <w:rPr>
      <w:rFonts w:ascii="Calibri Light" w:hAnsi="Calibri Light"/>
      <w:b/>
      <w:i w:val="0"/>
      <w:color w:val="282827"/>
      <w:sz w:val="32"/>
    </w:rPr>
  </w:style>
  <w:style w:type="paragraph" w:customStyle="1" w:styleId="GW_Heading2">
    <w:name w:val="GW_Heading2"/>
    <w:pPr>
      <w:spacing w:before="240" w:after="80"/>
    </w:pPr>
    <w:rPr>
      <w:rFonts w:ascii="Calibri Light" w:hAnsi="Calibri Light"/>
      <w:b w:val="0"/>
      <w:i w:val="0"/>
      <w:color w:val="D50032"/>
      <w:sz w:val="26"/>
    </w:rPr>
  </w:style>
  <w:style w:type="paragraph" w:customStyle="1" w:styleId="GW_Heading3">
    <w:name w:val="GW_Heading3"/>
    <w:pPr>
      <w:spacing w:before="160" w:after="80"/>
    </w:pPr>
    <w:rPr>
      <w:rFonts w:ascii="Calibri" w:hAnsi="Calibri"/>
      <w:b/>
      <w:i w:val="0"/>
      <w:color w:val="282827"/>
      <w:sz w:val="22"/>
    </w:rPr>
  </w:style>
  <w:style w:type="paragraph" w:customStyle="1" w:styleId="GW_Body">
    <w:name w:val="GW_Body"/>
    <w:pPr>
      <w:spacing w:before="0" w:after="120" w:line="253" w:lineRule="exact"/>
    </w:pPr>
    <w:rPr>
      <w:rFonts w:ascii="Calibri" w:hAnsi="Calibri"/>
      <w:b w:val="0"/>
      <w:i w:val="0"/>
      <w:color w:val="4F4F4E"/>
      <w:sz w:val="22"/>
    </w:rPr>
  </w:style>
  <w:style w:type="paragraph" w:customStyle="1" w:styleId="GW_TableHeader">
    <w:name w:val="GW_TableHeader"/>
    <w:pPr>
      <w:spacing w:before="0" w:after="0"/>
    </w:pPr>
    <w:rPr>
      <w:rFonts w:ascii="Calibri" w:hAnsi="Calibri"/>
      <w:b/>
      <w:i w:val="0"/>
      <w:color w:val="FFFFFF"/>
      <w:sz w:val="20"/>
    </w:rPr>
  </w:style>
  <w:style w:type="paragraph" w:customStyle="1" w:styleId="GW_Caption">
    <w:name w:val="GW_Caption"/>
    <w:pPr>
      <w:spacing w:before="0" w:after="160"/>
    </w:pPr>
    <w:rPr>
      <w:rFonts w:ascii="Calibri" w:hAnsi="Calibri"/>
      <w:b w:val="0"/>
      <w:i/>
      <w:color w:val="4F4F4E"/>
      <w:sz w:val="18"/>
    </w:rPr>
  </w:style>
  <w:style w:type="paragraph" w:customStyle="1" w:styleId="GW_Disclaimer">
    <w:name w:val="GW_Disclaimer"/>
    <w:pPr>
      <w:spacing w:before="0" w:after="120"/>
      <w:ind w:left="432"/>
      <w:pBdr>
        <w:left w:val="single" w:sz="24" w:space="4" w:color="D50032"/>
      </w:pBdr>
    </w:pPr>
    <w:rPr>
      <w:rFonts w:ascii="Calibri" w:hAnsi="Calibri"/>
      <w:b w:val="0"/>
      <w:i/>
      <w:color w:val="4F4F4E"/>
      <w:sz w:val="18"/>
    </w:rPr>
  </w:style>
  <w:style w:type="paragraph" w:customStyle="1" w:styleId="GW_BASELINE">
    <w:name w:val="GW_BASELINE"/>
    <w:pPr>
      <w:spacing w:before="0" w:after="0"/>
    </w:pPr>
    <w:rPr>
      <w:rFonts w:ascii="Calibri" w:hAnsi="Calibri"/>
      <w:b w:val="0"/>
      <w:i/>
      <w:color w:val="4F4F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