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8" w:space="1" w:color="D50032"/>
        </w:pBdr>
        <w:spacing w:before="0" w:after="0"/>
      </w:pPr>
    </w:p>
    <w:p>
      <w:pPr>
        <w:spacing w:before="120" w:after="0"/>
      </w:pPr>
      <w:r>
        <w:rPr>
          <w:rFonts w:ascii="Calibri Light" w:hAnsi="Calibri Light"/>
          <w:b w:val="0"/>
          <w:i w:val="0"/>
          <w:color w:val="4F4F4E"/>
          <w:sz w:val="28"/>
        </w:rPr>
        <w:t>GoodWork Forensic Consulting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</w:pPr>
      <w:r>
        <w:rPr>
          <w:rFonts w:ascii="Calibri Light" w:hAnsi="Calibri Light"/>
          <w:b/>
          <w:i w:val="0"/>
          <w:color w:val="282827"/>
          <w:sz w:val="56"/>
        </w:rPr>
        <w:t>Sanctions Screening Memorandum</w:t>
      </w:r>
    </w:p>
    <w:p>
      <w:pPr>
        <w:spacing w:before="0" w:after="240"/>
      </w:pPr>
      <w:r>
        <w:rPr>
          <w:rFonts w:ascii="Calibri Light" w:hAnsi="Calibri Light"/>
          <w:b w:val="0"/>
          <w:i w:val="0"/>
          <w:color w:val="D50032"/>
          <w:sz w:val="32"/>
        </w:rPr>
        <w:t>List Results — Authoritative Sources Only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F4F4E"/>
          <w:sz w:val="22"/>
        </w:rPr>
        <w:t>Prepared for: [Client Name]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4F4F4E"/>
          <w:sz w:val="22"/>
        </w:rPr>
        <w:t>[Date]</w:t>
      </w:r>
    </w:p>
    <w:p>
      <w:pPr>
        <w:pBdr>
          <w:bottom w:val="single" w:sz="8" w:space="1" w:color="D50032"/>
        </w:pBdr>
        <w:spacing w:before="0" w:after="0"/>
      </w:pPr>
    </w:p>
    <w:p>
      <w:pPr>
        <w:jc w:val="right"/>
        <w:spacing w:before="120" w:after="0"/>
      </w:pPr>
      <w:r>
        <w:rPr>
          <w:rFonts w:ascii="Calibri" w:hAnsi="Calibri"/>
          <w:b w:val="0"/>
          <w:i w:val="0"/>
          <w:color w:val="D50032"/>
          <w:sz w:val="18"/>
        </w:rPr>
        <w:t>CONFIDENTIAL</w:t>
      </w:r>
    </w:p>
    <w:p>
      <w:r>
        <w:br w:type="page"/>
      </w:r>
    </w:p>
    <w:p>
      <w:pPr>
        <w:pStyle w:val="GW_Heading1"/>
      </w:pPr>
      <w:r>
        <w:t>1.  Purpose &amp; Scope</w:t>
      </w:r>
    </w:p>
    <w:p>
      <w:pPr>
        <w:pStyle w:val="GW_Body"/>
      </w:pPr>
      <w:r>
        <w:t>This memorandum documents the results of sanctions screening conducted against authoritative lists: OFAC SDN, UN Security Council Consolidated List, and EU Financial Sanctions Database.</w:t>
      </w:r>
    </w:p>
    <w:p>
      <w:pPr>
        <w:pStyle w:val="GW_Heading1"/>
      </w:pPr>
      <w:r>
        <w:t>2.  Subjects Screened</w:t>
      </w:r>
    </w:p>
    <w:p>
      <w:pPr>
        <w:pStyle w:val="GW_Body"/>
      </w:pPr>
      <w:r>
        <w:t>List all individuals and entities screened, including name variations and aliases.</w:t>
      </w:r>
    </w:p>
    <w:p>
      <w:pPr>
        <w:pStyle w:val="GW_Heading1"/>
      </w:pPr>
      <w:r>
        <w:t>3.  Screening Results</w:t>
      </w:r>
    </w:p>
    <w:p>
      <w:pPr>
        <w:pStyle w:val="GW_Body"/>
      </w:pPr>
      <w:r>
        <w:t>For each subject: list searched, search date, match status, and disposition.</w:t>
      </w:r>
    </w:p>
    <w:p>
      <w:pPr>
        <w:pStyle w:val="GW_Heading1"/>
      </w:pPr>
      <w:r>
        <w:t>4.  Potential Matches — Analysis</w:t>
      </w:r>
    </w:p>
    <w:p>
      <w:pPr>
        <w:pStyle w:val="GW_Body"/>
      </w:pPr>
      <w:r>
        <w:t>For any potential matches: name similarity analysis, date of birth / incorporation check, nationality / jurisdiction check, and final disposition.</w:t>
      </w:r>
    </w:p>
    <w:p>
      <w:pPr>
        <w:pStyle w:val="GW_Heading1"/>
      </w:pPr>
      <w:r>
        <w:t>5.  Conclusion</w:t>
      </w:r>
    </w:p>
    <w:p>
      <w:pPr>
        <w:pStyle w:val="GW_Body"/>
      </w:pPr>
      <w:r>
        <w:t>Overall conclusion: clear / potential match requiring escalation / confirmed match. Escalation recommended where applicable.</w:t>
      </w:r>
    </w:p>
    <w:p>
      <w:pPr>
        <w:pStyle w:val="GW_Heading1"/>
      </w:pPr>
      <w:r>
        <w:t>6.  Limitations</w:t>
      </w:r>
    </w:p>
    <w:p>
      <w:pPr>
        <w:pStyle w:val="GW_Body"/>
      </w:pPr>
      <w:r>
        <w:t>Screening is conducted against lists as at the date of this memorandum. Ongoing monitoring is recommended for higher-risk relationships.</w:t>
      </w:r>
    </w:p>
    <w:p>
      <w:pPr>
        <w:pStyle w:val="GW_Disclaimer"/>
      </w:pPr>
      <w:r>
        <w:t>AUTHORITATIVE SOURCES ONLY: GoodWork Forensic Consulting relies exclusively on OFAC (ofac.treas.gov), UN Security Council (un.org/securitycouncil), and EU (sanctions.ec.europa.eu) for sanctions determinations. No inference from secondary sources.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before="40" w:after="0"/>
    </w:pPr>
    <w:r>
      <w:rPr>
        <w:rFonts w:ascii="Calibri" w:hAnsi="Calibri"/>
        <w:b w:val="0"/>
        <w:i w:val="0"/>
        <w:color w:val="4F4F4E"/>
        <w:sz w:val="18"/>
      </w:rPr>
      <w:t xml:space="preserve">Confidential  |  GoodWork Forensic Consulting  |  Page </w:t>
    </w:r>
    <w:r>
      <w:rPr>
        <w:rFonts w:ascii="Calibri" w:hAnsi="Calibri"/>
        <w:b w:val="0"/>
        <w:i w:val="0"/>
        <w:color w:val="4F4F4E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pacing w:before="0" w:after="40"/>
      <w:tabs>
        <w:tab w:val="right" w:pos="9350"/>
      </w:tabs>
      <w:pBdr>
        <w:bottom w:val="single" w:sz="4" w:space="4" w:color="D5D5D5"/>
      </w:pBdr>
    </w:pPr>
    <w:r>
      <w:rPr>
        <w:rFonts w:ascii="Calibri" w:hAnsi="Calibri"/>
        <w:b w:val="0"/>
        <w:i w:val="0"/>
        <w:color w:val="4F4F4E"/>
        <w:sz w:val="18"/>
      </w:rPr>
      <w:t>GoodWork Forensic Consulting</w:t>
    </w:r>
    <w:r>
      <w:rPr>
        <w:rFonts w:ascii="Calibri" w:hAnsi="Calibri"/>
        <w:b w:val="0"/>
        <w:i w:val="0"/>
        <w:color w:val="4F4F4E"/>
        <w:sz w:val="18"/>
      </w:rPr>
      <w:tab/>
    </w:r>
    <w:r>
      <w:rPr>
        <w:rFonts w:ascii="Calibri" w:hAnsi="Calibri"/>
        <w:b w:val="0"/>
        <w:i w:val="0"/>
        <w:color w:val="4F4F4E"/>
        <w:sz w:val="18"/>
      </w:rPr>
      <w:t>[Document Title]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W_Title">
    <w:name w:val="GW_Title"/>
    <w:pPr>
      <w:spacing w:before="0" w:after="240"/>
    </w:pPr>
    <w:rPr>
      <w:rFonts w:ascii="Calibri Light" w:hAnsi="Calibri Light"/>
      <w:b/>
      <w:i w:val="0"/>
      <w:color w:val="282827"/>
      <w:sz w:val="56"/>
    </w:rPr>
  </w:style>
  <w:style w:type="paragraph" w:customStyle="1" w:styleId="GW_Heading1">
    <w:name w:val="GW_Heading1"/>
    <w:pPr>
      <w:spacing w:before="360" w:after="120"/>
      <w:pBdr>
        <w:bottom w:val="single" w:sz="8" w:space="1" w:color="D50032"/>
      </w:pBdr>
    </w:pPr>
    <w:rPr>
      <w:rFonts w:ascii="Calibri Light" w:hAnsi="Calibri Light"/>
      <w:b/>
      <w:i w:val="0"/>
      <w:color w:val="282827"/>
      <w:sz w:val="32"/>
    </w:rPr>
  </w:style>
  <w:style w:type="paragraph" w:customStyle="1" w:styleId="GW_Heading2">
    <w:name w:val="GW_Heading2"/>
    <w:pPr>
      <w:spacing w:before="240" w:after="80"/>
    </w:pPr>
    <w:rPr>
      <w:rFonts w:ascii="Calibri Light" w:hAnsi="Calibri Light"/>
      <w:b w:val="0"/>
      <w:i w:val="0"/>
      <w:color w:val="D50032"/>
      <w:sz w:val="26"/>
    </w:rPr>
  </w:style>
  <w:style w:type="paragraph" w:customStyle="1" w:styleId="GW_Heading3">
    <w:name w:val="GW_Heading3"/>
    <w:pPr>
      <w:spacing w:before="160" w:after="80"/>
    </w:pPr>
    <w:rPr>
      <w:rFonts w:ascii="Calibri" w:hAnsi="Calibri"/>
      <w:b/>
      <w:i w:val="0"/>
      <w:color w:val="282827"/>
      <w:sz w:val="22"/>
    </w:rPr>
  </w:style>
  <w:style w:type="paragraph" w:customStyle="1" w:styleId="GW_Body">
    <w:name w:val="GW_Body"/>
    <w:pPr>
      <w:spacing w:before="0" w:after="120" w:line="253" w:lineRule="exact"/>
    </w:pPr>
    <w:rPr>
      <w:rFonts w:ascii="Calibri" w:hAnsi="Calibri"/>
      <w:b w:val="0"/>
      <w:i w:val="0"/>
      <w:color w:val="4F4F4E"/>
      <w:sz w:val="22"/>
    </w:rPr>
  </w:style>
  <w:style w:type="paragraph" w:customStyle="1" w:styleId="GW_TableHeader">
    <w:name w:val="GW_TableHeader"/>
    <w:pPr>
      <w:spacing w:before="0" w:after="0"/>
    </w:pPr>
    <w:rPr>
      <w:rFonts w:ascii="Calibri" w:hAnsi="Calibri"/>
      <w:b/>
      <w:i w:val="0"/>
      <w:color w:val="FFFFFF"/>
      <w:sz w:val="20"/>
    </w:rPr>
  </w:style>
  <w:style w:type="paragraph" w:customStyle="1" w:styleId="GW_Caption">
    <w:name w:val="GW_Caption"/>
    <w:pPr>
      <w:spacing w:before="0" w:after="160"/>
    </w:pPr>
    <w:rPr>
      <w:rFonts w:ascii="Calibri" w:hAnsi="Calibri"/>
      <w:b w:val="0"/>
      <w:i/>
      <w:color w:val="4F4F4E"/>
      <w:sz w:val="18"/>
    </w:rPr>
  </w:style>
  <w:style w:type="paragraph" w:customStyle="1" w:styleId="GW_Disclaimer">
    <w:name w:val="GW_Disclaimer"/>
    <w:pPr>
      <w:spacing w:before="0" w:after="120"/>
      <w:ind w:left="432"/>
      <w:pBdr>
        <w:left w:val="single" w:sz="24" w:space="4" w:color="D50032"/>
      </w:pBdr>
    </w:pPr>
    <w:rPr>
      <w:rFonts w:ascii="Calibri" w:hAnsi="Calibri"/>
      <w:b w:val="0"/>
      <w:i/>
      <w:color w:val="4F4F4E"/>
      <w:sz w:val="18"/>
    </w:rPr>
  </w:style>
  <w:style w:type="paragraph" w:customStyle="1" w:styleId="GW_BASELINE">
    <w:name w:val="GW_BASELINE"/>
    <w:pPr>
      <w:spacing w:before="0" w:after="0"/>
    </w:pPr>
    <w:rPr>
      <w:rFonts w:ascii="Calibri" w:hAnsi="Calibri"/>
      <w:b w:val="0"/>
      <w:i/>
      <w:color w:val="4F4F4E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