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Why the Platform Underperforms at 1M+ Users</w:t>
      </w:r>
    </w:p>
    <w:p>
      <w:pPr>
        <w:pBdr>
          <w:bottom w:val="single" w:color="1F3864" w:sz="8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Likely bottlenecks, how to confirm each one, and what to do about it</w:t>
      </w:r>
    </w:p>
    <w:p>
      <w:pPr>
        <w:pStyle w:val="Heading1"/>
      </w:pPr>
      <w:r>
        <w:rPr>
          <w:rFonts w:ascii="Arial" w:cs="Arial" w:eastAsia="Arial" w:hAnsi="Arial"/>
        </w:rPr>
        <w:t xml:space="preserve">Summary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delivered package is a </w:t>
      </w:r>
      <w:r>
        <w:rPr>
          <w:rFonts w:ascii="Arial" w:cs="Arial" w:eastAsia="Arial" w:hAnsi="Arial"/>
          <w:b/>
          <w:bCs/>
        </w:rPr>
        <w:t xml:space="preserve">reference skeleton, not a capacity-planned 1M+ user system</w:t>
      </w:r>
      <w:r>
        <w:rPr>
          <w:rFonts w:ascii="Arial" w:cs="Arial" w:eastAsia="Arial" w:hAnsi="Arial"/>
        </w:rPr>
        <w:t xml:space="preserve">. A few of its defaults, including the dev settings from the deploy guide, cap performance far below that scale. The bottlenecks below are listed roughly by likelihood. Each has a way to confirm it and a fix.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bottleneck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check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running on dev-sized resources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CPUCreditBalance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DB and Redis; instance classes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plane undersized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vllm:num_requests_waiting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TTFT at peak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Uneven load across vLLM pods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vllm:num_requests_running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per pod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pieces missing from the Terraform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the design with the deployed resources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 limits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DatabaseConnections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DBLoad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EngineCPUUtilization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networking limits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latency, NAT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ErrorPortAllocation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free pod IPs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 reacts too slowly for spikes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spike to ready pods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observability or load testing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Per-service p99 latency and error rate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Likely bottlenecks</w:t>
      </w:r>
    </w:p>
    <w:p>
      <w:pPr>
        <w:pStyle w:val="Heading2"/>
      </w:pPr>
      <w:r>
        <w:rPr>
          <w:rFonts w:ascii="Arial" w:cs="Arial" w:eastAsia="Arial" w:hAnsi="Arial"/>
        </w:rPr>
        <w:t xml:space="preserve">0. Check whether production is running dev sizing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If you applied the dev </w:t>
      </w:r>
      <w:r>
        <w:rPr>
          <w:rFonts w:ascii="Courier New" w:cs="Courier New" w:eastAsia="Courier New" w:hAnsi="Courier New"/>
          <w:sz w:val="20"/>
          <w:szCs w:val="20"/>
        </w:rPr>
        <w:t xml:space="preserve">terraform.tfvars</w:t>
      </w:r>
      <w:r>
        <w:rPr>
          <w:rFonts w:ascii="Arial" w:cs="Arial" w:eastAsia="Arial" w:hAnsi="Arial"/>
        </w:rPr>
        <w:t xml:space="preserve"> from the deploy guide, production is running: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db.t4g.medium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cache.t4g.small</w:t>
      </w:r>
      <w:r>
        <w:rPr>
          <w:rFonts w:ascii="Arial" w:cs="Arial" w:eastAsia="Arial" w:hAnsi="Arial"/>
        </w:rPr>
        <w:t xml:space="preserve">: burstable instances whose CPU credits run out, so performance suddenly drops.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One NAT gateway, and KEDA </w:t>
      </w:r>
      <w:r>
        <w:rPr>
          <w:rFonts w:ascii="Courier New" w:cs="Courier New" w:eastAsia="Courier New" w:hAnsi="Courier New"/>
          <w:sz w:val="20"/>
          <w:szCs w:val="20"/>
        </w:rPr>
        <w:t xml:space="preserve">minReplicaCount: 1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Confirm:</w:t>
      </w:r>
      <w:r>
        <w:rPr>
          <w:rFonts w:ascii="Arial" w:cs="Arial" w:eastAsia="Arial" w:hAnsi="Arial"/>
        </w:rPr>
        <w:t xml:space="preserve"> check </w:t>
      </w:r>
      <w:r>
        <w:rPr>
          <w:rFonts w:ascii="Courier New" w:cs="Courier New" w:eastAsia="Courier New" w:hAnsi="Courier New"/>
          <w:sz w:val="20"/>
          <w:szCs w:val="20"/>
        </w:rPr>
        <w:t xml:space="preserve">CPUCreditBalance</w:t>
      </w:r>
      <w:r>
        <w:rPr>
          <w:rFonts w:ascii="Arial" w:cs="Arial" w:eastAsia="Arial" w:hAnsi="Arial"/>
        </w:rPr>
        <w:t xml:space="preserve"> in CloudWatch for the DB and Redis. If it is near zero, that alone explains a lot.</w:t>
      </w:r>
    </w:p>
    <w:p>
      <w:pPr>
        <w:pStyle w:val="Heading2"/>
      </w:pPr>
      <w:r>
        <w:rPr>
          <w:rFonts w:ascii="Arial" w:cs="Arial" w:eastAsia="Arial" w:hAnsi="Arial"/>
        </w:rPr>
        <w:t xml:space="preserve">1. The AI plane is almost certainly undersized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KEDA </w:t>
      </w:r>
      <w:r>
        <w:rPr>
          <w:rFonts w:ascii="Courier New" w:cs="Courier New" w:eastAsia="Courier New" w:hAnsi="Courier New"/>
          <w:sz w:val="20"/>
          <w:szCs w:val="20"/>
        </w:rPr>
        <w:t xml:space="preserve">maxReplicaCount</w:t>
      </w:r>
      <w:r>
        <w:rPr>
          <w:rFonts w:ascii="Arial" w:cs="Arial" w:eastAsia="Arial" w:hAnsi="Arial"/>
        </w:rPr>
        <w:t xml:space="preserve"> is 8, so at most 8 GPUs serve all AI traffic. A rough illustration (the assumptions are illustrative, so replace them with your real numbers):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1M monthly users gives about 200k daily users and about 5k concurrent users at peak.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If 5% of requests hit the LLM at about 300 output tokens each, that is roughly 15k to 75k tokens per second.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An A10G running a 7 to 8B model typically sustains on the order of 1 to 2k generated tokens per second under batching. Benchmark yours.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You would need tens of GPUs, not 8. </w:t>
      </w:r>
      <w:r>
        <w:rPr>
          <w:rFonts w:ascii="Arial" w:cs="Arial" w:eastAsia="Arial" w:hAnsi="Arial"/>
          <w:b/>
          <w:bCs/>
        </w:rPr>
        <w:t xml:space="preserve">Confirm:</w:t>
      </w:r>
      <w:r>
        <w:rPr>
          <w:rFonts w:ascii="Arial" w:cs="Arial" w:eastAsia="Arial" w:hAnsi="Arial"/>
        </w:rPr>
        <w:t xml:space="preserve"> look at </w:t>
      </w:r>
      <w:r>
        <w:rPr>
          <w:rFonts w:ascii="Courier New" w:cs="Courier New" w:eastAsia="Courier New" w:hAnsi="Courier New"/>
          <w:sz w:val="20"/>
          <w:szCs w:val="20"/>
        </w:rPr>
        <w:t xml:space="preserve">vllm:num_requests_waiting</w:t>
      </w:r>
      <w:r>
        <w:rPr>
          <w:rFonts w:ascii="Arial" w:cs="Arial" w:eastAsia="Arial" w:hAnsi="Arial"/>
        </w:rPr>
        <w:t xml:space="preserve"> and time-to-first-token at peak. If the queue is never empty, you are capacity-bound.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Fixes: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More compute per GPU: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g6e</w:t>
      </w:r>
      <w:r>
        <w:rPr>
          <w:rFonts w:ascii="Arial" w:cs="Arial" w:eastAsia="Arial" w:hAnsi="Arial"/>
        </w:rPr>
        <w:t xml:space="preserve"> (L40S) or H100-class nodes, FP8 or AWQ quantization, and tuned </w:t>
      </w:r>
      <w:r>
        <w:rPr>
          <w:rFonts w:ascii="Courier New" w:cs="Courier New" w:eastAsia="Courier New" w:hAnsi="Courier New"/>
          <w:sz w:val="20"/>
          <w:szCs w:val="20"/>
        </w:rPr>
        <w:t xml:space="preserve">--max-num-seqs</w:t>
      </w:r>
      <w:r>
        <w:rPr>
          <w:rFonts w:ascii="Arial" w:cs="Arial" w:eastAsia="Arial" w:hAnsi="Arial"/>
        </w:rPr>
        <w:t xml:space="preserve"> and chunked prefill.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Less demand:</w:t>
      </w:r>
      <w:r>
        <w:rPr>
          <w:rFonts w:ascii="Arial" w:cs="Arial" w:eastAsia="Arial" w:hAnsi="Arial"/>
        </w:rPr>
        <w:t xml:space="preserve"> route easy requests to a smaller model, add a semantic cache, move non-interactive work to async batch jobs, and rate-limit per user.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More headroom:</w:t>
      </w:r>
      <w:r>
        <w:rPr>
          <w:rFonts w:ascii="Arial" w:cs="Arial" w:eastAsia="Arial" w:hAnsi="Arial"/>
        </w:rPr>
        <w:t xml:space="preserve"> a higher </w:t>
      </w:r>
      <w:r>
        <w:rPr>
          <w:rFonts w:ascii="Courier New" w:cs="Courier New" w:eastAsia="Courier New" w:hAnsi="Courier New"/>
          <w:sz w:val="20"/>
          <w:szCs w:val="20"/>
        </w:rPr>
        <w:t xml:space="preserve">maxReplicaCount</w:t>
      </w:r>
      <w:r>
        <w:rPr>
          <w:rFonts w:ascii="Arial" w:cs="Arial" w:eastAsia="Arial" w:hAnsi="Arial"/>
        </w:rPr>
        <w:t xml:space="preserve"> and GPU limit, with matching quota.</w:t>
      </w:r>
    </w:p>
    <w:p>
      <w:pPr>
        <w:pStyle w:val="Heading2"/>
      </w:pPr>
      <w:r>
        <w:rPr>
          <w:rFonts w:ascii="Arial" w:cs="Arial" w:eastAsia="Arial" w:hAnsi="Arial"/>
        </w:rPr>
        <w:t xml:space="preserve">2. Load balancing across vLLM pods is uneven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vllm-llama</w:t>
      </w:r>
      <w:r>
        <w:rPr>
          <w:rFonts w:ascii="Arial" w:cs="Arial" w:eastAsia="Arial" w:hAnsi="Arial"/>
        </w:rPr>
        <w:t xml:space="preserve"> ClusterIP Service balances per connection. A backend that keeps long-lived streaming connections open ends up with some pods hot while others sit idle.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Confirm:</w:t>
      </w:r>
      <w:r>
        <w:rPr>
          <w:rFonts w:ascii="Arial" w:cs="Arial" w:eastAsia="Arial" w:hAnsi="Arial"/>
        </w:rPr>
        <w:t xml:space="preserve"> compare </w:t>
      </w:r>
      <w:r>
        <w:rPr>
          <w:rFonts w:ascii="Courier New" w:cs="Courier New" w:eastAsia="Courier New" w:hAnsi="Courier New"/>
          <w:sz w:val="20"/>
          <w:szCs w:val="20"/>
        </w:rPr>
        <w:t xml:space="preserve">vllm:num_requests_running</w:t>
      </w:r>
      <w:r>
        <w:rPr>
          <w:rFonts w:ascii="Arial" w:cs="Arial" w:eastAsia="Arial" w:hAnsi="Arial"/>
        </w:rPr>
        <w:t xml:space="preserve"> across pods. </w:t>
      </w:r>
      <w:r>
        <w:rPr>
          <w:rFonts w:ascii="Arial" w:cs="Arial" w:eastAsia="Arial" w:hAnsi="Arial"/>
          <w:b/>
          <w:bCs/>
        </w:rPr>
        <w:t xml:space="preserve">Fix:</w:t>
      </w:r>
      <w:r>
        <w:rPr>
          <w:rFonts w:ascii="Arial" w:cs="Arial" w:eastAsia="Arial" w:hAnsi="Arial"/>
        </w:rPr>
        <w:t xml:space="preserve"> use least-outstanding-requests routing (ALB, Envoy, or a vLLM-aware router).</w:t>
      </w:r>
    </w:p>
    <w:p>
      <w:pPr>
        <w:pStyle w:val="Heading2"/>
      </w:pPr>
      <w:r>
        <w:rPr>
          <w:rFonts w:ascii="Arial" w:cs="Arial" w:eastAsia="Arial" w:hAnsi="Arial"/>
        </w:rPr>
        <w:t xml:space="preserve">3. Parts of the architecture are not in the Terraform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package covers a subset of the design discussed earlier. It has: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ALB or ingress controller (the WAF ACL is not attached to anything).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SQS or Kafka for async work, and no DynamoDB.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autoscaling for your own application pods.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CloudFront in front of the API (only media).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Without the queue, everything is synchronous on the request path, and one slow LLM call holds up your API threads.</w:t>
      </w:r>
    </w:p>
    <w:p>
      <w:pPr>
        <w:pStyle w:val="Heading2"/>
      </w:pPr>
      <w:r>
        <w:rPr>
          <w:rFonts w:ascii="Arial" w:cs="Arial" w:eastAsia="Arial" w:hAnsi="Arial"/>
        </w:rPr>
        <w:t xml:space="preserve">4. Data layer limits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Aurora:</w:t>
      </w:r>
      <w:r>
        <w:rPr>
          <w:rFonts w:ascii="Arial" w:cs="Arial" w:eastAsia="Arial" w:hAnsi="Arial"/>
        </w:rPr>
        <w:t xml:space="preserve"> two fixed instances and no replica autoscaling. RDS Proxy connection pinning (prepared statements, </w:t>
      </w:r>
      <w:r>
        <w:rPr>
          <w:rFonts w:ascii="Courier New" w:cs="Courier New" w:eastAsia="Courier New" w:hAnsi="Courier New"/>
          <w:sz w:val="20"/>
          <w:szCs w:val="20"/>
        </w:rPr>
        <w:t xml:space="preserve">SET</w:t>
      </w:r>
      <w:r>
        <w:rPr>
          <w:rFonts w:ascii="Arial" w:cs="Arial" w:eastAsia="Arial" w:hAnsi="Arial"/>
        </w:rPr>
        <w:t xml:space="preserve">) cancels the multiplexing benefit. Check </w:t>
      </w:r>
      <w:r>
        <w:rPr>
          <w:rFonts w:ascii="Courier New" w:cs="Courier New" w:eastAsia="Courier New" w:hAnsi="Courier New"/>
          <w:sz w:val="20"/>
          <w:szCs w:val="20"/>
        </w:rPr>
        <w:t xml:space="preserve">DatabaseConnections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DBLoad</w:t>
      </w:r>
      <w:r>
        <w:rPr>
          <w:rFonts w:ascii="Arial" w:cs="Arial" w:eastAsia="Arial" w:hAnsi="Arial"/>
        </w:rPr>
        <w:t xml:space="preserve"> in Performance Insights, and replica lag.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Redis:</w:t>
      </w:r>
      <w:r>
        <w:rPr>
          <w:rFonts w:ascii="Arial" w:cs="Arial" w:eastAsia="Arial" w:hAnsi="Arial"/>
        </w:rPr>
        <w:t xml:space="preserve"> one shard, so all writes go through one primary. Check </w:t>
      </w:r>
      <w:r>
        <w:rPr>
          <w:rFonts w:ascii="Courier New" w:cs="Courier New" w:eastAsia="Courier New" w:hAnsi="Courier New"/>
          <w:sz w:val="20"/>
          <w:szCs w:val="20"/>
        </w:rPr>
        <w:t xml:space="preserve">EngineCPUUtilization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NetworkBandwidthAllowanceExceeded</w:t>
      </w:r>
      <w:r>
        <w:rPr>
          <w:rFonts w:ascii="Arial" w:cs="Arial" w:eastAsia="Arial" w:hAnsi="Arial"/>
        </w:rPr>
        <w:t xml:space="preserve">. Move to cluster mode and bigger nodes.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Reads:</w:t>
      </w:r>
      <w:r>
        <w:rPr>
          <w:rFonts w:ascii="Arial" w:cs="Arial" w:eastAsia="Arial" w:hAnsi="Arial"/>
        </w:rPr>
        <w:t xml:space="preserve"> the read-only proxy endpoint only helps if your app actually sends reads to it.</w:t>
      </w:r>
    </w:p>
    <w:p>
      <w:pPr>
        <w:pStyle w:val="Heading2"/>
      </w:pPr>
      <w:r>
        <w:rPr>
          <w:rFonts w:ascii="Arial" w:cs="Arial" w:eastAsia="Arial" w:hAnsi="Arial"/>
        </w:rPr>
        <w:t xml:space="preserve">5. Cluster networking limits at scale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DNS:</w:t>
      </w:r>
      <w:r>
        <w:rPr>
          <w:rFonts w:ascii="Arial" w:cs="Arial" w:eastAsia="Arial" w:hAnsi="Arial"/>
        </w:rPr>
        <w:t xml:space="preserve"> CoreDNS defaults to 2 replicas with heavy lookup volume at high QPS. Add NodeLocal DNSCache and scale CoreDNS.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Pod IPs:</w:t>
      </w:r>
      <w:r>
        <w:rPr>
          <w:rFonts w:ascii="Arial" w:cs="Arial" w:eastAsia="Arial" w:hAnsi="Arial"/>
        </w:rPr>
        <w:t xml:space="preserve"> the </w:t>
      </w:r>
      <w:r>
        <w:rPr>
          <w:rFonts w:ascii="Courier New" w:cs="Courier New" w:eastAsia="Courier New" w:hAnsi="Courier New"/>
          <w:sz w:val="20"/>
          <w:szCs w:val="20"/>
        </w:rPr>
        <w:t xml:space="preserve">/20</w:t>
      </w:r>
      <w:r>
        <w:rPr>
          <w:rFonts w:ascii="Arial" w:cs="Arial" w:eastAsia="Arial" w:hAnsi="Arial"/>
        </w:rPr>
        <w:t xml:space="preserve"> private subnets plus per-node ENI limits can run out of IPs or pod slots. Enable VPC CNI prefix delegation.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NAT:</w:t>
      </w:r>
      <w:r>
        <w:rPr>
          <w:rFonts w:ascii="Arial" w:cs="Arial" w:eastAsia="Arial" w:hAnsi="Arial"/>
        </w:rPr>
        <w:t xml:space="preserve"> a single NAT gateway is a bandwidth and port-allocation limit. Watch </w:t>
      </w:r>
      <w:r>
        <w:rPr>
          <w:rFonts w:ascii="Courier New" w:cs="Courier New" w:eastAsia="Courier New" w:hAnsi="Courier New"/>
          <w:sz w:val="20"/>
          <w:szCs w:val="20"/>
        </w:rPr>
        <w:t xml:space="preserve">ErrorPortAllocation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ALB:</w:t>
      </w:r>
      <w:r>
        <w:rPr>
          <w:rFonts w:ascii="Arial" w:cs="Arial" w:eastAsia="Arial" w:hAnsi="Arial"/>
        </w:rPr>
        <w:t xml:space="preserve"> it scales gradually, so sudden spikes can see 502 and 503 errors. Ask AWS to pre-warm it ahead of launches, and align idle timeouts between the ALB and your pods.</w:t>
      </w:r>
    </w:p>
    <w:p>
      <w:pPr>
        <w:pStyle w:val="Heading2"/>
      </w:pPr>
      <w:r>
        <w:rPr>
          <w:rFonts w:ascii="Arial" w:cs="Arial" w:eastAsia="Arial" w:hAnsi="Arial"/>
        </w:rPr>
        <w:t xml:space="preserve">6. Scaling reacts too slowly for mobile spikes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new node, image pull and startup take minutes (10 or more for GPUs), while push-notification and campaign spikes arrive in seconds. Add scheduled scaling, overprovisioning "pause pods" for spare headroom, and image pre-pulls, and keep latency-critical pods off Spot capacity.</w:t>
      </w:r>
    </w:p>
    <w:p>
      <w:pPr>
        <w:pStyle w:val="Heading2"/>
      </w:pPr>
      <w:r>
        <w:rPr>
          <w:rFonts w:ascii="Arial" w:cs="Arial" w:eastAsia="Arial" w:hAnsi="Arial"/>
        </w:rPr>
        <w:t xml:space="preserve">7. No observability or load testing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There is no tracing and there are no per-service latency or error metrics. Without a load test you cannot tell which layer saturates first.</w:t>
      </w:r>
    </w:p>
    <w:p>
      <w:pPr>
        <w:pStyle w:val="Heading1"/>
      </w:pPr>
      <w:r>
        <w:rPr>
          <w:rFonts w:ascii="Arial" w:cs="Arial" w:eastAsia="Arial" w:hAnsi="Arial"/>
        </w:rPr>
        <w:t xml:space="preserve">Finding the bottleneck quickly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Run a stepped k6 load test while watching one saturation signal per layer. The first signal to saturate is your real bottleneck.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TargetResponseTime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5xx,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RejectedConnectionCount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pods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throttling, restarts, p99 latency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CPU, connections,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DBLoad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EngineCPUUtilization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network allowance exceeded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queue, time-to-first-token, per-pod imbalance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latency, NAT port errors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Next steps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 narrow this down, collect the following: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What "not performing" looks like: high latency or errors.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Which endpoints are affected (AI or regular API).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At what concurrent load it starts to break.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With that, the next package version can add the missing pieces: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ALB controller and ingress, and SQS for async 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Aurora replica autoscaling and cluster-mode Redis.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DNS and CNI tuning, and pause-pod headroom.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bigger GPU pool with a least-request router, and a k6 load-test script.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the Platform Underperforms at 1M+ Users</dc:title>
  <dc:creator>Claude</dc:creator>
  <cp:lastModifiedBy>Un-named</cp:lastModifiedBy>
  <cp:revision>1</cp:revision>
  <dcterms:created xsi:type="dcterms:W3CDTF">2026-10-08T10:39:53.948Z</dcterms:created>
  <dcterms:modified xsi:type="dcterms:W3CDTF">2026-10-08T10:39:53.948Z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