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2937"/>
          <w:sz w:val="56"/>
          <w:szCs w:val="56"/>
        </w:rPr>
        <w:t xml:space="preserve">SimpleCRM</w:t>
      </w:r>
    </w:p>
    <w:p>
      <w:pPr>
        <w:spacing w:after="40"/>
      </w:pPr>
      <w:r>
        <w:rPr>
          <w:b/>
          <w:bCs/>
          <w:color w:val="2563EB"/>
          <w:sz w:val="32"/>
          <w:szCs w:val="32"/>
        </w:rPr>
        <w:t xml:space="preserve">Response to Digitalsofts Evaluation Feedback</w:t>
      </w:r>
    </w:p>
    <w:p>
      <w:pPr>
        <w:spacing w:after="400"/>
      </w:pPr>
      <w:r>
        <w:rPr>
          <w:i/>
          <w:iCs/>
          <w:color w:val="6B7280"/>
          <w:sz w:val="22"/>
          <w:szCs w:val="22"/>
        </w:rPr>
        <w:t xml:space="preserve">Prepared by Ayyan Bhatti  ·  Evaluation score: 88/100 (Strong Pass)</w:t>
      </w:r>
    </w:p>
    <w:p>
      <w:pPr>
        <w:pBdr>
          <w:bottom w:val="single" w:color="D1D5DB" w:sz="6" w:space="1"/>
        </w:pBdr>
        <w:spacing w:after="240"/>
      </w:pPr>
    </w:p>
    <w:p>
      <w:pPr>
        <w:pStyle w:val="Heading1"/>
        <w:spacing w:after="200" w:before="360"/>
      </w:pPr>
      <w:r>
        <w:rPr>
          <w:b/>
          <w:bCs/>
          <w:color w:val="1F2937"/>
        </w:rPr>
        <w:t xml:space="preserve">1. How to read this document</w:t>
      </w:r>
    </w:p>
    <w:p>
      <w:pPr>
        <w:spacing w:after="120" w:before="0"/>
      </w:pPr>
      <w:r>
        <w:rPr>
          <w:color w:val="111827"/>
          <w:sz w:val="22"/>
          <w:szCs w:val="22"/>
        </w:rPr>
        <w:t xml:space="preserve">Digitalsofts reviewed an earlier snapshot of this project and returned a detailed, well-structured list of what was strong and what to improve. This document answers that feedback directly, point by point, against the codebase as it stands today — which has grown substantially since the review, across several build rounds documented in BUILD_LOG.md.</w:t>
      </w:r>
    </w:p>
    <w:p>
      <w:pPr>
        <w:spacing w:after="120" w:before="0"/>
      </w:pPr>
      <w:r>
        <w:rPr>
          <w:color w:val="111827"/>
          <w:sz w:val="22"/>
          <w:szCs w:val="22"/>
        </w:rPr>
        <w:t xml:space="preserve">The short version, checked line-by-line against the actual code before writing anything here:</w:t>
      </w:r>
    </w:p>
    <w:p>
      <w:pPr>
        <w:pStyle w:val="ListParagraph"/>
        <w:numPr>
          <w:ilvl w:val="0"/>
          <w:numId w:val="1"/>
        </w:numPr>
        <w:spacing w:after="60" w:before="0"/>
      </w:pPr>
      <w:r>
        <w:rPr>
          <w:color w:val="111827"/>
          <w:sz w:val="22"/>
          <w:szCs w:val="22"/>
        </w:rPr>
        <w:t xml:space="preserve">23 of the 25 concrete recommendations in the email were already implemented at the time of the review — not planned, not stubbed, working and tested.</w:t>
      </w:r>
    </w:p>
    <w:p>
      <w:pPr>
        <w:pStyle w:val="ListParagraph"/>
        <w:numPr>
          <w:ilvl w:val="0"/>
          <w:numId w:val="1"/>
        </w:numPr>
        <w:spacing w:after="60" w:before="0"/>
      </w:pPr>
      <w:r>
        <w:rPr>
          <w:color w:val="111827"/>
          <w:sz w:val="22"/>
          <w:szCs w:val="22"/>
        </w:rPr>
        <w:t xml:space="preserve">The remaining gaps — a styled confirmation dialog, authentication events on the audit trail, an index on the customer email field, and email verification for both staff and buyer accounts — have been built in this pass and are covered below.</w:t>
      </w:r>
    </w:p>
    <w:p>
      <w:pPr>
        <w:spacing w:after="120" w:before="0"/>
      </w:pPr>
      <w:r>
        <w:rPr>
          <w:i/>
          <w:iCs/>
          <w:color w:val="6B7280"/>
          <w:sz w:val="22"/>
          <w:szCs w:val="22"/>
        </w:rPr>
        <w:t xml:space="preserve">Every claim in Section 2 was verified by an independent audit that read the actual source files and cited exact file and line locations before this document existed — nothing here is asserted from memory.</w:t>
      </w:r>
    </w:p>
    <w:p>
      <w:pPr>
        <w:pStyle w:val="Heading1"/>
        <w:spacing w:after="200" w:before="360"/>
      </w:pPr>
      <w:r>
        <w:rPr>
          <w:b/>
          <w:bCs/>
          <w:color w:val="1F2937"/>
        </w:rPr>
        <w:t xml:space="preserve">2. Point-by-point response to the feedback</w:t>
      </w:r>
    </w:p>
    <w:p>
      <w:pPr>
        <w:pStyle w:val="Heading2"/>
        <w:spacing w:after="140" w:before="280"/>
      </w:pPr>
      <w:r>
        <w:rPr>
          <w:b/>
          <w:bCs/>
          <w:color w:val="2563EB"/>
        </w:rPr>
        <w:t xml:space="preserve">Priority 1 — Production security</w:t>
      </w:r>
    </w:p>
    <w:tbl>
      <w:tblPr>
        <w:tblW w:type="pct" w:w="100%"/>
        <w:tblBorders>
          <w:top w:val="single" w:color="D1D5DB" w:sz="4"/>
          <w:left w:val="single" w:color="D1D5DB" w:sz="4"/>
          <w:bottom w:val="single" w:color="D1D5DB" w:sz="4"/>
          <w:right w:val="single" w:color="D1D5DB" w:sz="4"/>
          <w:insideH w:val="single" w:color="D1D5DB" w:sz="2"/>
          <w:insideV w:val="single" w:color="D1D5DB" w:sz="2"/>
        </w:tblBorders>
      </w:tblPr>
      <w:tblGrid>
        <w:gridCol w:w="100"/>
        <w:gridCol w:w="100"/>
        <w:gridCol w:w="100"/>
        <w:gridCol w:w="100"/>
      </w:tblGrid>
      <w:tr>
        <w:trPr>
          <w:tblHeader/>
        </w:trPr>
        <w:tc>
          <w:tcPr>
            <w:tcW w:type="pct" w:w="8%"/>
            <w:shd w:fill="EEF2FF" w:val="clear"/>
            <w:tcMar>
              <w:top w:type="dxa" w:w="80"/>
              <w:left w:type="dxa" w:w="120"/>
              <w:bottom w:type="dxa" w:w="80"/>
              <w:right w:type="dxa" w:w="120"/>
            </w:tcMar>
          </w:tcPr>
          <w:p>
            <w:r>
              <w:rPr>
                <w:b/>
                <w:bCs/>
                <w:sz w:val="20"/>
                <w:szCs w:val="20"/>
              </w:rPr>
              <w:t xml:space="preserve">#</w:t>
            </w:r>
          </w:p>
        </w:tc>
        <w:tc>
          <w:tcPr>
            <w:tcW w:type="pct" w:w="42%"/>
            <w:shd w:fill="EEF2FF" w:val="clear"/>
            <w:tcMar>
              <w:top w:type="dxa" w:w="80"/>
              <w:left w:type="dxa" w:w="120"/>
              <w:bottom w:type="dxa" w:w="80"/>
              <w:right w:type="dxa" w:w="120"/>
            </w:tcMar>
          </w:tcPr>
          <w:p>
            <w:r>
              <w:rPr>
                <w:b/>
                <w:bCs/>
                <w:sz w:val="20"/>
                <w:szCs w:val="20"/>
              </w:rPr>
              <w:t xml:space="preserve">Item</w:t>
            </w:r>
          </w:p>
        </w:tc>
        <w:tc>
          <w:tcPr>
            <w:tcW w:type="pct" w:w="18%"/>
            <w:shd w:fill="EEF2FF" w:val="clear"/>
            <w:tcMar>
              <w:top w:type="dxa" w:w="80"/>
              <w:left w:type="dxa" w:w="120"/>
              <w:bottom w:type="dxa" w:w="80"/>
              <w:right w:type="dxa" w:w="120"/>
            </w:tcMar>
          </w:tcPr>
          <w:p>
            <w:r>
              <w:rPr>
                <w:b/>
                <w:bCs/>
                <w:sz w:val="20"/>
                <w:szCs w:val="20"/>
              </w:rPr>
              <w:t xml:space="preserve">Status</w:t>
            </w:r>
          </w:p>
        </w:tc>
        <w:tc>
          <w:tcPr>
            <w:tcW w:type="pct" w:w="32%"/>
            <w:shd w:fill="EEF2FF" w:val="clear"/>
            <w:tcMar>
              <w:top w:type="dxa" w:w="80"/>
              <w:left w:type="dxa" w:w="120"/>
              <w:bottom w:type="dxa" w:w="80"/>
              <w:right w:type="dxa" w:w="120"/>
            </w:tcMar>
          </w:tcPr>
          <w:p>
            <w:r>
              <w:rPr>
                <w:b/>
                <w:bCs/>
                <w:sz w:val="20"/>
                <w:szCs w:val="20"/>
              </w:rPr>
              <w:t xml:space="preserve">Where</w:t>
            </w:r>
          </w:p>
        </w:tc>
      </w:tr>
      <w:tr>
        <w:tc>
          <w:tcPr>
            <w:tcW w:type="pct" w:w="8%"/>
            <w:tcMar>
              <w:top w:type="dxa" w:w="80"/>
              <w:left w:type="dxa" w:w="120"/>
              <w:bottom w:type="dxa" w:w="80"/>
              <w:right w:type="dxa" w:w="120"/>
            </w:tcMar>
          </w:tcPr>
          <w:p>
            <w:r>
              <w:rPr>
                <w:sz w:val="20"/>
                <w:szCs w:val="20"/>
              </w:rPr>
              <w:t xml:space="preserve">1</w:t>
            </w:r>
          </w:p>
        </w:tc>
        <w:tc>
          <w:tcPr>
            <w:tcW w:type="pct" w:w="42%"/>
            <w:tcMar>
              <w:top w:type="dxa" w:w="80"/>
              <w:left w:type="dxa" w:w="120"/>
              <w:bottom w:type="dxa" w:w="80"/>
              <w:right w:type="dxa" w:w="120"/>
            </w:tcMar>
          </w:tcPr>
          <w:p>
            <w:r>
              <w:rPr>
                <w:sz w:val="20"/>
                <w:szCs w:val="20"/>
              </w:rPr>
              <w:t xml:space="preserve">JWT stored in httpOnly cookies, not localStorage</w:t>
            </w:r>
          </w:p>
        </w:tc>
        <w:tc>
          <w:tcPr>
            <w:tcW w:type="pct" w:w="18%"/>
            <w:tcMar>
              <w:top w:type="dxa" w:w="80"/>
              <w:left w:type="dxa" w:w="120"/>
              <w:bottom w:type="dxa" w:w="80"/>
              <w:right w:type="dxa" w:w="120"/>
            </w:tcMar>
          </w:tcPr>
          <w:p>
            <w:r>
              <w:rPr>
                <w:color w:val="166534"/>
                <w:sz w:val="20"/>
                <w:szCs w:val="20"/>
              </w:rPr>
              <w:t xml:space="preserve">Already implemented</w:t>
            </w:r>
          </w:p>
        </w:tc>
        <w:tc>
          <w:tcPr>
            <w:tcW w:type="pct" w:w="32%"/>
            <w:tcMar>
              <w:top w:type="dxa" w:w="80"/>
              <w:left w:type="dxa" w:w="120"/>
              <w:bottom w:type="dxa" w:w="80"/>
              <w:right w:type="dxa" w:w="120"/>
            </w:tcMar>
          </w:tcPr>
          <w:p>
            <w:r>
              <w:rPr>
                <w:color w:val="6B7280"/>
                <w:sz w:val="20"/>
                <w:szCs w:val="20"/>
              </w:rPr>
              <w:t xml:space="preserve">utils/cookies.js, controllers/authController.js</w:t>
            </w:r>
          </w:p>
        </w:tc>
      </w:tr>
      <w:tr>
        <w:tc>
          <w:tcPr>
            <w:tcW w:type="pct" w:w="8%"/>
            <w:tcMar>
              <w:top w:type="dxa" w:w="80"/>
              <w:left w:type="dxa" w:w="120"/>
              <w:bottom w:type="dxa" w:w="80"/>
              <w:right w:type="dxa" w:w="120"/>
            </w:tcMar>
          </w:tcPr>
          <w:p>
            <w:r>
              <w:rPr>
                <w:sz w:val="20"/>
                <w:szCs w:val="20"/>
              </w:rPr>
              <w:t xml:space="preserve">2</w:t>
            </w:r>
          </w:p>
        </w:tc>
        <w:tc>
          <w:tcPr>
            <w:tcW w:type="pct" w:w="42%"/>
            <w:tcMar>
              <w:top w:type="dxa" w:w="80"/>
              <w:left w:type="dxa" w:w="120"/>
              <w:bottom w:type="dxa" w:w="80"/>
              <w:right w:type="dxa" w:w="120"/>
            </w:tcMar>
          </w:tcPr>
          <w:p>
            <w:r>
              <w:rPr>
                <w:sz w:val="20"/>
                <w:szCs w:val="20"/>
              </w:rPr>
              <w:t xml:space="preserve">Refresh-token rotation with reuse detection</w:t>
            </w:r>
          </w:p>
        </w:tc>
        <w:tc>
          <w:tcPr>
            <w:tcW w:type="pct" w:w="18%"/>
            <w:tcMar>
              <w:top w:type="dxa" w:w="80"/>
              <w:left w:type="dxa" w:w="120"/>
              <w:bottom w:type="dxa" w:w="80"/>
              <w:right w:type="dxa" w:w="120"/>
            </w:tcMar>
          </w:tcPr>
          <w:p>
            <w:r>
              <w:rPr>
                <w:color w:val="166534"/>
                <w:sz w:val="20"/>
                <w:szCs w:val="20"/>
              </w:rPr>
              <w:t xml:space="preserve">Already implemented</w:t>
            </w:r>
          </w:p>
        </w:tc>
        <w:tc>
          <w:tcPr>
            <w:tcW w:type="pct" w:w="32%"/>
            <w:tcMar>
              <w:top w:type="dxa" w:w="80"/>
              <w:left w:type="dxa" w:w="120"/>
              <w:bottom w:type="dxa" w:w="80"/>
              <w:right w:type="dxa" w:w="120"/>
            </w:tcMar>
          </w:tcPr>
          <w:p>
            <w:r>
              <w:rPr>
                <w:color w:val="6B7280"/>
                <w:sz w:val="20"/>
                <w:szCs w:val="20"/>
              </w:rPr>
              <w:t xml:space="preserve">models/RefreshToken.js, services/sessionService.js</w:t>
            </w:r>
          </w:p>
        </w:tc>
      </w:tr>
      <w:tr>
        <w:tc>
          <w:tcPr>
            <w:tcW w:type="pct" w:w="8%"/>
            <w:tcMar>
              <w:top w:type="dxa" w:w="80"/>
              <w:left w:type="dxa" w:w="120"/>
              <w:bottom w:type="dxa" w:w="80"/>
              <w:right w:type="dxa" w:w="120"/>
            </w:tcMar>
          </w:tcPr>
          <w:p>
            <w:r>
              <w:rPr>
                <w:sz w:val="20"/>
                <w:szCs w:val="20"/>
              </w:rPr>
              <w:t xml:space="preserve">3</w:t>
            </w:r>
          </w:p>
        </w:tc>
        <w:tc>
          <w:tcPr>
            <w:tcW w:type="pct" w:w="42%"/>
            <w:tcMar>
              <w:top w:type="dxa" w:w="80"/>
              <w:left w:type="dxa" w:w="120"/>
              <w:bottom w:type="dxa" w:w="80"/>
              <w:right w:type="dxa" w:w="120"/>
            </w:tcMar>
          </w:tcPr>
          <w:p>
            <w:r>
              <w:rPr>
                <w:sz w:val="20"/>
                <w:szCs w:val="20"/>
              </w:rPr>
              <w:t xml:space="preserve">Rate limiting on auth and sensitive endpoints</w:t>
            </w:r>
          </w:p>
        </w:tc>
        <w:tc>
          <w:tcPr>
            <w:tcW w:type="pct" w:w="18%"/>
            <w:tcMar>
              <w:top w:type="dxa" w:w="80"/>
              <w:left w:type="dxa" w:w="120"/>
              <w:bottom w:type="dxa" w:w="80"/>
              <w:right w:type="dxa" w:w="120"/>
            </w:tcMar>
          </w:tcPr>
          <w:p>
            <w:r>
              <w:rPr>
                <w:color w:val="166534"/>
                <w:sz w:val="20"/>
                <w:szCs w:val="20"/>
              </w:rPr>
              <w:t xml:space="preserve">Already implemented</w:t>
            </w:r>
          </w:p>
        </w:tc>
        <w:tc>
          <w:tcPr>
            <w:tcW w:type="pct" w:w="32%"/>
            <w:tcMar>
              <w:top w:type="dxa" w:w="80"/>
              <w:left w:type="dxa" w:w="120"/>
              <w:bottom w:type="dxa" w:w="80"/>
              <w:right w:type="dxa" w:w="120"/>
            </w:tcMar>
          </w:tcPr>
          <w:p>
            <w:r>
              <w:rPr>
                <w:color w:val="6B7280"/>
                <w:sz w:val="20"/>
                <w:szCs w:val="20"/>
              </w:rPr>
              <w:t xml:space="preserve">middleware/rateLimit.js — 9 named limiters, MongoDB-backed</w:t>
            </w:r>
          </w:p>
        </w:tc>
      </w:tr>
      <w:tr>
        <w:tc>
          <w:tcPr>
            <w:tcW w:type="pct" w:w="8%"/>
            <w:tcMar>
              <w:top w:type="dxa" w:w="80"/>
              <w:left w:type="dxa" w:w="120"/>
              <w:bottom w:type="dxa" w:w="80"/>
              <w:right w:type="dxa" w:w="120"/>
            </w:tcMar>
          </w:tcPr>
          <w:p>
            <w:r>
              <w:rPr>
                <w:sz w:val="20"/>
                <w:szCs w:val="20"/>
              </w:rPr>
              <w:t xml:space="preserve">4</w:t>
            </w:r>
          </w:p>
        </w:tc>
        <w:tc>
          <w:tcPr>
            <w:tcW w:type="pct" w:w="42%"/>
            <w:tcMar>
              <w:top w:type="dxa" w:w="80"/>
              <w:left w:type="dxa" w:w="120"/>
              <w:bottom w:type="dxa" w:w="80"/>
              <w:right w:type="dxa" w:w="120"/>
            </w:tcMar>
          </w:tcPr>
          <w:p>
            <w:r>
              <w:rPr>
                <w:sz w:val="20"/>
                <w:szCs w:val="20"/>
              </w:rPr>
              <w:t xml:space="preserve">Account lockout / brute-force protection</w:t>
            </w:r>
          </w:p>
        </w:tc>
        <w:tc>
          <w:tcPr>
            <w:tcW w:type="pct" w:w="18%"/>
            <w:tcMar>
              <w:top w:type="dxa" w:w="80"/>
              <w:left w:type="dxa" w:w="120"/>
              <w:bottom w:type="dxa" w:w="80"/>
              <w:right w:type="dxa" w:w="120"/>
            </w:tcMar>
          </w:tcPr>
          <w:p>
            <w:r>
              <w:rPr>
                <w:color w:val="166534"/>
                <w:sz w:val="20"/>
                <w:szCs w:val="20"/>
              </w:rPr>
              <w:t xml:space="preserve">Already implemented</w:t>
            </w:r>
          </w:p>
        </w:tc>
        <w:tc>
          <w:tcPr>
            <w:tcW w:type="pct" w:w="32%"/>
            <w:tcMar>
              <w:top w:type="dxa" w:w="80"/>
              <w:left w:type="dxa" w:w="120"/>
              <w:bottom w:type="dxa" w:w="80"/>
              <w:right w:type="dxa" w:w="120"/>
            </w:tcMar>
          </w:tcPr>
          <w:p>
            <w:r>
              <w:rPr>
                <w:color w:val="6B7280"/>
                <w:sz w:val="20"/>
                <w:szCs w:val="20"/>
              </w:rPr>
              <w:t xml:space="preserve">models/User.js — 5 attempts, exponential backoff, capped at 15 min</w:t>
            </w:r>
          </w:p>
        </w:tc>
      </w:tr>
      <w:tr>
        <w:tc>
          <w:tcPr>
            <w:tcW w:type="pct" w:w="8%"/>
            <w:tcMar>
              <w:top w:type="dxa" w:w="80"/>
              <w:left w:type="dxa" w:w="120"/>
              <w:bottom w:type="dxa" w:w="80"/>
              <w:right w:type="dxa" w:w="120"/>
            </w:tcMar>
          </w:tcPr>
          <w:p>
            <w:r>
              <w:rPr>
                <w:sz w:val="20"/>
                <w:szCs w:val="20"/>
              </w:rPr>
              <w:t xml:space="preserve">5</w:t>
            </w:r>
          </w:p>
        </w:tc>
        <w:tc>
          <w:tcPr>
            <w:tcW w:type="pct" w:w="42%"/>
            <w:tcMar>
              <w:top w:type="dxa" w:w="80"/>
              <w:left w:type="dxa" w:w="120"/>
              <w:bottom w:type="dxa" w:w="80"/>
              <w:right w:type="dxa" w:w="120"/>
            </w:tcMar>
          </w:tcPr>
          <w:p>
            <w:r>
              <w:rPr>
                <w:sz w:val="20"/>
                <w:szCs w:val="20"/>
              </w:rPr>
              <w:t xml:space="preserve">CSRF protection</w:t>
            </w:r>
          </w:p>
        </w:tc>
        <w:tc>
          <w:tcPr>
            <w:tcW w:type="pct" w:w="18%"/>
            <w:tcMar>
              <w:top w:type="dxa" w:w="80"/>
              <w:left w:type="dxa" w:w="120"/>
              <w:bottom w:type="dxa" w:w="80"/>
              <w:right w:type="dxa" w:w="120"/>
            </w:tcMar>
          </w:tcPr>
          <w:p>
            <w:r>
              <w:rPr>
                <w:color w:val="166534"/>
                <w:sz w:val="20"/>
                <w:szCs w:val="20"/>
              </w:rPr>
              <w:t xml:space="preserve">Already implemented</w:t>
            </w:r>
          </w:p>
        </w:tc>
        <w:tc>
          <w:tcPr>
            <w:tcW w:type="pct" w:w="32%"/>
            <w:tcMar>
              <w:top w:type="dxa" w:w="80"/>
              <w:left w:type="dxa" w:w="120"/>
              <w:bottom w:type="dxa" w:w="80"/>
              <w:right w:type="dxa" w:w="120"/>
            </w:tcMar>
          </w:tcPr>
          <w:p>
            <w:r>
              <w:rPr>
                <w:color w:val="6B7280"/>
                <w:sz w:val="20"/>
                <w:szCs w:val="20"/>
              </w:rPr>
              <w:t xml:space="preserve">middleware/csrf.js, middleware/shopCsrf.js — double-submit cookie</w:t>
            </w:r>
          </w:p>
        </w:tc>
      </w:tr>
      <w:tr>
        <w:tc>
          <w:tcPr>
            <w:tcW w:type="pct" w:w="8%"/>
            <w:tcMar>
              <w:top w:type="dxa" w:w="80"/>
              <w:left w:type="dxa" w:w="120"/>
              <w:bottom w:type="dxa" w:w="80"/>
              <w:right w:type="dxa" w:w="120"/>
            </w:tcMar>
          </w:tcPr>
          <w:p>
            <w:r>
              <w:rPr>
                <w:sz w:val="20"/>
                <w:szCs w:val="20"/>
              </w:rPr>
              <w:t xml:space="preserve">6</w:t>
            </w:r>
          </w:p>
        </w:tc>
        <w:tc>
          <w:tcPr>
            <w:tcW w:type="pct" w:w="42%"/>
            <w:tcMar>
              <w:top w:type="dxa" w:w="80"/>
              <w:left w:type="dxa" w:w="120"/>
              <w:bottom w:type="dxa" w:w="80"/>
              <w:right w:type="dxa" w:w="120"/>
            </w:tcMar>
          </w:tcPr>
          <w:p>
            <w:r>
              <w:rPr>
                <w:sz w:val="20"/>
                <w:szCs w:val="20"/>
              </w:rPr>
              <w:t xml:space="preserve">Security headers and Content-Security-Policy</w:t>
            </w:r>
          </w:p>
        </w:tc>
        <w:tc>
          <w:tcPr>
            <w:tcW w:type="pct" w:w="18%"/>
            <w:tcMar>
              <w:top w:type="dxa" w:w="80"/>
              <w:left w:type="dxa" w:w="120"/>
              <w:bottom w:type="dxa" w:w="80"/>
              <w:right w:type="dxa" w:w="120"/>
            </w:tcMar>
          </w:tcPr>
          <w:p>
            <w:r>
              <w:rPr>
                <w:color w:val="166534"/>
                <w:sz w:val="20"/>
                <w:szCs w:val="20"/>
              </w:rPr>
              <w:t xml:space="preserve">Already implemented</w:t>
            </w:r>
          </w:p>
        </w:tc>
        <w:tc>
          <w:tcPr>
            <w:tcW w:type="pct" w:w="32%"/>
            <w:tcMar>
              <w:top w:type="dxa" w:w="80"/>
              <w:left w:type="dxa" w:w="120"/>
              <w:bottom w:type="dxa" w:w="80"/>
              <w:right w:type="dxa" w:w="120"/>
            </w:tcMar>
          </w:tcPr>
          <w:p>
            <w:r>
              <w:rPr>
                <w:color w:val="6B7280"/>
                <w:sz w:val="20"/>
                <w:szCs w:val="20"/>
              </w:rPr>
              <w:t xml:space="preserve">app.js (helmet) + vercel.json (SPA CSP)</w:t>
            </w:r>
          </w:p>
        </w:tc>
      </w:tr>
      <w:tr>
        <w:tc>
          <w:tcPr>
            <w:tcW w:type="pct" w:w="8%"/>
            <w:tcMar>
              <w:top w:type="dxa" w:w="80"/>
              <w:left w:type="dxa" w:w="120"/>
              <w:bottom w:type="dxa" w:w="80"/>
              <w:right w:type="dxa" w:w="120"/>
            </w:tcMar>
          </w:tcPr>
          <w:p>
            <w:r>
              <w:rPr>
                <w:sz w:val="20"/>
                <w:szCs w:val="20"/>
              </w:rPr>
              <w:t xml:space="preserve">7</w:t>
            </w:r>
          </w:p>
        </w:tc>
        <w:tc>
          <w:tcPr>
            <w:tcW w:type="pct" w:w="42%"/>
            <w:tcMar>
              <w:top w:type="dxa" w:w="80"/>
              <w:left w:type="dxa" w:w="120"/>
              <w:bottom w:type="dxa" w:w="80"/>
              <w:right w:type="dxa" w:w="120"/>
            </w:tcMar>
          </w:tcPr>
          <w:p>
            <w:r>
              <w:rPr>
                <w:sz w:val="20"/>
                <w:szCs w:val="20"/>
              </w:rPr>
              <w:t xml:space="preserve">Strong password policy</w:t>
            </w:r>
          </w:p>
        </w:tc>
        <w:tc>
          <w:tcPr>
            <w:tcW w:type="pct" w:w="18%"/>
            <w:tcMar>
              <w:top w:type="dxa" w:w="80"/>
              <w:left w:type="dxa" w:w="120"/>
              <w:bottom w:type="dxa" w:w="80"/>
              <w:right w:type="dxa" w:w="120"/>
            </w:tcMar>
          </w:tcPr>
          <w:p>
            <w:r>
              <w:rPr>
                <w:color w:val="166534"/>
                <w:sz w:val="20"/>
                <w:szCs w:val="20"/>
              </w:rPr>
              <w:t xml:space="preserve">Already implemented</w:t>
            </w:r>
          </w:p>
        </w:tc>
        <w:tc>
          <w:tcPr>
            <w:tcW w:type="pct" w:w="32%"/>
            <w:tcMar>
              <w:top w:type="dxa" w:w="80"/>
              <w:left w:type="dxa" w:w="120"/>
              <w:bottom w:type="dxa" w:w="80"/>
              <w:right w:type="dxa" w:w="120"/>
            </w:tcMar>
          </w:tcPr>
          <w:p>
            <w:r>
              <w:rPr>
                <w:color w:val="6B7280"/>
                <w:sz w:val="20"/>
                <w:szCs w:val="20"/>
              </w:rPr>
              <w:t xml:space="preserve">utils/passwordPolicy.js — NIST-style rules + HIBP breach check</w:t>
            </w:r>
          </w:p>
        </w:tc>
      </w:tr>
      <w:tr>
        <w:tc>
          <w:tcPr>
            <w:tcW w:type="pct" w:w="8%"/>
            <w:tcMar>
              <w:top w:type="dxa" w:w="80"/>
              <w:left w:type="dxa" w:w="120"/>
              <w:bottom w:type="dxa" w:w="80"/>
              <w:right w:type="dxa" w:w="120"/>
            </w:tcMar>
          </w:tcPr>
          <w:p>
            <w:r>
              <w:rPr>
                <w:sz w:val="20"/>
                <w:szCs w:val="20"/>
              </w:rPr>
              <w:t xml:space="preserve">8</w:t>
            </w:r>
          </w:p>
        </w:tc>
        <w:tc>
          <w:tcPr>
            <w:tcW w:type="pct" w:w="42%"/>
            <w:tcMar>
              <w:top w:type="dxa" w:w="80"/>
              <w:left w:type="dxa" w:w="120"/>
              <w:bottom w:type="dxa" w:w="80"/>
              <w:right w:type="dxa" w:w="120"/>
            </w:tcMar>
          </w:tcPr>
          <w:p>
            <w:r>
              <w:rPr>
                <w:sz w:val="20"/>
                <w:szCs w:val="20"/>
              </w:rPr>
              <w:t xml:space="preserve">Audit logs (who / what / before / after / when)</w:t>
            </w:r>
          </w:p>
        </w:tc>
        <w:tc>
          <w:tcPr>
            <w:tcW w:type="pct" w:w="18%"/>
            <w:tcMar>
              <w:top w:type="dxa" w:w="80"/>
              <w:left w:type="dxa" w:w="120"/>
              <w:bottom w:type="dxa" w:w="80"/>
              <w:right w:type="dxa" w:w="120"/>
            </w:tcMar>
          </w:tcPr>
          <w:p>
            <w:r>
              <w:rPr>
                <w:color w:val="166534"/>
                <w:sz w:val="20"/>
                <w:szCs w:val="20"/>
              </w:rPr>
              <w:t xml:space="preserve">Already implemented</w:t>
            </w:r>
          </w:p>
        </w:tc>
        <w:tc>
          <w:tcPr>
            <w:tcW w:type="pct" w:w="32%"/>
            <w:tcMar>
              <w:top w:type="dxa" w:w="80"/>
              <w:left w:type="dxa" w:w="120"/>
              <w:bottom w:type="dxa" w:w="80"/>
              <w:right w:type="dxa" w:w="120"/>
            </w:tcMar>
          </w:tcPr>
          <w:p>
            <w:r>
              <w:rPr>
                <w:color w:val="6B7280"/>
                <w:sz w:val="20"/>
                <w:szCs w:val="20"/>
              </w:rPr>
              <w:t xml:space="preserve">models/AuditLog.js, services/auditService.js</w:t>
            </w:r>
          </w:p>
        </w:tc>
      </w:tr>
      <w:tr>
        <w:tc>
          <w:tcPr>
            <w:tcW w:type="pct" w:w="8%"/>
            <w:tcMar>
              <w:top w:type="dxa" w:w="80"/>
              <w:left w:type="dxa" w:w="120"/>
              <w:bottom w:type="dxa" w:w="80"/>
              <w:right w:type="dxa" w:w="120"/>
            </w:tcMar>
          </w:tcPr>
          <w:p>
            <w:r>
              <w:rPr>
                <w:sz w:val="20"/>
                <w:szCs w:val="20"/>
              </w:rPr>
              <w:t xml:space="preserve">9</w:t>
            </w:r>
          </w:p>
        </w:tc>
        <w:tc>
          <w:tcPr>
            <w:tcW w:type="pct" w:w="42%"/>
            <w:tcMar>
              <w:top w:type="dxa" w:w="80"/>
              <w:left w:type="dxa" w:w="120"/>
              <w:bottom w:type="dxa" w:w="80"/>
              <w:right w:type="dxa" w:w="120"/>
            </w:tcMar>
          </w:tcPr>
          <w:p>
            <w:r>
              <w:rPr>
                <w:sz w:val="20"/>
                <w:szCs w:val="20"/>
              </w:rPr>
              <w:t xml:space="preserve">Token / session revocation</w:t>
            </w:r>
          </w:p>
        </w:tc>
        <w:tc>
          <w:tcPr>
            <w:tcW w:type="pct" w:w="18%"/>
            <w:tcMar>
              <w:top w:type="dxa" w:w="80"/>
              <w:left w:type="dxa" w:w="120"/>
              <w:bottom w:type="dxa" w:w="80"/>
              <w:right w:type="dxa" w:w="120"/>
            </w:tcMar>
          </w:tcPr>
          <w:p>
            <w:r>
              <w:rPr>
                <w:color w:val="166534"/>
                <w:sz w:val="20"/>
                <w:szCs w:val="20"/>
              </w:rPr>
              <w:t xml:space="preserve">Already implemented</w:t>
            </w:r>
          </w:p>
        </w:tc>
        <w:tc>
          <w:tcPr>
            <w:tcW w:type="pct" w:w="32%"/>
            <w:tcMar>
              <w:top w:type="dxa" w:w="80"/>
              <w:left w:type="dxa" w:w="120"/>
              <w:bottom w:type="dxa" w:w="80"/>
              <w:right w:type="dxa" w:w="120"/>
            </w:tcMar>
          </w:tcPr>
          <w:p>
            <w:r>
              <w:rPr>
                <w:color w:val="6B7280"/>
                <w:sz w:val="20"/>
                <w:szCs w:val="20"/>
              </w:rPr>
              <w:t xml:space="preserve">services/sessionService.js — logout, password change, deactivation, reuse</w:t>
            </w:r>
          </w:p>
        </w:tc>
      </w:tr>
    </w:tbl>
    <w:p>
      <w:pPr>
        <w:spacing w:after="80" w:before="160"/>
      </w:pPr>
      <w:r>
        <w:rPr>
          <w:b/>
          <w:bCs/>
          <w:color w:val="111827"/>
          <w:sz w:val="22"/>
          <w:szCs w:val="22"/>
        </w:rPr>
        <w:t xml:space="preserve">Notes worth being upfront about:</w:t>
      </w:r>
    </w:p>
    <w:p>
      <w:pPr>
        <w:pStyle w:val="ListParagraph"/>
        <w:numPr>
          <w:ilvl w:val="0"/>
          <w:numId w:val="1"/>
        </w:numPr>
        <w:spacing w:after="60" w:before="0"/>
      </w:pPr>
      <w:r>
        <w:rPr>
          <w:color w:val="111827"/>
          <w:sz w:val="22"/>
          <w:szCs w:val="22"/>
        </w:rPr>
        <w:t xml:space="preserve">Rate limiting covers auth and every AI/write endpoint that costs money or risk, not literal every CRUD route — that is a scope choice, not an oversight, since ordinary CRUD is already gated behind a session.</w:t>
      </w:r>
    </w:p>
    <w:p>
      <w:pPr>
        <w:pStyle w:val="ListParagraph"/>
        <w:numPr>
          <w:ilvl w:val="0"/>
          <w:numId w:val="1"/>
        </w:numPr>
        <w:spacing w:after="60" w:before="0"/>
      </w:pPr>
      <w:r>
        <w:rPr>
          <w:color w:val="111827"/>
          <w:sz w:val="22"/>
          <w:szCs w:val="22"/>
        </w:rPr>
        <w:t xml:space="preserve">Authentication events (login, failed login, logout) were not on the AuditLog before this pass — they lived only in the plain text log. This is now closed; see Section 3.</w:t>
      </w:r>
    </w:p>
    <w:p>
      <w:pPr>
        <w:pStyle w:val="Heading2"/>
        <w:spacing w:after="140" w:before="280"/>
      </w:pPr>
      <w:r>
        <w:rPr>
          <w:b/>
          <w:bCs/>
          <w:color w:val="2563EB"/>
        </w:rPr>
        <w:t xml:space="preserve">Priority 2 — Inventory concurrency</w:t>
      </w:r>
    </w:p>
    <w:tbl>
      <w:tblPr>
        <w:tblW w:type="pct" w:w="100%"/>
        <w:tblBorders>
          <w:top w:val="single" w:color="D1D5DB" w:sz="4"/>
          <w:left w:val="single" w:color="D1D5DB" w:sz="4"/>
          <w:bottom w:val="single" w:color="D1D5DB" w:sz="4"/>
          <w:right w:val="single" w:color="D1D5DB" w:sz="4"/>
          <w:insideH w:val="single" w:color="D1D5DB" w:sz="2"/>
          <w:insideV w:val="single" w:color="D1D5DB" w:sz="2"/>
        </w:tblBorders>
      </w:tblPr>
      <w:tblGrid>
        <w:gridCol w:w="100"/>
        <w:gridCol w:w="100"/>
        <w:gridCol w:w="100"/>
        <w:gridCol w:w="100"/>
      </w:tblGrid>
      <w:tr>
        <w:trPr>
          <w:tblHeader/>
        </w:trPr>
        <w:tc>
          <w:tcPr>
            <w:tcW w:type="pct" w:w="8%"/>
            <w:shd w:fill="EEF2FF" w:val="clear"/>
            <w:tcMar>
              <w:top w:type="dxa" w:w="80"/>
              <w:left w:type="dxa" w:w="120"/>
              <w:bottom w:type="dxa" w:w="80"/>
              <w:right w:type="dxa" w:w="120"/>
            </w:tcMar>
          </w:tcPr>
          <w:p>
            <w:r>
              <w:rPr>
                <w:b/>
                <w:bCs/>
                <w:sz w:val="20"/>
                <w:szCs w:val="20"/>
              </w:rPr>
              <w:t xml:space="preserve">#</w:t>
            </w:r>
          </w:p>
        </w:tc>
        <w:tc>
          <w:tcPr>
            <w:tcW w:type="pct" w:w="42%"/>
            <w:shd w:fill="EEF2FF" w:val="clear"/>
            <w:tcMar>
              <w:top w:type="dxa" w:w="80"/>
              <w:left w:type="dxa" w:w="120"/>
              <w:bottom w:type="dxa" w:w="80"/>
              <w:right w:type="dxa" w:w="120"/>
            </w:tcMar>
          </w:tcPr>
          <w:p>
            <w:r>
              <w:rPr>
                <w:b/>
                <w:bCs/>
                <w:sz w:val="20"/>
                <w:szCs w:val="20"/>
              </w:rPr>
              <w:t xml:space="preserve">Item</w:t>
            </w:r>
          </w:p>
        </w:tc>
        <w:tc>
          <w:tcPr>
            <w:tcW w:type="pct" w:w="18%"/>
            <w:shd w:fill="EEF2FF" w:val="clear"/>
            <w:tcMar>
              <w:top w:type="dxa" w:w="80"/>
              <w:left w:type="dxa" w:w="120"/>
              <w:bottom w:type="dxa" w:w="80"/>
              <w:right w:type="dxa" w:w="120"/>
            </w:tcMar>
          </w:tcPr>
          <w:p>
            <w:r>
              <w:rPr>
                <w:b/>
                <w:bCs/>
                <w:sz w:val="20"/>
                <w:szCs w:val="20"/>
              </w:rPr>
              <w:t xml:space="preserve">Status</w:t>
            </w:r>
          </w:p>
        </w:tc>
        <w:tc>
          <w:tcPr>
            <w:tcW w:type="pct" w:w="32%"/>
            <w:shd w:fill="EEF2FF" w:val="clear"/>
            <w:tcMar>
              <w:top w:type="dxa" w:w="80"/>
              <w:left w:type="dxa" w:w="120"/>
              <w:bottom w:type="dxa" w:w="80"/>
              <w:right w:type="dxa" w:w="120"/>
            </w:tcMar>
          </w:tcPr>
          <w:p>
            <w:r>
              <w:rPr>
                <w:b/>
                <w:bCs/>
                <w:sz w:val="20"/>
                <w:szCs w:val="20"/>
              </w:rPr>
              <w:t xml:space="preserve">Where</w:t>
            </w:r>
          </w:p>
        </w:tc>
      </w:tr>
      <w:tr>
        <w:tc>
          <w:tcPr>
            <w:tcW w:type="pct" w:w="8%"/>
            <w:tcMar>
              <w:top w:type="dxa" w:w="80"/>
              <w:left w:type="dxa" w:w="120"/>
              <w:bottom w:type="dxa" w:w="80"/>
              <w:right w:type="dxa" w:w="120"/>
            </w:tcMar>
          </w:tcPr>
          <w:p>
            <w:r>
              <w:rPr>
                <w:sz w:val="20"/>
                <w:szCs w:val="20"/>
              </w:rPr>
              <w:t xml:space="preserve">10</w:t>
            </w:r>
          </w:p>
        </w:tc>
        <w:tc>
          <w:tcPr>
            <w:tcW w:type="pct" w:w="42%"/>
            <w:tcMar>
              <w:top w:type="dxa" w:w="80"/>
              <w:left w:type="dxa" w:w="120"/>
              <w:bottom w:type="dxa" w:w="80"/>
              <w:right w:type="dxa" w:w="120"/>
            </w:tcMar>
          </w:tcPr>
          <w:p>
            <w:r>
              <w:rPr>
                <w:sz w:val="20"/>
                <w:szCs w:val="20"/>
              </w:rPr>
              <w:t xml:space="preserve">MongoDB transactions for order/stock writes</w:t>
            </w:r>
          </w:p>
        </w:tc>
        <w:tc>
          <w:tcPr>
            <w:tcW w:type="pct" w:w="18%"/>
            <w:tcMar>
              <w:top w:type="dxa" w:w="80"/>
              <w:left w:type="dxa" w:w="120"/>
              <w:bottom w:type="dxa" w:w="80"/>
              <w:right w:type="dxa" w:w="120"/>
            </w:tcMar>
          </w:tcPr>
          <w:p>
            <w:r>
              <w:rPr>
                <w:color w:val="166534"/>
                <w:sz w:val="20"/>
                <w:szCs w:val="20"/>
              </w:rPr>
              <w:t xml:space="preserve">Already implemented</w:t>
            </w:r>
          </w:p>
        </w:tc>
        <w:tc>
          <w:tcPr>
            <w:tcW w:type="pct" w:w="32%"/>
            <w:tcMar>
              <w:top w:type="dxa" w:w="80"/>
              <w:left w:type="dxa" w:w="120"/>
              <w:bottom w:type="dxa" w:w="80"/>
              <w:right w:type="dxa" w:w="120"/>
            </w:tcMar>
          </w:tcPr>
          <w:p>
            <w:r>
              <w:rPr>
                <w:color w:val="6B7280"/>
                <w:sz w:val="20"/>
                <w:szCs w:val="20"/>
              </w:rPr>
              <w:t xml:space="preserve">utils/transaction.js, orderController.js, shopCheckoutController.js</w:t>
            </w:r>
          </w:p>
        </w:tc>
      </w:tr>
      <w:tr>
        <w:tc>
          <w:tcPr>
            <w:tcW w:type="pct" w:w="8%"/>
            <w:tcMar>
              <w:top w:type="dxa" w:w="80"/>
              <w:left w:type="dxa" w:w="120"/>
              <w:bottom w:type="dxa" w:w="80"/>
              <w:right w:type="dxa" w:w="120"/>
            </w:tcMar>
          </w:tcPr>
          <w:p>
            <w:r>
              <w:rPr>
                <w:sz w:val="20"/>
                <w:szCs w:val="20"/>
              </w:rPr>
              <w:t xml:space="preserve">11</w:t>
            </w:r>
          </w:p>
        </w:tc>
        <w:tc>
          <w:tcPr>
            <w:tcW w:type="pct" w:w="42%"/>
            <w:tcMar>
              <w:top w:type="dxa" w:w="80"/>
              <w:left w:type="dxa" w:w="120"/>
              <w:bottom w:type="dxa" w:w="80"/>
              <w:right w:type="dxa" w:w="120"/>
            </w:tcMar>
          </w:tcPr>
          <w:p>
            <w:r>
              <w:rPr>
                <w:sz w:val="20"/>
                <w:szCs w:val="20"/>
              </w:rPr>
              <w:t xml:space="preserve">Atomic, conditional stock decrement (no overselling)</w:t>
            </w:r>
          </w:p>
        </w:tc>
        <w:tc>
          <w:tcPr>
            <w:tcW w:type="pct" w:w="18%"/>
            <w:tcMar>
              <w:top w:type="dxa" w:w="80"/>
              <w:left w:type="dxa" w:w="120"/>
              <w:bottom w:type="dxa" w:w="80"/>
              <w:right w:type="dxa" w:w="120"/>
            </w:tcMar>
          </w:tcPr>
          <w:p>
            <w:r>
              <w:rPr>
                <w:color w:val="166534"/>
                <w:sz w:val="20"/>
                <w:szCs w:val="20"/>
              </w:rPr>
              <w:t xml:space="preserve">Already implemented</w:t>
            </w:r>
          </w:p>
        </w:tc>
        <w:tc>
          <w:tcPr>
            <w:tcW w:type="pct" w:w="32%"/>
            <w:tcMar>
              <w:top w:type="dxa" w:w="80"/>
              <w:left w:type="dxa" w:w="120"/>
              <w:bottom w:type="dxa" w:w="80"/>
              <w:right w:type="dxa" w:w="120"/>
            </w:tcMar>
          </w:tcPr>
          <w:p>
            <w:r>
              <w:rPr>
                <w:color w:val="6B7280"/>
                <w:sz w:val="20"/>
                <w:szCs w:val="20"/>
              </w:rPr>
              <w:t xml:space="preserve">orderController.js decrementStock() — $gte guard + $elemMatch for variants</w:t>
            </w:r>
          </w:p>
        </w:tc>
      </w:tr>
      <w:tr>
        <w:tc>
          <w:tcPr>
            <w:tcW w:type="pct" w:w="8%"/>
            <w:tcMar>
              <w:top w:type="dxa" w:w="80"/>
              <w:left w:type="dxa" w:w="120"/>
              <w:bottom w:type="dxa" w:w="80"/>
              <w:right w:type="dxa" w:w="120"/>
            </w:tcMar>
          </w:tcPr>
          <w:p>
            <w:r>
              <w:rPr>
                <w:sz w:val="20"/>
                <w:szCs w:val="20"/>
              </w:rPr>
              <w:t xml:space="preserve">12</w:t>
            </w:r>
          </w:p>
        </w:tc>
        <w:tc>
          <w:tcPr>
            <w:tcW w:type="pct" w:w="42%"/>
            <w:tcMar>
              <w:top w:type="dxa" w:w="80"/>
              <w:left w:type="dxa" w:w="120"/>
              <w:bottom w:type="dxa" w:w="80"/>
              <w:right w:type="dxa" w:w="120"/>
            </w:tcMar>
          </w:tcPr>
          <w:p>
            <w:r>
              <w:rPr>
                <w:sz w:val="20"/>
                <w:szCs w:val="20"/>
              </w:rPr>
              <w:t xml:space="preserve">Idempotency keys for order creation</w:t>
            </w:r>
          </w:p>
        </w:tc>
        <w:tc>
          <w:tcPr>
            <w:tcW w:type="pct" w:w="18%"/>
            <w:tcMar>
              <w:top w:type="dxa" w:w="80"/>
              <w:left w:type="dxa" w:w="120"/>
              <w:bottom w:type="dxa" w:w="80"/>
              <w:right w:type="dxa" w:w="120"/>
            </w:tcMar>
          </w:tcPr>
          <w:p>
            <w:r>
              <w:rPr>
                <w:color w:val="166534"/>
                <w:sz w:val="20"/>
                <w:szCs w:val="20"/>
              </w:rPr>
              <w:t xml:space="preserve">Already implemented</w:t>
            </w:r>
          </w:p>
        </w:tc>
        <w:tc>
          <w:tcPr>
            <w:tcW w:type="pct" w:w="32%"/>
            <w:tcMar>
              <w:top w:type="dxa" w:w="80"/>
              <w:left w:type="dxa" w:w="120"/>
              <w:bottom w:type="dxa" w:w="80"/>
              <w:right w:type="dxa" w:w="120"/>
            </w:tcMar>
          </w:tcPr>
          <w:p>
            <w:r>
              <w:rPr>
                <w:color w:val="6B7280"/>
                <w:sz w:val="20"/>
                <w:szCs w:val="20"/>
              </w:rPr>
              <w:t xml:space="preserve">middleware/idempotency.js, models/IdempotencyKey.js</w:t>
            </w:r>
          </w:p>
        </w:tc>
      </w:tr>
    </w:tbl>
    <w:p>
      <w:pPr>
        <w:spacing w:after="120" w:before="0"/>
      </w:pPr>
      <w:r>
        <w:rPr>
          <w:i/>
          <w:iCs/>
          <w:color w:val="111827"/>
          <w:sz w:val="22"/>
          <w:szCs w:val="22"/>
        </w:rPr>
        <w:t xml:space="preserve">The variant case is worth a sentence: stock is decremented with a filter like { _id, variants: { $elemMatch: { _id: variantId, stockQty: { $gte: qty } } } }, not a dotted-path condition — a dotted path checks a colour’s stock against a document-level filter and starts overselling the moment a product has two colours. This exact bug is easy to write and easy to miss in review.</w:t>
      </w:r>
    </w:p>
    <w:p>
      <w:pPr>
        <w:pStyle w:val="Heading2"/>
        <w:spacing w:after="140" w:before="280"/>
      </w:pPr>
      <w:r>
        <w:rPr>
          <w:b/>
          <w:bCs/>
          <w:color w:val="2563EB"/>
        </w:rPr>
        <w:t xml:space="preserve">Priority 3 — Making the AI feature business-oriented</w:t>
      </w:r>
    </w:p>
    <w:tbl>
      <w:tblPr>
        <w:tblW w:type="pct" w:w="100%"/>
        <w:tblBorders>
          <w:top w:val="single" w:color="D1D5DB" w:sz="4"/>
          <w:left w:val="single" w:color="D1D5DB" w:sz="4"/>
          <w:bottom w:val="single" w:color="D1D5DB" w:sz="4"/>
          <w:right w:val="single" w:color="D1D5DB" w:sz="4"/>
          <w:insideH w:val="single" w:color="D1D5DB" w:sz="2"/>
          <w:insideV w:val="single" w:color="D1D5DB" w:sz="2"/>
        </w:tblBorders>
      </w:tblPr>
      <w:tblGrid>
        <w:gridCol w:w="100"/>
        <w:gridCol w:w="100"/>
        <w:gridCol w:w="100"/>
        <w:gridCol w:w="100"/>
      </w:tblGrid>
      <w:tr>
        <w:trPr>
          <w:tblHeader/>
        </w:trPr>
        <w:tc>
          <w:tcPr>
            <w:tcW w:type="pct" w:w="8%"/>
            <w:shd w:fill="EEF2FF" w:val="clear"/>
            <w:tcMar>
              <w:top w:type="dxa" w:w="80"/>
              <w:left w:type="dxa" w:w="120"/>
              <w:bottom w:type="dxa" w:w="80"/>
              <w:right w:type="dxa" w:w="120"/>
            </w:tcMar>
          </w:tcPr>
          <w:p>
            <w:r>
              <w:rPr>
                <w:b/>
                <w:bCs/>
                <w:sz w:val="20"/>
                <w:szCs w:val="20"/>
              </w:rPr>
              <w:t xml:space="preserve">#</w:t>
            </w:r>
          </w:p>
        </w:tc>
        <w:tc>
          <w:tcPr>
            <w:tcW w:type="pct" w:w="42%"/>
            <w:shd w:fill="EEF2FF" w:val="clear"/>
            <w:tcMar>
              <w:top w:type="dxa" w:w="80"/>
              <w:left w:type="dxa" w:w="120"/>
              <w:bottom w:type="dxa" w:w="80"/>
              <w:right w:type="dxa" w:w="120"/>
            </w:tcMar>
          </w:tcPr>
          <w:p>
            <w:r>
              <w:rPr>
                <w:b/>
                <w:bCs/>
                <w:sz w:val="20"/>
                <w:szCs w:val="20"/>
              </w:rPr>
              <w:t xml:space="preserve">Item</w:t>
            </w:r>
          </w:p>
        </w:tc>
        <w:tc>
          <w:tcPr>
            <w:tcW w:type="pct" w:w="18%"/>
            <w:shd w:fill="EEF2FF" w:val="clear"/>
            <w:tcMar>
              <w:top w:type="dxa" w:w="80"/>
              <w:left w:type="dxa" w:w="120"/>
              <w:bottom w:type="dxa" w:w="80"/>
              <w:right w:type="dxa" w:w="120"/>
            </w:tcMar>
          </w:tcPr>
          <w:p>
            <w:r>
              <w:rPr>
                <w:b/>
                <w:bCs/>
                <w:sz w:val="20"/>
                <w:szCs w:val="20"/>
              </w:rPr>
              <w:t xml:space="preserve">Status</w:t>
            </w:r>
          </w:p>
        </w:tc>
        <w:tc>
          <w:tcPr>
            <w:tcW w:type="pct" w:w="32%"/>
            <w:shd w:fill="EEF2FF" w:val="clear"/>
            <w:tcMar>
              <w:top w:type="dxa" w:w="80"/>
              <w:left w:type="dxa" w:w="120"/>
              <w:bottom w:type="dxa" w:w="80"/>
              <w:right w:type="dxa" w:w="120"/>
            </w:tcMar>
          </w:tcPr>
          <w:p>
            <w:r>
              <w:rPr>
                <w:b/>
                <w:bCs/>
                <w:sz w:val="20"/>
                <w:szCs w:val="20"/>
              </w:rPr>
              <w:t xml:space="preserve">Where</w:t>
            </w:r>
          </w:p>
        </w:tc>
      </w:tr>
      <w:tr>
        <w:tc>
          <w:tcPr>
            <w:tcW w:type="pct" w:w="8%"/>
            <w:tcMar>
              <w:top w:type="dxa" w:w="80"/>
              <w:left w:type="dxa" w:w="120"/>
              <w:bottom w:type="dxa" w:w="80"/>
              <w:right w:type="dxa" w:w="120"/>
            </w:tcMar>
          </w:tcPr>
          <w:p>
            <w:r>
              <w:rPr>
                <w:sz w:val="20"/>
                <w:szCs w:val="20"/>
              </w:rPr>
              <w:t xml:space="preserve">13</w:t>
            </w:r>
          </w:p>
        </w:tc>
        <w:tc>
          <w:tcPr>
            <w:tcW w:type="pct" w:w="42%"/>
            <w:tcMar>
              <w:top w:type="dxa" w:w="80"/>
              <w:left w:type="dxa" w:w="120"/>
              <w:bottom w:type="dxa" w:w="80"/>
              <w:right w:type="dxa" w:w="120"/>
            </w:tcMar>
          </w:tcPr>
          <w:p>
            <w:r>
              <w:rPr>
                <w:sz w:val="20"/>
                <w:szCs w:val="20"/>
              </w:rPr>
              <w:t xml:space="preserve">AI customer summary (relationship narrative + recommended action)</w:t>
            </w:r>
          </w:p>
        </w:tc>
        <w:tc>
          <w:tcPr>
            <w:tcW w:type="pct" w:w="18%"/>
            <w:tcMar>
              <w:top w:type="dxa" w:w="80"/>
              <w:left w:type="dxa" w:w="120"/>
              <w:bottom w:type="dxa" w:w="80"/>
              <w:right w:type="dxa" w:w="120"/>
            </w:tcMar>
          </w:tcPr>
          <w:p>
            <w:r>
              <w:rPr>
                <w:color w:val="166534"/>
                <w:sz w:val="20"/>
                <w:szCs w:val="20"/>
              </w:rPr>
              <w:t xml:space="preserve">Already implemented</w:t>
            </w:r>
          </w:p>
        </w:tc>
        <w:tc>
          <w:tcPr>
            <w:tcW w:type="pct" w:w="32%"/>
            <w:tcMar>
              <w:top w:type="dxa" w:w="80"/>
              <w:left w:type="dxa" w:w="120"/>
              <w:bottom w:type="dxa" w:w="80"/>
              <w:right w:type="dxa" w:w="120"/>
            </w:tcMar>
          </w:tcPr>
          <w:p>
            <w:r>
              <w:rPr>
                <w:color w:val="6B7280"/>
                <w:sz w:val="20"/>
                <w:szCs w:val="20"/>
              </w:rPr>
              <w:t xml:space="preserve">services/customerSummaryService.js</w:t>
            </w:r>
          </w:p>
        </w:tc>
      </w:tr>
      <w:tr>
        <w:tc>
          <w:tcPr>
            <w:tcW w:type="pct" w:w="8%"/>
            <w:tcMar>
              <w:top w:type="dxa" w:w="80"/>
              <w:left w:type="dxa" w:w="120"/>
              <w:bottom w:type="dxa" w:w="80"/>
              <w:right w:type="dxa" w:w="120"/>
            </w:tcMar>
          </w:tcPr>
          <w:p>
            <w:r>
              <w:rPr>
                <w:sz w:val="20"/>
                <w:szCs w:val="20"/>
              </w:rPr>
              <w:t xml:space="preserve">14</w:t>
            </w:r>
          </w:p>
        </w:tc>
        <w:tc>
          <w:tcPr>
            <w:tcW w:type="pct" w:w="42%"/>
            <w:tcMar>
              <w:top w:type="dxa" w:w="80"/>
              <w:left w:type="dxa" w:w="120"/>
              <w:bottom w:type="dxa" w:w="80"/>
              <w:right w:type="dxa" w:w="120"/>
            </w:tcMar>
          </w:tcPr>
          <w:p>
            <w:r>
              <w:rPr>
                <w:sz w:val="20"/>
                <w:szCs w:val="20"/>
              </w:rPr>
              <w:t xml:space="preserve">Churn-risk detection and customer health scoring</w:t>
            </w:r>
          </w:p>
        </w:tc>
        <w:tc>
          <w:tcPr>
            <w:tcW w:type="pct" w:w="18%"/>
            <w:tcMar>
              <w:top w:type="dxa" w:w="80"/>
              <w:left w:type="dxa" w:w="120"/>
              <w:bottom w:type="dxa" w:w="80"/>
              <w:right w:type="dxa" w:w="120"/>
            </w:tcMar>
          </w:tcPr>
          <w:p>
            <w:r>
              <w:rPr>
                <w:color w:val="166534"/>
                <w:sz w:val="20"/>
                <w:szCs w:val="20"/>
              </w:rPr>
              <w:t xml:space="preserve">Already implemented</w:t>
            </w:r>
          </w:p>
        </w:tc>
        <w:tc>
          <w:tcPr>
            <w:tcW w:type="pct" w:w="32%"/>
            <w:tcMar>
              <w:top w:type="dxa" w:w="80"/>
              <w:left w:type="dxa" w:w="120"/>
              <w:bottom w:type="dxa" w:w="80"/>
              <w:right w:type="dxa" w:w="120"/>
            </w:tcMar>
          </w:tcPr>
          <w:p>
            <w:r>
              <w:rPr>
                <w:color w:val="6B7280"/>
                <w:sz w:val="20"/>
                <w:szCs w:val="20"/>
              </w:rPr>
              <w:t xml:space="preserve">services/churnRisk.js, services/leadScore.js — two distinct, both arithmetic</w:t>
            </w:r>
          </w:p>
        </w:tc>
      </w:tr>
      <w:tr>
        <w:tc>
          <w:tcPr>
            <w:tcW w:type="pct" w:w="8%"/>
            <w:tcMar>
              <w:top w:type="dxa" w:w="80"/>
              <w:left w:type="dxa" w:w="120"/>
              <w:bottom w:type="dxa" w:w="80"/>
              <w:right w:type="dxa" w:w="120"/>
            </w:tcMar>
          </w:tcPr>
          <w:p>
            <w:r>
              <w:rPr>
                <w:sz w:val="20"/>
                <w:szCs w:val="20"/>
              </w:rPr>
              <w:t xml:space="preserve">15</w:t>
            </w:r>
          </w:p>
        </w:tc>
        <w:tc>
          <w:tcPr>
            <w:tcW w:type="pct" w:w="42%"/>
            <w:tcMar>
              <w:top w:type="dxa" w:w="80"/>
              <w:left w:type="dxa" w:w="120"/>
              <w:bottom w:type="dxa" w:w="80"/>
              <w:right w:type="dxa" w:w="120"/>
            </w:tcMar>
          </w:tcPr>
          <w:p>
            <w:r>
              <w:rPr>
                <w:sz w:val="20"/>
                <w:szCs w:val="20"/>
              </w:rPr>
              <w:t xml:space="preserve">Lead scoring, next-best-action, sales performance summaries</w:t>
            </w:r>
          </w:p>
        </w:tc>
        <w:tc>
          <w:tcPr>
            <w:tcW w:type="pct" w:w="18%"/>
            <w:tcMar>
              <w:top w:type="dxa" w:w="80"/>
              <w:left w:type="dxa" w:w="120"/>
              <w:bottom w:type="dxa" w:w="80"/>
              <w:right w:type="dxa" w:w="120"/>
            </w:tcMar>
          </w:tcPr>
          <w:p>
            <w:r>
              <w:rPr>
                <w:color w:val="166534"/>
                <w:sz w:val="20"/>
                <w:szCs w:val="20"/>
              </w:rPr>
              <w:t xml:space="preserve">Already implemented</w:t>
            </w:r>
          </w:p>
        </w:tc>
        <w:tc>
          <w:tcPr>
            <w:tcW w:type="pct" w:w="32%"/>
            <w:tcMar>
              <w:top w:type="dxa" w:w="80"/>
              <w:left w:type="dxa" w:w="120"/>
              <w:bottom w:type="dxa" w:w="80"/>
              <w:right w:type="dxa" w:w="120"/>
            </w:tcMar>
          </w:tcPr>
          <w:p>
            <w:r>
              <w:rPr>
                <w:color w:val="6B7280"/>
                <w:sz w:val="20"/>
                <w:szCs w:val="20"/>
              </w:rPr>
              <w:t xml:space="preserve">leadScore.js, reorderSuggestionService.js, teamDigestService.js</w:t>
            </w:r>
          </w:p>
        </w:tc>
      </w:tr>
      <w:tr>
        <w:tc>
          <w:tcPr>
            <w:tcW w:type="pct" w:w="8%"/>
            <w:tcMar>
              <w:top w:type="dxa" w:w="80"/>
              <w:left w:type="dxa" w:w="120"/>
              <w:bottom w:type="dxa" w:w="80"/>
              <w:right w:type="dxa" w:w="120"/>
            </w:tcMar>
          </w:tcPr>
          <w:p>
            <w:r>
              <w:rPr>
                <w:sz w:val="20"/>
                <w:szCs w:val="20"/>
              </w:rPr>
              <w:t xml:space="preserve">16</w:t>
            </w:r>
          </w:p>
        </w:tc>
        <w:tc>
          <w:tcPr>
            <w:tcW w:type="pct" w:w="42%"/>
            <w:tcMar>
              <w:top w:type="dxa" w:w="80"/>
              <w:left w:type="dxa" w:w="120"/>
              <w:bottom w:type="dxa" w:w="80"/>
              <w:right w:type="dxa" w:w="120"/>
            </w:tcMar>
          </w:tcPr>
          <w:p>
            <w:r>
              <w:rPr>
                <w:sz w:val="20"/>
                <w:szCs w:val="20"/>
              </w:rPr>
              <w:t xml:space="preserve">AI-drafted follow-up / outreach messages</w:t>
            </w:r>
          </w:p>
        </w:tc>
        <w:tc>
          <w:tcPr>
            <w:tcW w:type="pct" w:w="18%"/>
            <w:tcMar>
              <w:top w:type="dxa" w:w="80"/>
              <w:left w:type="dxa" w:w="120"/>
              <w:bottom w:type="dxa" w:w="80"/>
              <w:right w:type="dxa" w:w="120"/>
            </w:tcMar>
          </w:tcPr>
          <w:p>
            <w:r>
              <w:rPr>
                <w:color w:val="166534"/>
                <w:sz w:val="20"/>
                <w:szCs w:val="20"/>
              </w:rPr>
              <w:t xml:space="preserve">Already implemented</w:t>
            </w:r>
          </w:p>
        </w:tc>
        <w:tc>
          <w:tcPr>
            <w:tcW w:type="pct" w:w="32%"/>
            <w:tcMar>
              <w:top w:type="dxa" w:w="80"/>
              <w:left w:type="dxa" w:w="120"/>
              <w:bottom w:type="dxa" w:w="80"/>
              <w:right w:type="dxa" w:w="120"/>
            </w:tcMar>
          </w:tcPr>
          <w:p>
            <w:r>
              <w:rPr>
                <w:color w:val="6B7280"/>
                <w:sz w:val="20"/>
                <w:szCs w:val="20"/>
              </w:rPr>
              <w:t xml:space="preserve">services/messageDraftService.js — 3 tones, never auto-sends</w:t>
            </w:r>
          </w:p>
        </w:tc>
      </w:tr>
    </w:tbl>
    <w:p>
      <w:pPr>
        <w:spacing w:after="120" w:before="0"/>
      </w:pPr>
      <w:r>
        <w:rPr>
          <w:color w:val="111827"/>
          <w:sz w:val="22"/>
          <w:szCs w:val="22"/>
        </w:rPr>
        <w:t xml:space="preserve">The architectural discipline behind all four: every NUMBER shown to a user is computed in ordinary code first (churn cadence, RFM score, revenue, order counts). The AI model is only ever asked to write the sentence around numbers it is handed — its response schema has no numeric fields at all, so a hallucinated figure has nowhere to land. Every AI feature also reports mode: "ai" or "fallback" so a missing or failing API key degrades visibly instead of silently.</w:t>
      </w:r>
    </w:p>
    <w:p>
      <w:pPr>
        <w:pStyle w:val="Heading2"/>
        <w:spacing w:after="140" w:before="280"/>
      </w:pPr>
      <w:r>
        <w:rPr>
          <w:b/>
          <w:bCs/>
          <w:color w:val="2563EB"/>
        </w:rPr>
        <w:t xml:space="preserve">Priority 4 — Search architecture and scalability</w:t>
      </w:r>
    </w:p>
    <w:tbl>
      <w:tblPr>
        <w:tblW w:type="pct" w:w="100%"/>
        <w:tblBorders>
          <w:top w:val="single" w:color="D1D5DB" w:sz="4"/>
          <w:left w:val="single" w:color="D1D5DB" w:sz="4"/>
          <w:bottom w:val="single" w:color="D1D5DB" w:sz="4"/>
          <w:right w:val="single" w:color="D1D5DB" w:sz="4"/>
          <w:insideH w:val="single" w:color="D1D5DB" w:sz="2"/>
          <w:insideV w:val="single" w:color="D1D5DB" w:sz="2"/>
        </w:tblBorders>
      </w:tblPr>
      <w:tblGrid>
        <w:gridCol w:w="100"/>
        <w:gridCol w:w="100"/>
        <w:gridCol w:w="100"/>
        <w:gridCol w:w="100"/>
      </w:tblGrid>
      <w:tr>
        <w:trPr>
          <w:tblHeader/>
        </w:trPr>
        <w:tc>
          <w:tcPr>
            <w:tcW w:type="pct" w:w="8%"/>
            <w:shd w:fill="EEF2FF" w:val="clear"/>
            <w:tcMar>
              <w:top w:type="dxa" w:w="80"/>
              <w:left w:type="dxa" w:w="120"/>
              <w:bottom w:type="dxa" w:w="80"/>
              <w:right w:type="dxa" w:w="120"/>
            </w:tcMar>
          </w:tcPr>
          <w:p>
            <w:r>
              <w:rPr>
                <w:b/>
                <w:bCs/>
                <w:sz w:val="20"/>
                <w:szCs w:val="20"/>
              </w:rPr>
              <w:t xml:space="preserve">#</w:t>
            </w:r>
          </w:p>
        </w:tc>
        <w:tc>
          <w:tcPr>
            <w:tcW w:type="pct" w:w="42%"/>
            <w:shd w:fill="EEF2FF" w:val="clear"/>
            <w:tcMar>
              <w:top w:type="dxa" w:w="80"/>
              <w:left w:type="dxa" w:w="120"/>
              <w:bottom w:type="dxa" w:w="80"/>
              <w:right w:type="dxa" w:w="120"/>
            </w:tcMar>
          </w:tcPr>
          <w:p>
            <w:r>
              <w:rPr>
                <w:b/>
                <w:bCs/>
                <w:sz w:val="20"/>
                <w:szCs w:val="20"/>
              </w:rPr>
              <w:t xml:space="preserve">Item</w:t>
            </w:r>
          </w:p>
        </w:tc>
        <w:tc>
          <w:tcPr>
            <w:tcW w:type="pct" w:w="18%"/>
            <w:shd w:fill="EEF2FF" w:val="clear"/>
            <w:tcMar>
              <w:top w:type="dxa" w:w="80"/>
              <w:left w:type="dxa" w:w="120"/>
              <w:bottom w:type="dxa" w:w="80"/>
              <w:right w:type="dxa" w:w="120"/>
            </w:tcMar>
          </w:tcPr>
          <w:p>
            <w:r>
              <w:rPr>
                <w:b/>
                <w:bCs/>
                <w:sz w:val="20"/>
                <w:szCs w:val="20"/>
              </w:rPr>
              <w:t xml:space="preserve">Status</w:t>
            </w:r>
          </w:p>
        </w:tc>
        <w:tc>
          <w:tcPr>
            <w:tcW w:type="pct" w:w="32%"/>
            <w:shd w:fill="EEF2FF" w:val="clear"/>
            <w:tcMar>
              <w:top w:type="dxa" w:w="80"/>
              <w:left w:type="dxa" w:w="120"/>
              <w:bottom w:type="dxa" w:w="80"/>
              <w:right w:type="dxa" w:w="120"/>
            </w:tcMar>
          </w:tcPr>
          <w:p>
            <w:r>
              <w:rPr>
                <w:b/>
                <w:bCs/>
                <w:sz w:val="20"/>
                <w:szCs w:val="20"/>
              </w:rPr>
              <w:t xml:space="preserve">Where</w:t>
            </w:r>
          </w:p>
        </w:tc>
      </w:tr>
      <w:tr>
        <w:tc>
          <w:tcPr>
            <w:tcW w:type="pct" w:w="8%"/>
            <w:tcMar>
              <w:top w:type="dxa" w:w="80"/>
              <w:left w:type="dxa" w:w="120"/>
              <w:bottom w:type="dxa" w:w="80"/>
              <w:right w:type="dxa" w:w="120"/>
            </w:tcMar>
          </w:tcPr>
          <w:p>
            <w:r>
              <w:rPr>
                <w:sz w:val="20"/>
                <w:szCs w:val="20"/>
              </w:rPr>
              <w:t xml:space="preserve">17</w:t>
            </w:r>
          </w:p>
        </w:tc>
        <w:tc>
          <w:tcPr>
            <w:tcW w:type="pct" w:w="42%"/>
            <w:tcMar>
              <w:top w:type="dxa" w:w="80"/>
              <w:left w:type="dxa" w:w="120"/>
              <w:bottom w:type="dxa" w:w="80"/>
              <w:right w:type="dxa" w:w="120"/>
            </w:tcMar>
          </w:tcPr>
          <w:p>
            <w:r>
              <w:rPr>
                <w:sz w:val="20"/>
                <w:szCs w:val="20"/>
              </w:rPr>
              <w:t xml:space="preserve">Server-side, debounced, searchable pickers (not fixed dropdown lists)</w:t>
            </w:r>
          </w:p>
        </w:tc>
        <w:tc>
          <w:tcPr>
            <w:tcW w:type="pct" w:w="18%"/>
            <w:tcMar>
              <w:top w:type="dxa" w:w="80"/>
              <w:left w:type="dxa" w:w="120"/>
              <w:bottom w:type="dxa" w:w="80"/>
              <w:right w:type="dxa" w:w="120"/>
            </w:tcMar>
          </w:tcPr>
          <w:p>
            <w:r>
              <w:rPr>
                <w:color w:val="166534"/>
                <w:sz w:val="20"/>
                <w:szCs w:val="20"/>
              </w:rPr>
              <w:t xml:space="preserve">Already implemented</w:t>
            </w:r>
          </w:p>
        </w:tc>
        <w:tc>
          <w:tcPr>
            <w:tcW w:type="pct" w:w="32%"/>
            <w:tcMar>
              <w:top w:type="dxa" w:w="80"/>
              <w:left w:type="dxa" w:w="120"/>
              <w:bottom w:type="dxa" w:w="80"/>
              <w:right w:type="dxa" w:w="120"/>
            </w:tcMar>
          </w:tcPr>
          <w:p>
            <w:r>
              <w:rPr>
                <w:color w:val="6B7280"/>
                <w:sz w:val="20"/>
                <w:szCs w:val="20"/>
              </w:rPr>
              <w:t xml:space="preserve">components/SearchSelect.jsx + /options endpoints, capped at 25 rows</w:t>
            </w:r>
          </w:p>
        </w:tc>
      </w:tr>
      <w:tr>
        <w:tc>
          <w:tcPr>
            <w:tcW w:type="pct" w:w="8%"/>
            <w:tcMar>
              <w:top w:type="dxa" w:w="80"/>
              <w:left w:type="dxa" w:w="120"/>
              <w:bottom w:type="dxa" w:w="80"/>
              <w:right w:type="dxa" w:w="120"/>
            </w:tcMar>
          </w:tcPr>
          <w:p>
            <w:r>
              <w:rPr>
                <w:sz w:val="20"/>
                <w:szCs w:val="20"/>
              </w:rPr>
              <w:t xml:space="preserve">18</w:t>
            </w:r>
          </w:p>
        </w:tc>
        <w:tc>
          <w:tcPr>
            <w:tcW w:type="pct" w:w="42%"/>
            <w:tcMar>
              <w:top w:type="dxa" w:w="80"/>
              <w:left w:type="dxa" w:w="120"/>
              <w:bottom w:type="dxa" w:w="80"/>
              <w:right w:type="dxa" w:w="120"/>
            </w:tcMar>
          </w:tcPr>
          <w:p>
            <w:r>
              <w:rPr>
                <w:sz w:val="20"/>
                <w:szCs w:val="20"/>
              </w:rPr>
              <w:t xml:space="preserve">Pagination</w:t>
            </w:r>
          </w:p>
        </w:tc>
        <w:tc>
          <w:tcPr>
            <w:tcW w:type="pct" w:w="18%"/>
            <w:tcMar>
              <w:top w:type="dxa" w:w="80"/>
              <w:left w:type="dxa" w:w="120"/>
              <w:bottom w:type="dxa" w:w="80"/>
              <w:right w:type="dxa" w:w="120"/>
            </w:tcMar>
          </w:tcPr>
          <w:p>
            <w:r>
              <w:rPr>
                <w:color w:val="166534"/>
                <w:sz w:val="20"/>
                <w:szCs w:val="20"/>
              </w:rPr>
              <w:t xml:space="preserve">Already implemented</w:t>
            </w:r>
          </w:p>
        </w:tc>
        <w:tc>
          <w:tcPr>
            <w:tcW w:type="pct" w:w="32%"/>
            <w:tcMar>
              <w:top w:type="dxa" w:w="80"/>
              <w:left w:type="dxa" w:w="120"/>
              <w:bottom w:type="dxa" w:w="80"/>
              <w:right w:type="dxa" w:w="120"/>
            </w:tcMar>
          </w:tcPr>
          <w:p>
            <w:r>
              <w:rPr>
                <w:color w:val="6B7280"/>
                <w:sz w:val="20"/>
                <w:szCs w:val="20"/>
              </w:rPr>
              <w:t xml:space="preserve">utils/queryHelpers.js — BOTH offset and cursor/keyset pagination</w:t>
            </w:r>
          </w:p>
        </w:tc>
      </w:tr>
      <w:tr>
        <w:tc>
          <w:tcPr>
            <w:tcW w:type="pct" w:w="8%"/>
            <w:tcMar>
              <w:top w:type="dxa" w:w="80"/>
              <w:left w:type="dxa" w:w="120"/>
              <w:bottom w:type="dxa" w:w="80"/>
              <w:right w:type="dxa" w:w="120"/>
            </w:tcMar>
          </w:tcPr>
          <w:p>
            <w:r>
              <w:rPr>
                <w:sz w:val="20"/>
                <w:szCs w:val="20"/>
              </w:rPr>
              <w:t xml:space="preserve">19</w:t>
            </w:r>
          </w:p>
        </w:tc>
        <w:tc>
          <w:tcPr>
            <w:tcW w:type="pct" w:w="42%"/>
            <w:tcMar>
              <w:top w:type="dxa" w:w="80"/>
              <w:left w:type="dxa" w:w="120"/>
              <w:bottom w:type="dxa" w:w="80"/>
              <w:right w:type="dxa" w:w="120"/>
            </w:tcMar>
          </w:tcPr>
          <w:p>
            <w:r>
              <w:rPr>
                <w:sz w:val="20"/>
                <w:szCs w:val="20"/>
              </w:rPr>
              <w:t xml:space="preserve">Database indexes on hot query paths</w:t>
            </w:r>
          </w:p>
        </w:tc>
        <w:tc>
          <w:tcPr>
            <w:tcW w:type="pct" w:w="18%"/>
            <w:tcMar>
              <w:top w:type="dxa" w:w="80"/>
              <w:left w:type="dxa" w:w="120"/>
              <w:bottom w:type="dxa" w:w="80"/>
              <w:right w:type="dxa" w:w="120"/>
            </w:tcMar>
          </w:tcPr>
          <w:p>
            <w:r>
              <w:rPr>
                <w:color w:val="166534"/>
                <w:sz w:val="20"/>
                <w:szCs w:val="20"/>
              </w:rPr>
              <w:t xml:space="preserve">Already implemented</w:t>
            </w:r>
          </w:p>
        </w:tc>
        <w:tc>
          <w:tcPr>
            <w:tcW w:type="pct" w:w="32%"/>
            <w:tcMar>
              <w:top w:type="dxa" w:w="80"/>
              <w:left w:type="dxa" w:w="120"/>
              <w:bottom w:type="dxa" w:w="80"/>
              <w:right w:type="dxa" w:w="120"/>
            </w:tcMar>
          </w:tcPr>
          <w:p>
            <w:r>
              <w:rPr>
                <w:color w:val="6B7280"/>
                <w:sz w:val="20"/>
                <w:szCs w:val="20"/>
              </w:rPr>
              <w:t xml:space="preserve">models/Customer.js, Order.js, Product.js — verified with explain() tests</w:t>
            </w:r>
          </w:p>
        </w:tc>
      </w:tr>
    </w:tbl>
    <w:p>
      <w:pPr>
        <w:pStyle w:val="ListParagraph"/>
        <w:numPr>
          <w:ilvl w:val="0"/>
          <w:numId w:val="1"/>
        </w:numPr>
        <w:spacing w:after="60" w:before="0"/>
      </w:pPr>
      <w:r>
        <w:rPr>
          <w:color w:val="111827"/>
          <w:sz w:val="22"/>
          <w:szCs w:val="22"/>
        </w:rPr>
        <w:t xml:space="preserve">Every sort-supporting index ends in _id in the matching direction, because an index on { createdAt: -1 } alone does NOT satisfy a sort of { createdAt: -1, _id: -1 } — MongoDB silently falls back to an in-memory sort otherwise. This was caught by an explain() test, not by inspection.</w:t>
      </w:r>
    </w:p>
    <w:p>
      <w:pPr>
        <w:pStyle w:val="ListParagraph"/>
        <w:numPr>
          <w:ilvl w:val="0"/>
          <w:numId w:val="1"/>
        </w:numPr>
        <w:spacing w:after="60" w:before="0"/>
      </w:pPr>
      <w:r>
        <w:rPr>
          <w:color w:val="111827"/>
          <w:sz w:val="22"/>
          <w:szCs w:val="22"/>
        </w:rPr>
        <w:t xml:space="preserve">Customer.email had a format validator but no index at all before this pass — closed in Section 3, as a non-unique index (two customers legitimately sharing an inbox is allowed by design, e.g. a shared company address).</w:t>
      </w:r>
    </w:p>
    <w:p>
      <w:pPr>
        <w:pStyle w:val="Heading2"/>
        <w:spacing w:after="140" w:before="280"/>
      </w:pPr>
      <w:r>
        <w:rPr>
          <w:b/>
          <w:bCs/>
          <w:color w:val="2563EB"/>
        </w:rPr>
        <w:t xml:space="preserve">Priority 5 — Audit logging</w:t>
      </w:r>
    </w:p>
    <w:p>
      <w:pPr>
        <w:spacing w:after="120" w:before="0"/>
      </w:pPr>
      <w:r>
        <w:rPr>
          <w:color w:val="111827"/>
          <w:sz w:val="22"/>
          <w:szCs w:val="22"/>
        </w:rPr>
        <w:t xml:space="preserve">Confirmed against the AuditLog schema: every field the brief asked for is present.</w:t>
      </w:r>
    </w:p>
    <w:p>
      <w:pPr>
        <w:pStyle w:val="ListParagraph"/>
        <w:numPr>
          <w:ilvl w:val="0"/>
          <w:numId w:val="1"/>
        </w:numPr>
        <w:spacing w:after="60" w:before="0"/>
      </w:pPr>
      <w:r>
        <w:rPr>
          <w:color w:val="111827"/>
          <w:sz w:val="22"/>
          <w:szCs w:val="22"/>
        </w:rPr>
        <w:t xml:space="preserve">User (with a denormalised name/email/role snapshot, so a later rename or deletion cannot rewrite history)</w:t>
      </w:r>
    </w:p>
    <w:p>
      <w:pPr>
        <w:pStyle w:val="ListParagraph"/>
        <w:numPr>
          <w:ilvl w:val="0"/>
          <w:numId w:val="1"/>
        </w:numPr>
        <w:spacing w:after="60" w:before="0"/>
      </w:pPr>
      <w:r>
        <w:rPr>
          <w:color w:val="111827"/>
          <w:sz w:val="22"/>
          <w:szCs w:val="22"/>
        </w:rPr>
        <w:t xml:space="preserve">Action (create / update / delete / export / import, and now login / login_failed / logout — see Section 3)</w:t>
      </w:r>
    </w:p>
    <w:p>
      <w:pPr>
        <w:pStyle w:val="ListParagraph"/>
        <w:numPr>
          <w:ilvl w:val="0"/>
          <w:numId w:val="1"/>
        </w:numPr>
        <w:spacing w:after="60" w:before="0"/>
      </w:pPr>
      <w:r>
        <w:rPr>
          <w:color w:val="111827"/>
          <w:sz w:val="22"/>
          <w:szCs w:val="22"/>
        </w:rPr>
        <w:t xml:space="preserve">Entity and entity id</w:t>
      </w:r>
    </w:p>
    <w:p>
      <w:pPr>
        <w:pStyle w:val="ListParagraph"/>
        <w:numPr>
          <w:ilvl w:val="0"/>
          <w:numId w:val="1"/>
        </w:numPr>
        <w:spacing w:after="60" w:before="0"/>
      </w:pPr>
      <w:r>
        <w:rPr>
          <w:color w:val="111827"/>
          <w:sz w:val="22"/>
          <w:szCs w:val="22"/>
        </w:rPr>
        <w:t xml:space="preserve">Before value and after value, plus a precomputed field-level diff</w:t>
      </w:r>
    </w:p>
    <w:p>
      <w:pPr>
        <w:pStyle w:val="ListParagraph"/>
        <w:numPr>
          <w:ilvl w:val="0"/>
          <w:numId w:val="1"/>
        </w:numPr>
        <w:spacing w:after="60" w:before="0"/>
      </w:pPr>
      <w:r>
        <w:rPr>
          <w:color w:val="111827"/>
          <w:sz w:val="22"/>
          <w:szCs w:val="22"/>
        </w:rPr>
        <w:t xml:space="preserve">Timestamp</w:t>
      </w:r>
    </w:p>
    <w:p>
      <w:pPr>
        <w:pStyle w:val="ListParagraph"/>
        <w:numPr>
          <w:ilvl w:val="0"/>
          <w:numId w:val="1"/>
        </w:numPr>
        <w:spacing w:after="60" w:before="0"/>
      </w:pPr>
      <w:r>
        <w:rPr>
          <w:color w:val="111827"/>
          <w:sz w:val="22"/>
          <w:szCs w:val="22"/>
        </w:rPr>
        <w:t xml:space="preserve">IP address, user agent, HTTP method and path</w:t>
      </w:r>
    </w:p>
    <w:p>
      <w:pPr>
        <w:pStyle w:val="Heading2"/>
        <w:spacing w:after="140" w:before="280"/>
      </w:pPr>
      <w:r>
        <w:rPr>
          <w:b/>
          <w:bCs/>
          <w:color w:val="2563EB"/>
        </w:rPr>
        <w:t xml:space="preserve">Priority 6 — User management</w:t>
      </w:r>
    </w:p>
    <w:tbl>
      <w:tblPr>
        <w:tblW w:type="pct" w:w="100%"/>
        <w:tblBorders>
          <w:top w:val="single" w:color="D1D5DB" w:sz="4"/>
          <w:left w:val="single" w:color="D1D5DB" w:sz="4"/>
          <w:bottom w:val="single" w:color="D1D5DB" w:sz="4"/>
          <w:right w:val="single" w:color="D1D5DB" w:sz="4"/>
          <w:insideH w:val="single" w:color="D1D5DB" w:sz="2"/>
          <w:insideV w:val="single" w:color="D1D5DB" w:sz="2"/>
        </w:tblBorders>
      </w:tblPr>
      <w:tblGrid>
        <w:gridCol w:w="100"/>
        <w:gridCol w:w="100"/>
        <w:gridCol w:w="100"/>
        <w:gridCol w:w="100"/>
      </w:tblGrid>
      <w:tr>
        <w:trPr>
          <w:tblHeader/>
        </w:trPr>
        <w:tc>
          <w:tcPr>
            <w:tcW w:type="pct" w:w="8%"/>
            <w:shd w:fill="EEF2FF" w:val="clear"/>
            <w:tcMar>
              <w:top w:type="dxa" w:w="80"/>
              <w:left w:type="dxa" w:w="120"/>
              <w:bottom w:type="dxa" w:w="80"/>
              <w:right w:type="dxa" w:w="120"/>
            </w:tcMar>
          </w:tcPr>
          <w:p>
            <w:r>
              <w:rPr>
                <w:b/>
                <w:bCs/>
                <w:sz w:val="20"/>
                <w:szCs w:val="20"/>
              </w:rPr>
              <w:t xml:space="preserve">#</w:t>
            </w:r>
          </w:p>
        </w:tc>
        <w:tc>
          <w:tcPr>
            <w:tcW w:type="pct" w:w="42%"/>
            <w:shd w:fill="EEF2FF" w:val="clear"/>
            <w:tcMar>
              <w:top w:type="dxa" w:w="80"/>
              <w:left w:type="dxa" w:w="120"/>
              <w:bottom w:type="dxa" w:w="80"/>
              <w:right w:type="dxa" w:w="120"/>
            </w:tcMar>
          </w:tcPr>
          <w:p>
            <w:r>
              <w:rPr>
                <w:b/>
                <w:bCs/>
                <w:sz w:val="20"/>
                <w:szCs w:val="20"/>
              </w:rPr>
              <w:t xml:space="preserve">Item</w:t>
            </w:r>
          </w:p>
        </w:tc>
        <w:tc>
          <w:tcPr>
            <w:tcW w:type="pct" w:w="18%"/>
            <w:shd w:fill="EEF2FF" w:val="clear"/>
            <w:tcMar>
              <w:top w:type="dxa" w:w="80"/>
              <w:left w:type="dxa" w:w="120"/>
              <w:bottom w:type="dxa" w:w="80"/>
              <w:right w:type="dxa" w:w="120"/>
            </w:tcMar>
          </w:tcPr>
          <w:p>
            <w:r>
              <w:rPr>
                <w:b/>
                <w:bCs/>
                <w:sz w:val="20"/>
                <w:szCs w:val="20"/>
              </w:rPr>
              <w:t xml:space="preserve">Status</w:t>
            </w:r>
          </w:p>
        </w:tc>
        <w:tc>
          <w:tcPr>
            <w:tcW w:type="pct" w:w="32%"/>
            <w:shd w:fill="EEF2FF" w:val="clear"/>
            <w:tcMar>
              <w:top w:type="dxa" w:w="80"/>
              <w:left w:type="dxa" w:w="120"/>
              <w:bottom w:type="dxa" w:w="80"/>
              <w:right w:type="dxa" w:w="120"/>
            </w:tcMar>
          </w:tcPr>
          <w:p>
            <w:r>
              <w:rPr>
                <w:b/>
                <w:bCs/>
                <w:sz w:val="20"/>
                <w:szCs w:val="20"/>
              </w:rPr>
              <w:t xml:space="preserve">Where</w:t>
            </w:r>
          </w:p>
        </w:tc>
      </w:tr>
      <w:tr>
        <w:tc>
          <w:tcPr>
            <w:tcW w:type="pct" w:w="8%"/>
            <w:tcMar>
              <w:top w:type="dxa" w:w="80"/>
              <w:left w:type="dxa" w:w="120"/>
              <w:bottom w:type="dxa" w:w="80"/>
              <w:right w:type="dxa" w:w="120"/>
            </w:tcMar>
          </w:tcPr>
          <w:p>
            <w:r>
              <w:rPr>
                <w:sz w:val="20"/>
                <w:szCs w:val="20"/>
              </w:rPr>
              <w:t xml:space="preserve">20</w:t>
            </w:r>
          </w:p>
        </w:tc>
        <w:tc>
          <w:tcPr>
            <w:tcW w:type="pct" w:w="42%"/>
            <w:tcMar>
              <w:top w:type="dxa" w:w="80"/>
              <w:left w:type="dxa" w:w="120"/>
              <w:bottom w:type="dxa" w:w="80"/>
              <w:right w:type="dxa" w:w="120"/>
            </w:tcMar>
          </w:tcPr>
          <w:p>
            <w:r>
              <w:rPr>
                <w:sz w:val="20"/>
                <w:szCs w:val="20"/>
              </w:rPr>
              <w:t xml:space="preserve">Invite-based account creation (not just open self-signup)</w:t>
            </w:r>
          </w:p>
        </w:tc>
        <w:tc>
          <w:tcPr>
            <w:tcW w:type="pct" w:w="18%"/>
            <w:tcMar>
              <w:top w:type="dxa" w:w="80"/>
              <w:left w:type="dxa" w:w="120"/>
              <w:bottom w:type="dxa" w:w="80"/>
              <w:right w:type="dxa" w:w="120"/>
            </w:tcMar>
          </w:tcPr>
          <w:p>
            <w:r>
              <w:rPr>
                <w:color w:val="166534"/>
                <w:sz w:val="20"/>
                <w:szCs w:val="20"/>
              </w:rPr>
              <w:t xml:space="preserve">Already implemented</w:t>
            </w:r>
          </w:p>
        </w:tc>
        <w:tc>
          <w:tcPr>
            <w:tcW w:type="pct" w:w="32%"/>
            <w:tcMar>
              <w:top w:type="dxa" w:w="80"/>
              <w:left w:type="dxa" w:w="120"/>
              <w:bottom w:type="dxa" w:w="80"/>
              <w:right w:type="dxa" w:w="120"/>
            </w:tcMar>
          </w:tcPr>
          <w:p>
            <w:r>
              <w:rPr>
                <w:color w:val="6B7280"/>
                <w:sz w:val="20"/>
                <w:szCs w:val="20"/>
              </w:rPr>
              <w:t xml:space="preserve">services/inviteService.js, models/InviteToken.js</w:t>
            </w:r>
          </w:p>
        </w:tc>
      </w:tr>
      <w:tr>
        <w:tc>
          <w:tcPr>
            <w:tcW w:type="pct" w:w="8%"/>
            <w:tcMar>
              <w:top w:type="dxa" w:w="80"/>
              <w:left w:type="dxa" w:w="120"/>
              <w:bottom w:type="dxa" w:w="80"/>
              <w:right w:type="dxa" w:w="120"/>
            </w:tcMar>
          </w:tcPr>
          <w:p>
            <w:r>
              <w:rPr>
                <w:sz w:val="20"/>
                <w:szCs w:val="20"/>
              </w:rPr>
              <w:t xml:space="preserve">21</w:t>
            </w:r>
          </w:p>
        </w:tc>
        <w:tc>
          <w:tcPr>
            <w:tcW w:type="pct" w:w="42%"/>
            <w:tcMar>
              <w:top w:type="dxa" w:w="80"/>
              <w:left w:type="dxa" w:w="120"/>
              <w:bottom w:type="dxa" w:w="80"/>
              <w:right w:type="dxa" w:w="120"/>
            </w:tcMar>
          </w:tcPr>
          <w:p>
            <w:r>
              <w:rPr>
                <w:sz w:val="20"/>
                <w:szCs w:val="20"/>
              </w:rPr>
              <w:t xml:space="preserve">Password reset</w:t>
            </w:r>
          </w:p>
        </w:tc>
        <w:tc>
          <w:tcPr>
            <w:tcW w:type="pct" w:w="18%"/>
            <w:tcMar>
              <w:top w:type="dxa" w:w="80"/>
              <w:left w:type="dxa" w:w="120"/>
              <w:bottom w:type="dxa" w:w="80"/>
              <w:right w:type="dxa" w:w="120"/>
            </w:tcMar>
          </w:tcPr>
          <w:p>
            <w:r>
              <w:rPr>
                <w:color w:val="166534"/>
                <w:sz w:val="20"/>
                <w:szCs w:val="20"/>
              </w:rPr>
              <w:t xml:space="preserve">Already implemented</w:t>
            </w:r>
          </w:p>
        </w:tc>
        <w:tc>
          <w:tcPr>
            <w:tcW w:type="pct" w:w="32%"/>
            <w:tcMar>
              <w:top w:type="dxa" w:w="80"/>
              <w:left w:type="dxa" w:w="120"/>
              <w:bottom w:type="dxa" w:w="80"/>
              <w:right w:type="dxa" w:w="120"/>
            </w:tcMar>
          </w:tcPr>
          <w:p>
            <w:r>
              <w:rPr>
                <w:color w:val="6B7280"/>
                <w:sz w:val="20"/>
                <w:szCs w:val="20"/>
              </w:rPr>
              <w:t xml:space="preserve">services/passwordResetService.js</w:t>
            </w:r>
          </w:p>
        </w:tc>
      </w:tr>
      <w:tr>
        <w:tc>
          <w:tcPr>
            <w:tcW w:type="pct" w:w="8%"/>
            <w:tcMar>
              <w:top w:type="dxa" w:w="80"/>
              <w:left w:type="dxa" w:w="120"/>
              <w:bottom w:type="dxa" w:w="80"/>
              <w:right w:type="dxa" w:w="120"/>
            </w:tcMar>
          </w:tcPr>
          <w:p>
            <w:r>
              <w:rPr>
                <w:sz w:val="20"/>
                <w:szCs w:val="20"/>
              </w:rPr>
              <w:t xml:space="preserve">21</w:t>
            </w:r>
          </w:p>
        </w:tc>
        <w:tc>
          <w:tcPr>
            <w:tcW w:type="pct" w:w="42%"/>
            <w:tcMar>
              <w:top w:type="dxa" w:w="80"/>
              <w:left w:type="dxa" w:w="120"/>
              <w:bottom w:type="dxa" w:w="80"/>
              <w:right w:type="dxa" w:w="120"/>
            </w:tcMar>
          </w:tcPr>
          <w:p>
            <w:r>
              <w:rPr>
                <w:sz w:val="20"/>
                <w:szCs w:val="20"/>
              </w:rPr>
              <w:t xml:space="preserve">User activation / deactivation with session revocation</w:t>
            </w:r>
          </w:p>
        </w:tc>
        <w:tc>
          <w:tcPr>
            <w:tcW w:type="pct" w:w="18%"/>
            <w:tcMar>
              <w:top w:type="dxa" w:w="80"/>
              <w:left w:type="dxa" w:w="120"/>
              <w:bottom w:type="dxa" w:w="80"/>
              <w:right w:type="dxa" w:w="120"/>
            </w:tcMar>
          </w:tcPr>
          <w:p>
            <w:r>
              <w:rPr>
                <w:color w:val="166534"/>
                <w:sz w:val="20"/>
                <w:szCs w:val="20"/>
              </w:rPr>
              <w:t xml:space="preserve">Already implemented</w:t>
            </w:r>
          </w:p>
        </w:tc>
        <w:tc>
          <w:tcPr>
            <w:tcW w:type="pct" w:w="32%"/>
            <w:tcMar>
              <w:top w:type="dxa" w:w="80"/>
              <w:left w:type="dxa" w:w="120"/>
              <w:bottom w:type="dxa" w:w="80"/>
              <w:right w:type="dxa" w:w="120"/>
            </w:tcMar>
          </w:tcPr>
          <w:p>
            <w:r>
              <w:rPr>
                <w:color w:val="6B7280"/>
                <w:sz w:val="20"/>
                <w:szCs w:val="20"/>
              </w:rPr>
              <w:t xml:space="preserve">controllers/userController.js setStatus()</w:t>
            </w:r>
          </w:p>
        </w:tc>
      </w:tr>
      <w:tr>
        <w:tc>
          <w:tcPr>
            <w:tcW w:type="pct" w:w="8%"/>
            <w:tcMar>
              <w:top w:type="dxa" w:w="80"/>
              <w:left w:type="dxa" w:w="120"/>
              <w:bottom w:type="dxa" w:w="80"/>
              <w:right w:type="dxa" w:w="120"/>
            </w:tcMar>
          </w:tcPr>
          <w:p>
            <w:r>
              <w:rPr>
                <w:sz w:val="20"/>
                <w:szCs w:val="20"/>
              </w:rPr>
              <w:t xml:space="preserve">21</w:t>
            </w:r>
          </w:p>
        </w:tc>
        <w:tc>
          <w:tcPr>
            <w:tcW w:type="pct" w:w="42%"/>
            <w:tcMar>
              <w:top w:type="dxa" w:w="80"/>
              <w:left w:type="dxa" w:w="120"/>
              <w:bottom w:type="dxa" w:w="80"/>
              <w:right w:type="dxa" w:w="120"/>
            </w:tcMar>
          </w:tcPr>
          <w:p>
            <w:r>
              <w:rPr>
                <w:sz w:val="20"/>
                <w:szCs w:val="20"/>
              </w:rPr>
              <w:t xml:space="preserve">Email verification</w:t>
            </w:r>
          </w:p>
        </w:tc>
        <w:tc>
          <w:tcPr>
            <w:tcW w:type="pct" w:w="18%"/>
            <w:tcMar>
              <w:top w:type="dxa" w:w="80"/>
              <w:left w:type="dxa" w:w="120"/>
              <w:bottom w:type="dxa" w:w="80"/>
              <w:right w:type="dxa" w:w="120"/>
            </w:tcMar>
          </w:tcPr>
          <w:p>
            <w:r>
              <w:rPr>
                <w:color w:val="2563EB"/>
                <w:sz w:val="20"/>
                <w:szCs w:val="20"/>
              </w:rPr>
              <w:t xml:space="preserve">Added this pass</w:t>
            </w:r>
          </w:p>
        </w:tc>
        <w:tc>
          <w:tcPr>
            <w:tcW w:type="pct" w:w="32%"/>
            <w:tcMar>
              <w:top w:type="dxa" w:w="80"/>
              <w:left w:type="dxa" w:w="120"/>
              <w:bottom w:type="dxa" w:w="80"/>
              <w:right w:type="dxa" w:w="120"/>
            </w:tcMar>
          </w:tcPr>
          <w:p>
            <w:r>
              <w:rPr>
                <w:color w:val="6B7280"/>
                <w:sz w:val="20"/>
                <w:szCs w:val="20"/>
              </w:rPr>
              <w:t xml:space="preserve">services/emailVerificationService.js — see Section 3</w:t>
            </w:r>
          </w:p>
        </w:tc>
      </w:tr>
    </w:tbl>
    <w:p>
      <w:pPr>
        <w:spacing w:after="120" w:before="0"/>
      </w:pPr>
      <w:r>
        <w:rPr>
          <w:color w:val="111827"/>
          <w:sz w:val="22"/>
          <w:szCs w:val="22"/>
        </w:rPr>
        <w:t xml:space="preserve">Registration is actually three flows layered together: open self-signup creates a REQUEST an admin must approve (no session is issued until then); the first account on an empty database bootstraps straight to an active admin, since a fresh install has nobody to approve anything; and an admin can invite someone directly, skipping the request stage entirely. Email verification, added in this pass, is layered on top of all three without changing any of them — see Section 3 for why.</w:t>
      </w:r>
    </w:p>
    <w:p>
      <w:pPr>
        <w:pStyle w:val="Heading2"/>
        <w:spacing w:after="140" w:before="280"/>
      </w:pPr>
      <w:r>
        <w:rPr>
          <w:b/>
          <w:bCs/>
          <w:color w:val="2563EB"/>
        </w:rPr>
        <w:t xml:space="preserve">Priority 7 — Frontend quality</w:t>
      </w:r>
    </w:p>
    <w:tbl>
      <w:tblPr>
        <w:tblW w:type="pct" w:w="100%"/>
        <w:tblBorders>
          <w:top w:val="single" w:color="D1D5DB" w:sz="4"/>
          <w:left w:val="single" w:color="D1D5DB" w:sz="4"/>
          <w:bottom w:val="single" w:color="D1D5DB" w:sz="4"/>
          <w:right w:val="single" w:color="D1D5DB" w:sz="4"/>
          <w:insideH w:val="single" w:color="D1D5DB" w:sz="2"/>
          <w:insideV w:val="single" w:color="D1D5DB" w:sz="2"/>
        </w:tblBorders>
      </w:tblPr>
      <w:tblGrid>
        <w:gridCol w:w="100"/>
        <w:gridCol w:w="100"/>
        <w:gridCol w:w="100"/>
        <w:gridCol w:w="100"/>
      </w:tblGrid>
      <w:tr>
        <w:trPr>
          <w:tblHeader/>
        </w:trPr>
        <w:tc>
          <w:tcPr>
            <w:tcW w:type="pct" w:w="8%"/>
            <w:shd w:fill="EEF2FF" w:val="clear"/>
            <w:tcMar>
              <w:top w:type="dxa" w:w="80"/>
              <w:left w:type="dxa" w:w="120"/>
              <w:bottom w:type="dxa" w:w="80"/>
              <w:right w:type="dxa" w:w="120"/>
            </w:tcMar>
          </w:tcPr>
          <w:p>
            <w:r>
              <w:rPr>
                <w:b/>
                <w:bCs/>
                <w:sz w:val="20"/>
                <w:szCs w:val="20"/>
              </w:rPr>
              <w:t xml:space="preserve">#</w:t>
            </w:r>
          </w:p>
        </w:tc>
        <w:tc>
          <w:tcPr>
            <w:tcW w:type="pct" w:w="42%"/>
            <w:shd w:fill="EEF2FF" w:val="clear"/>
            <w:tcMar>
              <w:top w:type="dxa" w:w="80"/>
              <w:left w:type="dxa" w:w="120"/>
              <w:bottom w:type="dxa" w:w="80"/>
              <w:right w:type="dxa" w:w="120"/>
            </w:tcMar>
          </w:tcPr>
          <w:p>
            <w:r>
              <w:rPr>
                <w:b/>
                <w:bCs/>
                <w:sz w:val="20"/>
                <w:szCs w:val="20"/>
              </w:rPr>
              <w:t xml:space="preserve">Item</w:t>
            </w:r>
          </w:p>
        </w:tc>
        <w:tc>
          <w:tcPr>
            <w:tcW w:type="pct" w:w="18%"/>
            <w:shd w:fill="EEF2FF" w:val="clear"/>
            <w:tcMar>
              <w:top w:type="dxa" w:w="80"/>
              <w:left w:type="dxa" w:w="120"/>
              <w:bottom w:type="dxa" w:w="80"/>
              <w:right w:type="dxa" w:w="120"/>
            </w:tcMar>
          </w:tcPr>
          <w:p>
            <w:r>
              <w:rPr>
                <w:b/>
                <w:bCs/>
                <w:sz w:val="20"/>
                <w:szCs w:val="20"/>
              </w:rPr>
              <w:t xml:space="preserve">Status</w:t>
            </w:r>
          </w:p>
        </w:tc>
        <w:tc>
          <w:tcPr>
            <w:tcW w:type="pct" w:w="32%"/>
            <w:shd w:fill="EEF2FF" w:val="clear"/>
            <w:tcMar>
              <w:top w:type="dxa" w:w="80"/>
              <w:left w:type="dxa" w:w="120"/>
              <w:bottom w:type="dxa" w:w="80"/>
              <w:right w:type="dxa" w:w="120"/>
            </w:tcMar>
          </w:tcPr>
          <w:p>
            <w:r>
              <w:rPr>
                <w:b/>
                <w:bCs/>
                <w:sz w:val="20"/>
                <w:szCs w:val="20"/>
              </w:rPr>
              <w:t xml:space="preserve">Where</w:t>
            </w:r>
          </w:p>
        </w:tc>
      </w:tr>
      <w:tr>
        <w:tc>
          <w:tcPr>
            <w:tcW w:type="pct" w:w="8%"/>
            <w:tcMar>
              <w:top w:type="dxa" w:w="80"/>
              <w:left w:type="dxa" w:w="120"/>
              <w:bottom w:type="dxa" w:w="80"/>
              <w:right w:type="dxa" w:w="120"/>
            </w:tcMar>
          </w:tcPr>
          <w:p>
            <w:r>
              <w:rPr>
                <w:sz w:val="20"/>
                <w:szCs w:val="20"/>
              </w:rPr>
              <w:t xml:space="preserve">22</w:t>
            </w:r>
          </w:p>
        </w:tc>
        <w:tc>
          <w:tcPr>
            <w:tcW w:type="pct" w:w="42%"/>
            <w:tcMar>
              <w:top w:type="dxa" w:w="80"/>
              <w:left w:type="dxa" w:w="120"/>
              <w:bottom w:type="dxa" w:w="80"/>
              <w:right w:type="dxa" w:w="120"/>
            </w:tcMar>
          </w:tcPr>
          <w:p>
            <w:r>
              <w:rPr>
                <w:sz w:val="20"/>
                <w:szCs w:val="20"/>
              </w:rPr>
              <w:t xml:space="preserve">Loading skeletons, empty states, error boundary</w:t>
            </w:r>
          </w:p>
        </w:tc>
        <w:tc>
          <w:tcPr>
            <w:tcW w:type="pct" w:w="18%"/>
            <w:tcMar>
              <w:top w:type="dxa" w:w="80"/>
              <w:left w:type="dxa" w:w="120"/>
              <w:bottom w:type="dxa" w:w="80"/>
              <w:right w:type="dxa" w:w="120"/>
            </w:tcMar>
          </w:tcPr>
          <w:p>
            <w:r>
              <w:rPr>
                <w:color w:val="166534"/>
                <w:sz w:val="20"/>
                <w:szCs w:val="20"/>
              </w:rPr>
              <w:t xml:space="preserve">Already implemented</w:t>
            </w:r>
          </w:p>
        </w:tc>
        <w:tc>
          <w:tcPr>
            <w:tcW w:type="pct" w:w="32%"/>
            <w:tcMar>
              <w:top w:type="dxa" w:w="80"/>
              <w:left w:type="dxa" w:w="120"/>
              <w:bottom w:type="dxa" w:w="80"/>
              <w:right w:type="dxa" w:w="120"/>
            </w:tcMar>
          </w:tcPr>
          <w:p>
            <w:r>
              <w:rPr>
                <w:color w:val="6B7280"/>
                <w:sz w:val="20"/>
                <w:szCs w:val="20"/>
              </w:rPr>
              <w:t xml:space="preserve">components/common.jsx, components/ErrorBoundary.jsx</w:t>
            </w:r>
          </w:p>
        </w:tc>
      </w:tr>
      <w:tr>
        <w:tc>
          <w:tcPr>
            <w:tcW w:type="pct" w:w="8%"/>
            <w:tcMar>
              <w:top w:type="dxa" w:w="80"/>
              <w:left w:type="dxa" w:w="120"/>
              <w:bottom w:type="dxa" w:w="80"/>
              <w:right w:type="dxa" w:w="120"/>
            </w:tcMar>
          </w:tcPr>
          <w:p>
            <w:r>
              <w:rPr>
                <w:sz w:val="20"/>
                <w:szCs w:val="20"/>
              </w:rPr>
              <w:t xml:space="preserve">23</w:t>
            </w:r>
          </w:p>
        </w:tc>
        <w:tc>
          <w:tcPr>
            <w:tcW w:type="pct" w:w="42%"/>
            <w:tcMar>
              <w:top w:type="dxa" w:w="80"/>
              <w:left w:type="dxa" w:w="120"/>
              <w:bottom w:type="dxa" w:w="80"/>
              <w:right w:type="dxa" w:w="120"/>
            </w:tcMar>
          </w:tcPr>
          <w:p>
            <w:r>
              <w:rPr>
                <w:sz w:val="20"/>
                <w:szCs w:val="20"/>
              </w:rPr>
              <w:t xml:space="preserve">Confirmation dialogs for destructive actions</w:t>
            </w:r>
          </w:p>
        </w:tc>
        <w:tc>
          <w:tcPr>
            <w:tcW w:type="pct" w:w="18%"/>
            <w:tcMar>
              <w:top w:type="dxa" w:w="80"/>
              <w:left w:type="dxa" w:w="120"/>
              <w:bottom w:type="dxa" w:w="80"/>
              <w:right w:type="dxa" w:w="120"/>
            </w:tcMar>
          </w:tcPr>
          <w:p>
            <w:r>
              <w:rPr>
                <w:color w:val="2563EB"/>
                <w:sz w:val="20"/>
                <w:szCs w:val="20"/>
              </w:rPr>
              <w:t xml:space="preserve">Added this pass</w:t>
            </w:r>
          </w:p>
        </w:tc>
        <w:tc>
          <w:tcPr>
            <w:tcW w:type="pct" w:w="32%"/>
            <w:tcMar>
              <w:top w:type="dxa" w:w="80"/>
              <w:left w:type="dxa" w:w="120"/>
              <w:bottom w:type="dxa" w:w="80"/>
              <w:right w:type="dxa" w:w="120"/>
            </w:tcMar>
          </w:tcPr>
          <w:p>
            <w:r>
              <w:rPr>
                <w:color w:val="6B7280"/>
                <w:sz w:val="20"/>
                <w:szCs w:val="20"/>
              </w:rPr>
              <w:t xml:space="preserve">components/ConfirmDialog.jsx — see Section 3</w:t>
            </w:r>
          </w:p>
        </w:tc>
      </w:tr>
    </w:tbl>
    <w:p>
      <w:pPr>
        <w:spacing w:after="120" w:before="0"/>
      </w:pPr>
      <w:r>
        <w:rPr>
          <w:color w:val="111827"/>
          <w:sz w:val="22"/>
          <w:szCs w:val="22"/>
        </w:rPr>
        <w:t xml:space="preserve">Every destructive action already asked for confirmation before this pass — the gap was that it used the browser’s own window.confirm() rather than UI styled to match the rest of the app. Section 3 covers the replacement.</w:t>
      </w:r>
    </w:p>
    <w:p>
      <w:pPr>
        <w:pStyle w:val="Heading2"/>
        <w:spacing w:after="140" w:before="280"/>
      </w:pPr>
      <w:r>
        <w:rPr>
          <w:b/>
          <w:bCs/>
          <w:color w:val="2563EB"/>
        </w:rPr>
        <w:t xml:space="preserve">Priority 8 — Observability</w:t>
      </w:r>
    </w:p>
    <w:tbl>
      <w:tblPr>
        <w:tblW w:type="pct" w:w="100%"/>
        <w:tblBorders>
          <w:top w:val="single" w:color="D1D5DB" w:sz="4"/>
          <w:left w:val="single" w:color="D1D5DB" w:sz="4"/>
          <w:bottom w:val="single" w:color="D1D5DB" w:sz="4"/>
          <w:right w:val="single" w:color="D1D5DB" w:sz="4"/>
          <w:insideH w:val="single" w:color="D1D5DB" w:sz="2"/>
          <w:insideV w:val="single" w:color="D1D5DB" w:sz="2"/>
        </w:tblBorders>
      </w:tblPr>
      <w:tblGrid>
        <w:gridCol w:w="100"/>
        <w:gridCol w:w="100"/>
        <w:gridCol w:w="100"/>
        <w:gridCol w:w="100"/>
      </w:tblGrid>
      <w:tr>
        <w:trPr>
          <w:tblHeader/>
        </w:trPr>
        <w:tc>
          <w:tcPr>
            <w:tcW w:type="pct" w:w="8%"/>
            <w:shd w:fill="EEF2FF" w:val="clear"/>
            <w:tcMar>
              <w:top w:type="dxa" w:w="80"/>
              <w:left w:type="dxa" w:w="120"/>
              <w:bottom w:type="dxa" w:w="80"/>
              <w:right w:type="dxa" w:w="120"/>
            </w:tcMar>
          </w:tcPr>
          <w:p>
            <w:r>
              <w:rPr>
                <w:b/>
                <w:bCs/>
                <w:sz w:val="20"/>
                <w:szCs w:val="20"/>
              </w:rPr>
              <w:t xml:space="preserve">#</w:t>
            </w:r>
          </w:p>
        </w:tc>
        <w:tc>
          <w:tcPr>
            <w:tcW w:type="pct" w:w="42%"/>
            <w:shd w:fill="EEF2FF" w:val="clear"/>
            <w:tcMar>
              <w:top w:type="dxa" w:w="80"/>
              <w:left w:type="dxa" w:w="120"/>
              <w:bottom w:type="dxa" w:w="80"/>
              <w:right w:type="dxa" w:w="120"/>
            </w:tcMar>
          </w:tcPr>
          <w:p>
            <w:r>
              <w:rPr>
                <w:b/>
                <w:bCs/>
                <w:sz w:val="20"/>
                <w:szCs w:val="20"/>
              </w:rPr>
              <w:t xml:space="preserve">Item</w:t>
            </w:r>
          </w:p>
        </w:tc>
        <w:tc>
          <w:tcPr>
            <w:tcW w:type="pct" w:w="18%"/>
            <w:shd w:fill="EEF2FF" w:val="clear"/>
            <w:tcMar>
              <w:top w:type="dxa" w:w="80"/>
              <w:left w:type="dxa" w:w="120"/>
              <w:bottom w:type="dxa" w:w="80"/>
              <w:right w:type="dxa" w:w="120"/>
            </w:tcMar>
          </w:tcPr>
          <w:p>
            <w:r>
              <w:rPr>
                <w:b/>
                <w:bCs/>
                <w:sz w:val="20"/>
                <w:szCs w:val="20"/>
              </w:rPr>
              <w:t xml:space="preserve">Status</w:t>
            </w:r>
          </w:p>
        </w:tc>
        <w:tc>
          <w:tcPr>
            <w:tcW w:type="pct" w:w="32%"/>
            <w:shd w:fill="EEF2FF" w:val="clear"/>
            <w:tcMar>
              <w:top w:type="dxa" w:w="80"/>
              <w:left w:type="dxa" w:w="120"/>
              <w:bottom w:type="dxa" w:w="80"/>
              <w:right w:type="dxa" w:w="120"/>
            </w:tcMar>
          </w:tcPr>
          <w:p>
            <w:r>
              <w:rPr>
                <w:b/>
                <w:bCs/>
                <w:sz w:val="20"/>
                <w:szCs w:val="20"/>
              </w:rPr>
              <w:t xml:space="preserve">Where</w:t>
            </w:r>
          </w:p>
        </w:tc>
      </w:tr>
      <w:tr>
        <w:tc>
          <w:tcPr>
            <w:tcW w:type="pct" w:w="8%"/>
            <w:tcMar>
              <w:top w:type="dxa" w:w="80"/>
              <w:left w:type="dxa" w:w="120"/>
              <w:bottom w:type="dxa" w:w="80"/>
              <w:right w:type="dxa" w:w="120"/>
            </w:tcMar>
          </w:tcPr>
          <w:p>
            <w:r>
              <w:rPr>
                <w:sz w:val="20"/>
                <w:szCs w:val="20"/>
              </w:rPr>
              <w:t xml:space="preserve">24</w:t>
            </w:r>
          </w:p>
        </w:tc>
        <w:tc>
          <w:tcPr>
            <w:tcW w:type="pct" w:w="42%"/>
            <w:tcMar>
              <w:top w:type="dxa" w:w="80"/>
              <w:left w:type="dxa" w:w="120"/>
              <w:bottom w:type="dxa" w:w="80"/>
              <w:right w:type="dxa" w:w="120"/>
            </w:tcMar>
          </w:tcPr>
          <w:p>
            <w:r>
              <w:rPr>
                <w:sz w:val="20"/>
                <w:szCs w:val="20"/>
              </w:rPr>
              <w:t xml:space="preserve">Structured, queryable logging</w:t>
            </w:r>
          </w:p>
        </w:tc>
        <w:tc>
          <w:tcPr>
            <w:tcW w:type="pct" w:w="18%"/>
            <w:tcMar>
              <w:top w:type="dxa" w:w="80"/>
              <w:left w:type="dxa" w:w="120"/>
              <w:bottom w:type="dxa" w:w="80"/>
              <w:right w:type="dxa" w:w="120"/>
            </w:tcMar>
          </w:tcPr>
          <w:p>
            <w:r>
              <w:rPr>
                <w:color w:val="166534"/>
                <w:sz w:val="20"/>
                <w:szCs w:val="20"/>
              </w:rPr>
              <w:t xml:space="preserve">Already implemented</w:t>
            </w:r>
          </w:p>
        </w:tc>
        <w:tc>
          <w:tcPr>
            <w:tcW w:type="pct" w:w="32%"/>
            <w:tcMar>
              <w:top w:type="dxa" w:w="80"/>
              <w:left w:type="dxa" w:w="120"/>
              <w:bottom w:type="dxa" w:w="80"/>
              <w:right w:type="dxa" w:w="120"/>
            </w:tcMar>
          </w:tcPr>
          <w:p>
            <w:r>
              <w:rPr>
                <w:color w:val="6B7280"/>
                <w:sz w:val="20"/>
                <w:szCs w:val="20"/>
              </w:rPr>
              <w:t xml:space="preserve">config/logger.js — pino, JSON output, per-request context via AsyncLocalStorage</w:t>
            </w:r>
          </w:p>
        </w:tc>
      </w:tr>
      <w:tr>
        <w:tc>
          <w:tcPr>
            <w:tcW w:type="pct" w:w="8%"/>
            <w:tcMar>
              <w:top w:type="dxa" w:w="80"/>
              <w:left w:type="dxa" w:w="120"/>
              <w:bottom w:type="dxa" w:w="80"/>
              <w:right w:type="dxa" w:w="120"/>
            </w:tcMar>
          </w:tcPr>
          <w:p>
            <w:r>
              <w:rPr>
                <w:sz w:val="20"/>
                <w:szCs w:val="20"/>
              </w:rPr>
              <w:t xml:space="preserve">24</w:t>
            </w:r>
          </w:p>
        </w:tc>
        <w:tc>
          <w:tcPr>
            <w:tcW w:type="pct" w:w="42%"/>
            <w:tcMar>
              <w:top w:type="dxa" w:w="80"/>
              <w:left w:type="dxa" w:w="120"/>
              <w:bottom w:type="dxa" w:w="80"/>
              <w:right w:type="dxa" w:w="120"/>
            </w:tcMar>
          </w:tcPr>
          <w:p>
            <w:r>
              <w:rPr>
                <w:sz w:val="20"/>
                <w:szCs w:val="20"/>
              </w:rPr>
              <w:t xml:space="preserve">Internal metrics endpoint (latency, error rate, per-route counts)</w:t>
            </w:r>
          </w:p>
        </w:tc>
        <w:tc>
          <w:tcPr>
            <w:tcW w:type="pct" w:w="18%"/>
            <w:tcMar>
              <w:top w:type="dxa" w:w="80"/>
              <w:left w:type="dxa" w:w="120"/>
              <w:bottom w:type="dxa" w:w="80"/>
              <w:right w:type="dxa" w:w="120"/>
            </w:tcMar>
          </w:tcPr>
          <w:p>
            <w:r>
              <w:rPr>
                <w:color w:val="166534"/>
                <w:sz w:val="20"/>
                <w:szCs w:val="20"/>
              </w:rPr>
              <w:t xml:space="preserve">Already implemented</w:t>
            </w:r>
          </w:p>
        </w:tc>
        <w:tc>
          <w:tcPr>
            <w:tcW w:type="pct" w:w="32%"/>
            <w:tcMar>
              <w:top w:type="dxa" w:w="80"/>
              <w:left w:type="dxa" w:w="120"/>
              <w:bottom w:type="dxa" w:w="80"/>
              <w:right w:type="dxa" w:w="120"/>
            </w:tcMar>
          </w:tcPr>
          <w:p>
            <w:r>
              <w:rPr>
                <w:color w:val="6B7280"/>
                <w:sz w:val="20"/>
                <w:szCs w:val="20"/>
              </w:rPr>
              <w:t xml:space="preserve">GET /api/internal/metrics, services/metrics.js</w:t>
            </w:r>
          </w:p>
        </w:tc>
      </w:tr>
    </w:tbl>
    <w:p>
      <w:pPr>
        <w:pStyle w:val="Heading2"/>
        <w:spacing w:after="140" w:before="280"/>
      </w:pPr>
      <w:r>
        <w:rPr>
          <w:b/>
          <w:bCs/>
          <w:color w:val="2563EB"/>
        </w:rPr>
        <w:t xml:space="preserve">Priority 9 — AI cost and reliability controls</w:t>
      </w:r>
    </w:p>
    <w:tbl>
      <w:tblPr>
        <w:tblW w:type="pct" w:w="100%"/>
        <w:tblBorders>
          <w:top w:val="single" w:color="D1D5DB" w:sz="4"/>
          <w:left w:val="single" w:color="D1D5DB" w:sz="4"/>
          <w:bottom w:val="single" w:color="D1D5DB" w:sz="4"/>
          <w:right w:val="single" w:color="D1D5DB" w:sz="4"/>
          <w:insideH w:val="single" w:color="D1D5DB" w:sz="2"/>
          <w:insideV w:val="single" w:color="D1D5DB" w:sz="2"/>
        </w:tblBorders>
      </w:tblPr>
      <w:tblGrid>
        <w:gridCol w:w="100"/>
        <w:gridCol w:w="100"/>
        <w:gridCol w:w="100"/>
        <w:gridCol w:w="100"/>
      </w:tblGrid>
      <w:tr>
        <w:trPr>
          <w:tblHeader/>
        </w:trPr>
        <w:tc>
          <w:tcPr>
            <w:tcW w:type="pct" w:w="8%"/>
            <w:shd w:fill="EEF2FF" w:val="clear"/>
            <w:tcMar>
              <w:top w:type="dxa" w:w="80"/>
              <w:left w:type="dxa" w:w="120"/>
              <w:bottom w:type="dxa" w:w="80"/>
              <w:right w:type="dxa" w:w="120"/>
            </w:tcMar>
          </w:tcPr>
          <w:p>
            <w:r>
              <w:rPr>
                <w:b/>
                <w:bCs/>
                <w:sz w:val="20"/>
                <w:szCs w:val="20"/>
              </w:rPr>
              <w:t xml:space="preserve">#</w:t>
            </w:r>
          </w:p>
        </w:tc>
        <w:tc>
          <w:tcPr>
            <w:tcW w:type="pct" w:w="46%"/>
            <w:shd w:fill="EEF2FF" w:val="clear"/>
            <w:tcMar>
              <w:top w:type="dxa" w:w="80"/>
              <w:left w:type="dxa" w:w="120"/>
              <w:bottom w:type="dxa" w:w="80"/>
              <w:right w:type="dxa" w:w="120"/>
            </w:tcMar>
          </w:tcPr>
          <w:p>
            <w:r>
              <w:rPr>
                <w:b/>
                <w:bCs/>
                <w:sz w:val="20"/>
                <w:szCs w:val="20"/>
              </w:rPr>
              <w:t xml:space="preserve">Item</w:t>
            </w:r>
          </w:p>
        </w:tc>
        <w:tc>
          <w:tcPr>
            <w:tcW w:type="pct" w:w="18%"/>
            <w:shd w:fill="EEF2FF" w:val="clear"/>
            <w:tcMar>
              <w:top w:type="dxa" w:w="80"/>
              <w:left w:type="dxa" w:w="120"/>
              <w:bottom w:type="dxa" w:w="80"/>
              <w:right w:type="dxa" w:w="120"/>
            </w:tcMar>
          </w:tcPr>
          <w:p>
            <w:r>
              <w:rPr>
                <w:b/>
                <w:bCs/>
                <w:sz w:val="20"/>
                <w:szCs w:val="20"/>
              </w:rPr>
              <w:t xml:space="preserve">Status</w:t>
            </w:r>
          </w:p>
        </w:tc>
        <w:tc>
          <w:tcPr>
            <w:tcW w:type="pct" w:w="28%"/>
            <w:shd w:fill="EEF2FF" w:val="clear"/>
            <w:tcMar>
              <w:top w:type="dxa" w:w="80"/>
              <w:left w:type="dxa" w:w="120"/>
              <w:bottom w:type="dxa" w:w="80"/>
              <w:right w:type="dxa" w:w="120"/>
            </w:tcMar>
          </w:tcPr>
          <w:p>
            <w:r>
              <w:rPr>
                <w:b/>
                <w:bCs/>
                <w:sz w:val="20"/>
                <w:szCs w:val="20"/>
              </w:rPr>
              <w:t xml:space="preserve">Where</w:t>
            </w:r>
          </w:p>
        </w:tc>
      </w:tr>
      <w:tr>
        <w:tc>
          <w:tcPr>
            <w:tcW w:type="pct" w:w="8%"/>
            <w:tcMar>
              <w:top w:type="dxa" w:w="80"/>
              <w:left w:type="dxa" w:w="120"/>
              <w:bottom w:type="dxa" w:w="80"/>
              <w:right w:type="dxa" w:w="120"/>
            </w:tcMar>
          </w:tcPr>
          <w:p>
            <w:r>
              <w:rPr>
                <w:sz w:val="20"/>
                <w:szCs w:val="20"/>
              </w:rPr>
              <w:t xml:space="preserve">25</w:t>
            </w:r>
          </w:p>
        </w:tc>
        <w:tc>
          <w:tcPr>
            <w:tcW w:type="pct" w:w="46%"/>
            <w:tcMar>
              <w:top w:type="dxa" w:w="80"/>
              <w:left w:type="dxa" w:w="120"/>
              <w:bottom w:type="dxa" w:w="80"/>
              <w:right w:type="dxa" w:w="120"/>
            </w:tcMar>
          </w:tcPr>
          <w:p>
            <w:r>
              <w:rPr>
                <w:sz w:val="20"/>
                <w:szCs w:val="20"/>
              </w:rPr>
              <w:t xml:space="preserve">Prompt-size cap</w:t>
            </w:r>
          </w:p>
        </w:tc>
        <w:tc>
          <w:tcPr>
            <w:tcW w:type="pct" w:w="18%"/>
            <w:tcMar>
              <w:top w:type="dxa" w:w="80"/>
              <w:left w:type="dxa" w:w="120"/>
              <w:bottom w:type="dxa" w:w="80"/>
              <w:right w:type="dxa" w:w="120"/>
            </w:tcMar>
          </w:tcPr>
          <w:p>
            <w:r>
              <w:rPr>
                <w:color w:val="166534"/>
                <w:sz w:val="20"/>
                <w:szCs w:val="20"/>
              </w:rPr>
              <w:t xml:space="preserve">Already implemented</w:t>
            </w:r>
          </w:p>
        </w:tc>
        <w:tc>
          <w:tcPr>
            <w:tcW w:type="pct" w:w="28%"/>
            <w:tcMar>
              <w:top w:type="dxa" w:w="80"/>
              <w:left w:type="dxa" w:w="120"/>
              <w:bottom w:type="dxa" w:w="80"/>
              <w:right w:type="dxa" w:w="120"/>
            </w:tcMar>
          </w:tcPr>
          <w:p>
            <w:r>
              <w:rPr>
                <w:color w:val="6B7280"/>
                <w:sz w:val="20"/>
                <w:szCs w:val="20"/>
              </w:rPr>
              <w:t xml:space="preserve">services/aiClient.js — refused before the call, default 8000 chars</w:t>
            </w:r>
          </w:p>
        </w:tc>
      </w:tr>
      <w:tr>
        <w:tc>
          <w:tcPr>
            <w:tcW w:type="pct" w:w="8%"/>
            <w:tcMar>
              <w:top w:type="dxa" w:w="80"/>
              <w:left w:type="dxa" w:w="120"/>
              <w:bottom w:type="dxa" w:w="80"/>
              <w:right w:type="dxa" w:w="120"/>
            </w:tcMar>
          </w:tcPr>
          <w:p>
            <w:r>
              <w:rPr>
                <w:sz w:val="20"/>
                <w:szCs w:val="20"/>
              </w:rPr>
              <w:t xml:space="preserve">25</w:t>
            </w:r>
          </w:p>
        </w:tc>
        <w:tc>
          <w:tcPr>
            <w:tcW w:type="pct" w:w="46%"/>
            <w:tcMar>
              <w:top w:type="dxa" w:w="80"/>
              <w:left w:type="dxa" w:w="120"/>
              <w:bottom w:type="dxa" w:w="80"/>
              <w:right w:type="dxa" w:w="120"/>
            </w:tcMar>
          </w:tcPr>
          <w:p>
            <w:r>
              <w:rPr>
                <w:sz w:val="20"/>
                <w:szCs w:val="20"/>
              </w:rPr>
              <w:t xml:space="preserve">Response caching</w:t>
            </w:r>
          </w:p>
        </w:tc>
        <w:tc>
          <w:tcPr>
            <w:tcW w:type="pct" w:w="18%"/>
            <w:tcMar>
              <w:top w:type="dxa" w:w="80"/>
              <w:left w:type="dxa" w:w="120"/>
              <w:bottom w:type="dxa" w:w="80"/>
              <w:right w:type="dxa" w:w="120"/>
            </w:tcMar>
          </w:tcPr>
          <w:p>
            <w:r>
              <w:rPr>
                <w:color w:val="166534"/>
                <w:sz w:val="20"/>
                <w:szCs w:val="20"/>
              </w:rPr>
              <w:t xml:space="preserve">Already implemented</w:t>
            </w:r>
          </w:p>
        </w:tc>
        <w:tc>
          <w:tcPr>
            <w:tcW w:type="pct" w:w="28%"/>
            <w:tcMar>
              <w:top w:type="dxa" w:w="80"/>
              <w:left w:type="dxa" w:w="120"/>
              <w:bottom w:type="dxa" w:w="80"/>
              <w:right w:type="dxa" w:w="120"/>
            </w:tcMar>
          </w:tcPr>
          <w:p>
            <w:r>
              <w:rPr>
                <w:color w:val="6B7280"/>
                <w:sz w:val="20"/>
                <w:szCs w:val="20"/>
              </w:rPr>
              <w:t xml:space="preserve">services/aiCache.js — 5-minute TTL, capped entry count</w:t>
            </w:r>
          </w:p>
        </w:tc>
      </w:tr>
      <w:tr>
        <w:tc>
          <w:tcPr>
            <w:tcW w:type="pct" w:w="8%"/>
            <w:tcMar>
              <w:top w:type="dxa" w:w="80"/>
              <w:left w:type="dxa" w:w="120"/>
              <w:bottom w:type="dxa" w:w="80"/>
              <w:right w:type="dxa" w:w="120"/>
            </w:tcMar>
          </w:tcPr>
          <w:p>
            <w:r>
              <w:rPr>
                <w:sz w:val="20"/>
                <w:szCs w:val="20"/>
              </w:rPr>
              <w:t xml:space="preserve">25</w:t>
            </w:r>
          </w:p>
        </w:tc>
        <w:tc>
          <w:tcPr>
            <w:tcW w:type="pct" w:w="46%"/>
            <w:tcMar>
              <w:top w:type="dxa" w:w="80"/>
              <w:left w:type="dxa" w:w="120"/>
              <w:bottom w:type="dxa" w:w="80"/>
              <w:right w:type="dxa" w:w="120"/>
            </w:tcMar>
          </w:tcPr>
          <w:p>
            <w:r>
              <w:rPr>
                <w:sz w:val="20"/>
                <w:szCs w:val="20"/>
              </w:rPr>
              <w:t xml:space="preserve">Fallback path when the model is unavailable</w:t>
            </w:r>
          </w:p>
        </w:tc>
        <w:tc>
          <w:tcPr>
            <w:tcW w:type="pct" w:w="18%"/>
            <w:tcMar>
              <w:top w:type="dxa" w:w="80"/>
              <w:left w:type="dxa" w:w="120"/>
              <w:bottom w:type="dxa" w:w="80"/>
              <w:right w:type="dxa" w:w="120"/>
            </w:tcMar>
          </w:tcPr>
          <w:p>
            <w:r>
              <w:rPr>
                <w:color w:val="166534"/>
                <w:sz w:val="20"/>
                <w:szCs w:val="20"/>
              </w:rPr>
              <w:t xml:space="preserve">Already implemented</w:t>
            </w:r>
          </w:p>
        </w:tc>
        <w:tc>
          <w:tcPr>
            <w:tcW w:type="pct" w:w="28%"/>
            <w:tcMar>
              <w:top w:type="dxa" w:w="80"/>
              <w:left w:type="dxa" w:w="120"/>
              <w:bottom w:type="dxa" w:w="80"/>
              <w:right w:type="dxa" w:w="120"/>
            </w:tcMar>
          </w:tcPr>
          <w:p>
            <w:r>
              <w:rPr>
                <w:color w:val="6B7280"/>
                <w:sz w:val="20"/>
                <w:szCs w:val="20"/>
              </w:rPr>
              <w:t xml:space="preserve">every AI service reports mode: "ai" | "fallback"</w:t>
            </w:r>
          </w:p>
        </w:tc>
      </w:tr>
      <w:tr>
        <w:tc>
          <w:tcPr>
            <w:tcW w:type="pct" w:w="8%"/>
            <w:tcMar>
              <w:top w:type="dxa" w:w="80"/>
              <w:left w:type="dxa" w:w="120"/>
              <w:bottom w:type="dxa" w:w="80"/>
              <w:right w:type="dxa" w:w="120"/>
            </w:tcMar>
          </w:tcPr>
          <w:p>
            <w:r>
              <w:rPr>
                <w:sz w:val="20"/>
                <w:szCs w:val="20"/>
              </w:rPr>
              <w:t xml:space="preserve">25</w:t>
            </w:r>
          </w:p>
        </w:tc>
        <w:tc>
          <w:tcPr>
            <w:tcW w:type="pct" w:w="46%"/>
            <w:tcMar>
              <w:top w:type="dxa" w:w="80"/>
              <w:left w:type="dxa" w:w="120"/>
              <w:bottom w:type="dxa" w:w="80"/>
              <w:right w:type="dxa" w:w="120"/>
            </w:tcMar>
          </w:tcPr>
          <w:p>
            <w:r>
              <w:rPr>
                <w:sz w:val="20"/>
                <w:szCs w:val="20"/>
              </w:rPr>
              <w:t xml:space="preserve">Usage / cost tracking</w:t>
            </w:r>
          </w:p>
        </w:tc>
        <w:tc>
          <w:tcPr>
            <w:tcW w:type="pct" w:w="18%"/>
            <w:tcMar>
              <w:top w:type="dxa" w:w="80"/>
              <w:left w:type="dxa" w:w="120"/>
              <w:bottom w:type="dxa" w:w="80"/>
              <w:right w:type="dxa" w:w="120"/>
            </w:tcMar>
          </w:tcPr>
          <w:p>
            <w:r>
              <w:rPr>
                <w:color w:val="166534"/>
                <w:sz w:val="20"/>
                <w:szCs w:val="20"/>
              </w:rPr>
              <w:t xml:space="preserve">Already implemented</w:t>
            </w:r>
          </w:p>
        </w:tc>
        <w:tc>
          <w:tcPr>
            <w:tcW w:type="pct" w:w="28%"/>
            <w:tcMar>
              <w:top w:type="dxa" w:w="80"/>
              <w:left w:type="dxa" w:w="120"/>
              <w:bottom w:type="dxa" w:w="80"/>
              <w:right w:type="dxa" w:w="120"/>
            </w:tcMar>
          </w:tcPr>
          <w:p>
            <w:r>
              <w:rPr>
                <w:color w:val="6B7280"/>
                <w:sz w:val="20"/>
                <w:szCs w:val="20"/>
              </w:rPr>
              <w:t xml:space="preserve">services/aiUsageService.js, models/AiUsageLog.js, GET /api/internal/ai-usage</w:t>
            </w:r>
          </w:p>
        </w:tc>
      </w:tr>
    </w:tbl>
    <w:p>
      <w:r>
        <w:br w:type="page"/>
      </w:r>
    </w:p>
    <w:p>
      <w:pPr>
        <w:pStyle w:val="Heading1"/>
        <w:spacing w:after="200" w:before="360"/>
      </w:pPr>
      <w:r>
        <w:rPr>
          <w:b/>
          <w:bCs/>
          <w:color w:val="1F2937"/>
        </w:rPr>
        <w:t xml:space="preserve">3. What was actually built in this pass</w:t>
      </w:r>
    </w:p>
    <w:p>
      <w:pPr>
        <w:spacing w:after="120" w:before="0"/>
      </w:pPr>
      <w:r>
        <w:rPr>
          <w:color w:val="111827"/>
          <w:sz w:val="22"/>
          <w:szCs w:val="22"/>
        </w:rPr>
        <w:t xml:space="preserve">Four items were genuinely missing, or worth doing properly rather than partially. Each is explained below with the reasoning behind the approach taken, not just the fact that it now exists — the "be prepared to explain" section of the feedback specifically asked for that.</w:t>
      </w:r>
    </w:p>
    <w:p>
      <w:pPr>
        <w:pStyle w:val="Heading2"/>
        <w:spacing w:after="140" w:before="280"/>
      </w:pPr>
      <w:r>
        <w:rPr>
          <w:b/>
          <w:bCs/>
          <w:color w:val="2563EB"/>
        </w:rPr>
        <w:t xml:space="preserve">3.1  Styled confirmation dialogs</w:t>
      </w:r>
    </w:p>
    <w:p>
      <w:pPr>
        <w:spacing w:after="120" w:before="0"/>
      </w:pPr>
      <w:r>
        <w:rPr>
          <w:color w:val="111827"/>
          <w:sz w:val="22"/>
          <w:szCs w:val="22"/>
        </w:rPr>
        <w:t xml:space="preserve">Every destructive action (deleting a customer, an order, a product or a user; deactivating an account; rejecting a pending signup; cancelling an order; removing a saved address) already asked for confirmation — through the browser’s native window.confirm(). That function works, but it is styled by the operating system rather than the app, and it blocks the entire tab synchronously while open.</w:t>
      </w:r>
    </w:p>
    <w:p>
      <w:pPr>
        <w:spacing w:after="120" w:before="0"/>
      </w:pPr>
      <w:r>
        <w:rPr>
          <w:color w:val="111827"/>
          <w:sz w:val="22"/>
          <w:szCs w:val="22"/>
        </w:rPr>
        <w:t xml:space="preserve">The replacement, components/ConfirmDialog.jsx, keeps the exact same call shape on purpose:</w:t>
      </w:r>
    </w:p>
    <w:p>
      <w:pPr>
        <w:shd w:fill="F3F4F6" w:val="clear"/>
        <w:spacing w:after="80"/>
      </w:pPr>
      <w:r>
        <w:rPr>
          <w:rFonts w:ascii="Consolas" w:cs="Consolas" w:eastAsia="Consolas" w:hAnsi="Consolas"/>
          <w:color w:val="374151"/>
          <w:sz w:val="20"/>
          <w:szCs w:val="20"/>
        </w:rPr>
        <w:t xml:space="preserve">const confirm = useConfirm();</w:t>
      </w:r>
    </w:p>
    <w:p>
      <w:pPr>
        <w:shd w:fill="F3F4F6" w:val="clear"/>
        <w:spacing w:after="80"/>
      </w:pPr>
      <w:r>
        <w:rPr>
          <w:rFonts w:ascii="Consolas" w:cs="Consolas" w:eastAsia="Consolas" w:hAnsi="Consolas"/>
          <w:color w:val="374151"/>
          <w:sz w:val="20"/>
          <w:szCs w:val="20"/>
        </w:rPr>
        <w:t xml:space="preserve">const ok = await confirm('Delete this order? This cannot be undone.', { tone: 'danger' });</w:t>
      </w:r>
    </w:p>
    <w:p>
      <w:pPr>
        <w:shd w:fill="F3F4F6" w:val="clear"/>
        <w:spacing w:after="80"/>
      </w:pPr>
      <w:r>
        <w:rPr>
          <w:rFonts w:ascii="Consolas" w:cs="Consolas" w:eastAsia="Consolas" w:hAnsi="Consolas"/>
          <w:color w:val="374151"/>
          <w:sz w:val="20"/>
          <w:szCs w:val="20"/>
        </w:rPr>
        <w:t xml:space="preserve">if (!ok) return;</w:t>
      </w:r>
    </w:p>
    <w:p>
      <w:pPr>
        <w:spacing w:after="120" w:before="0"/>
      </w:pPr>
      <w:r>
        <w:rPr>
          <w:color w:val="111827"/>
          <w:sz w:val="22"/>
          <w:szCs w:val="22"/>
        </w:rPr>
        <w:t xml:space="preserve">A React context provider (ConfirmProvider, mounted once in App.jsx next to the existing ToastProvider) holds at most one pending confirmation as a Promise whose resolver is stashed until the dialog is answered — the same pattern the existing Toast system already used for notifications, so the codebase gained no new architectural idea, just a second instance of one it already trusted.</w:t>
      </w:r>
    </w:p>
    <w:p>
      <w:pPr>
        <w:spacing w:after="80" w:before="0"/>
      </w:pPr>
      <w:r>
        <w:rPr>
          <w:b/>
          <w:bCs/>
          <w:color w:val="111827"/>
          <w:sz w:val="22"/>
          <w:szCs w:val="22"/>
        </w:rPr>
        <w:t xml:space="preserve">Accessibility details that matter in a real dialog, not just a visual one:</w:t>
      </w:r>
    </w:p>
    <w:p>
      <w:pPr>
        <w:pStyle w:val="ListParagraph"/>
        <w:numPr>
          <w:ilvl w:val="0"/>
          <w:numId w:val="1"/>
        </w:numPr>
        <w:spacing w:after="60" w:before="0"/>
      </w:pPr>
      <w:r>
        <w:rPr>
          <w:color w:val="111827"/>
          <w:sz w:val="22"/>
          <w:szCs w:val="22"/>
        </w:rPr>
        <w:t xml:space="preserve">role="alertdialog" with aria-modal, aria-labelledby and aria-describedby</w:t>
      </w:r>
    </w:p>
    <w:p>
      <w:pPr>
        <w:pStyle w:val="ListParagraph"/>
        <w:numPr>
          <w:ilvl w:val="0"/>
          <w:numId w:val="1"/>
        </w:numPr>
        <w:spacing w:after="60" w:before="0"/>
      </w:pPr>
      <w:r>
        <w:rPr>
          <w:color w:val="111827"/>
          <w:sz w:val="22"/>
          <w:szCs w:val="22"/>
        </w:rPr>
        <w:t xml:space="preserve">Escape cancels; clicking the backdrop cancels; clicking inside the dialog does not</w:t>
      </w:r>
    </w:p>
    <w:p>
      <w:pPr>
        <w:pStyle w:val="ListParagraph"/>
        <w:numPr>
          <w:ilvl w:val="0"/>
          <w:numId w:val="1"/>
        </w:numPr>
        <w:spacing w:after="60" w:before="0"/>
      </w:pPr>
      <w:r>
        <w:rPr>
          <w:color w:val="111827"/>
          <w:sz w:val="22"/>
          <w:szCs w:val="22"/>
        </w:rPr>
        <w:t xml:space="preserve">Focus lands on the confirming button on open, matching window.confirm’s own behaviour where Enter agrees</w:t>
      </w:r>
    </w:p>
    <w:p>
      <w:pPr>
        <w:spacing w:after="120" w:before="120"/>
      </w:pPr>
      <w:r>
        <w:rPr>
          <w:color w:val="111827"/>
          <w:sz w:val="22"/>
          <w:szCs w:val="22"/>
        </w:rPr>
        <w:t xml:space="preserve">Updated in 7 files, 9 call sites: CustomerDetail.jsx, OrderDetail.jsx (x2), ProductDetail.jsx, UserList.jsx (x2), PendingApprovals.jsx, BuyerOrderDetail.jsx, BuyerAccount.jsx.</w:t>
      </w:r>
    </w:p>
    <w:p>
      <w:pPr>
        <w:pStyle w:val="Heading2"/>
        <w:spacing w:after="140" w:before="280"/>
      </w:pPr>
      <w:r>
        <w:rPr>
          <w:b/>
          <w:bCs/>
          <w:color w:val="2563EB"/>
        </w:rPr>
        <w:t xml:space="preserve">3.2  Authentication events on the audit trail</w:t>
      </w:r>
    </w:p>
    <w:p>
      <w:pPr>
        <w:spacing w:after="120" w:before="0"/>
      </w:pPr>
      <w:r>
        <w:rPr>
          <w:color w:val="111827"/>
          <w:sz w:val="22"/>
          <w:szCs w:val="22"/>
        </w:rPr>
        <w:t xml:space="preserve">Before this pass, a sign-in only ever reached the plain-text pino log and, on success, a RefreshToken row — neither is queryable from inside the app, and neither records a WRONG password attempt at all. "Has somebody been guessing at this account" is exactly the kind of question an audit trail exists to answer.</w:t>
      </w:r>
    </w:p>
    <w:p>
      <w:pPr>
        <w:spacing w:after="120" w:before="0"/>
      </w:pPr>
      <w:r>
        <w:rPr>
          <w:b/>
          <w:bCs/>
          <w:color w:val="111827"/>
          <w:sz w:val="22"/>
          <w:szCs w:val="22"/>
        </w:rPr>
        <w:t xml:space="preserve">Three new action values were added to the existing AuditLog schema: login, login_failed, logout.</w:t>
      </w:r>
    </w:p>
    <w:p>
      <w:pPr>
        <w:pStyle w:val="ListParagraph"/>
        <w:numPr>
          <w:ilvl w:val="0"/>
          <w:numId w:val="1"/>
        </w:numPr>
        <w:spacing w:after="60" w:before="0"/>
      </w:pPr>
      <w:r>
        <w:rPr>
          <w:color w:val="111827"/>
          <w:sz w:val="22"/>
          <w:szCs w:val="22"/>
        </w:rPr>
        <w:t xml:space="preserve">login and login_failed are written by the login controller — login_failed is only ever recorded against a REAL account, never a made-up email, for the same enumeration-safety reason the login endpoint already returns an identical error either way; the per-IP rate limiter is the defence against a stranger guessing at addresses in bulk.</w:t>
      </w:r>
    </w:p>
    <w:p>
      <w:pPr>
        <w:pStyle w:val="ListParagraph"/>
        <w:numPr>
          <w:ilvl w:val="0"/>
          <w:numId w:val="1"/>
        </w:numPr>
        <w:spacing w:after="60" w:before="0"/>
      </w:pPr>
      <w:r>
        <w:rPr>
          <w:color w:val="111827"/>
          <w:sz w:val="22"/>
          <w:szCs w:val="22"/>
        </w:rPr>
        <w:t xml:space="preserve">logout required a small, deliberate change: the route runs before the session-checking middleware (a client with an already-expired access token still has to be able to log out), so there is no req.user to attach the entry to. revokeToken() in sessionService.js was changed to look up and return the token’s owner before revoking it, which is the one place that still knows who was signed in.</w:t>
      </w:r>
    </w:p>
    <w:p>
      <w:pPr>
        <w:spacing w:after="120" w:before="0"/>
      </w:pPr>
      <w:r>
        <w:rPr>
          <w:color w:val="111827"/>
          <w:sz w:val="22"/>
          <w:szCs w:val="22"/>
        </w:rPr>
        <w:t xml:space="preserve">The audit trail’s write helper (auditService.recordAudit) gained an optional actor override for exactly this case, rather than assuming req.user is always the actor — backward compatible with every one of its ~36 existing call sites.</w:t>
      </w:r>
    </w:p>
    <w:p>
      <w:pPr>
        <w:pStyle w:val="Heading2"/>
        <w:spacing w:after="140" w:before="280"/>
      </w:pPr>
      <w:r>
        <w:rPr>
          <w:b/>
          <w:bCs/>
          <w:color w:val="2563EB"/>
        </w:rPr>
        <w:t xml:space="preserve">3.3  Index on Customer.email</w:t>
      </w:r>
    </w:p>
    <w:p>
      <w:pPr>
        <w:spacing w:after="120" w:before="0"/>
      </w:pPr>
      <w:r>
        <w:rPr>
          <w:color w:val="111827"/>
          <w:sz w:val="22"/>
          <w:szCs w:val="22"/>
        </w:rPr>
        <w:t xml:space="preserve">Customer.email had a regex format validator but no database index at all. The unsubscribe flow, contact merging, and the Excel customer-import’s duplicate check all look a customer up by email — every one of those was a full collection scan.</w:t>
      </w:r>
    </w:p>
    <w:p>
      <w:pPr>
        <w:spacing w:after="120" w:before="0"/>
      </w:pPr>
      <w:r>
        <w:rPr>
          <w:color w:val="111827"/>
          <w:sz w:val="22"/>
          <w:szCs w:val="22"/>
        </w:rPr>
        <w:t xml:space="preserve">The index added is deliberately NOT unique. Two customers can legitimately share one email address — a shared company inbox is the obvious case — and the customer-import feature (built in an earlier round) already depends on that being allowed: a duplicate is skipped by application logic, not refused by the database. A unique index would have silently broken that.</w:t>
      </w:r>
    </w:p>
    <w:p>
      <w:pPr>
        <w:pStyle w:val="Heading2"/>
        <w:spacing w:after="140" w:before="280"/>
      </w:pPr>
      <w:r>
        <w:rPr>
          <w:b/>
          <w:bCs/>
          <w:color w:val="2563EB"/>
        </w:rPr>
        <w:t xml:space="preserve">3.4  Email verification (staff and buyer accounts)</w:t>
      </w:r>
    </w:p>
    <w:p>
      <w:pPr>
        <w:spacing w:after="120" w:before="0"/>
      </w:pPr>
      <w:r>
        <w:rPr>
          <w:color w:val="111827"/>
          <w:sz w:val="22"/>
          <w:szCs w:val="22"/>
        </w:rPr>
        <w:t xml:space="preserve">The one item on the whole list that was genuinely absent. Built for both account types — staff (User) and storefront buyers (Buyer) — sharing one model and one service rather than two parallel copies, since a verification token behaves identically for either kind of account.</w:t>
      </w:r>
    </w:p>
    <w:p>
      <w:pPr>
        <w:pStyle w:val="Heading3"/>
        <w:spacing w:after="100" w:before="200"/>
      </w:pPr>
      <w:r>
        <w:rPr>
          <w:b/>
          <w:bCs/>
          <w:color w:val="111827"/>
        </w:rPr>
        <w:t xml:space="preserve">Design decision: it never gates anything</w:t>
      </w:r>
    </w:p>
    <w:p>
      <w:pPr>
        <w:spacing w:after="120" w:before="0"/>
      </w:pPr>
      <w:r>
        <w:rPr>
          <w:color w:val="111827"/>
          <w:sz w:val="22"/>
          <w:szCs w:val="22"/>
        </w:rPr>
        <w:t xml:space="preserve">Neither middleware/auth.js nor middleware/buyerAuth.js checks the emailVerified flag. This mirrors how the app already treats marketing consent — informational, not access-controlling. Two concrete reasons:</w:t>
      </w:r>
    </w:p>
    <w:p>
      <w:pPr>
        <w:pStyle w:val="ListParagraph"/>
        <w:numPr>
          <w:ilvl w:val="0"/>
          <w:numId w:val="1"/>
        </w:numPr>
        <w:spacing w:after="60" w:before="0"/>
      </w:pPr>
      <w:r>
        <w:rPr>
          <w:color w:val="111827"/>
          <w:sz w:val="22"/>
          <w:szCs w:val="22"/>
        </w:rPr>
        <w:t xml:space="preserve">A staff self-signup already cannot sign in until an admin approves it, regardless of email verification — adding a second, redundant gate would not make the account any safer, just slower to activate.</w:t>
      </w:r>
    </w:p>
    <w:p>
      <w:pPr>
        <w:pStyle w:val="ListParagraph"/>
        <w:numPr>
          <w:ilvl w:val="0"/>
          <w:numId w:val="1"/>
        </w:numPr>
        <w:spacing w:after="60" w:before="0"/>
      </w:pPr>
      <w:r>
        <w:rPr>
          <w:color w:val="111827"/>
          <w:sz w:val="22"/>
          <w:szCs w:val="22"/>
        </w:rPr>
        <w:t xml:space="preserve">For a storefront buyer, blocking checkout until a link is clicked is a real, measurable conversion cost for no corresponding security benefit — nothing about placing an order depends on the email being provably real the way, say, a password-reset destination does.</w:t>
      </w:r>
    </w:p>
    <w:p>
      <w:pPr>
        <w:pStyle w:val="Heading3"/>
        <w:spacing w:after="100" w:before="200"/>
      </w:pPr>
      <w:r>
        <w:rPr>
          <w:b/>
          <w:bCs/>
          <w:color w:val="111827"/>
        </w:rPr>
        <w:t xml:space="preserve">Two account paths are already treated as verified, and why</w:t>
      </w:r>
    </w:p>
    <w:p>
      <w:pPr>
        <w:pStyle w:val="ListParagraph"/>
        <w:numPr>
          <w:ilvl w:val="0"/>
          <w:numId w:val="1"/>
        </w:numPr>
        <w:spacing w:after="60" w:before="0"/>
      </w:pPr>
      <w:r>
        <w:rPr>
          <w:color w:val="111827"/>
          <w:sz w:val="22"/>
          <w:szCs w:val="22"/>
        </w:rPr>
        <w:t xml:space="preserve">The first account created on an empty database (the bootstrap admin) — there is nobody else to prove control of the mailbox to.</w:t>
      </w:r>
    </w:p>
    <w:p>
      <w:pPr>
        <w:pStyle w:val="ListParagraph"/>
        <w:numPr>
          <w:ilvl w:val="0"/>
          <w:numId w:val="1"/>
        </w:numPr>
        <w:spacing w:after="60" w:before="0"/>
      </w:pPr>
      <w:r>
        <w:rPr>
          <w:color w:val="111827"/>
          <w:sz w:val="22"/>
          <w:szCs w:val="22"/>
        </w:rPr>
        <w:t xml:space="preserve">An account activated by accepting an admin’s invite — clicking a unique link that only that mailbox could have received IS proof of control; sending a second, separate "confirm your email" link afterwards would be redundant.</w:t>
      </w:r>
    </w:p>
    <w:p>
      <w:pPr>
        <w:pStyle w:val="Heading3"/>
        <w:spacing w:after="100" w:before="200"/>
      </w:pPr>
      <w:r>
        <w:rPr>
          <w:b/>
          <w:bCs/>
          <w:color w:val="111827"/>
        </w:rPr>
        <w:t xml:space="preserve">The mechanics</w:t>
      </w:r>
    </w:p>
    <w:p>
      <w:pPr>
        <w:pStyle w:val="ListParagraph"/>
        <w:numPr>
          <w:ilvl w:val="0"/>
          <w:numId w:val="1"/>
        </w:numPr>
        <w:spacing w:after="60" w:before="0"/>
      </w:pPr>
      <w:r>
        <w:rPr>
          <w:color w:val="111827"/>
          <w:sz w:val="22"/>
          <w:szCs w:val="22"/>
        </w:rPr>
        <w:t xml:space="preserve">models/EmailVerificationToken.js — SHA-256 hashed, single-use, 7-day expiry, auto-pruned by a TTL index. Shaped almost exactly like the existing PasswordResetToken model.</w:t>
      </w:r>
    </w:p>
    <w:p>
      <w:pPr>
        <w:pStyle w:val="ListParagraph"/>
        <w:numPr>
          <w:ilvl w:val="0"/>
          <w:numId w:val="1"/>
        </w:numPr>
        <w:spacing w:after="60" w:before="0"/>
      </w:pPr>
      <w:r>
        <w:rPr>
          <w:color w:val="111827"/>
          <w:sz w:val="22"/>
          <w:szCs w:val="22"/>
        </w:rPr>
        <w:t xml:space="preserve">services/emailVerificationService.js — issue, peek (read-only check), verify (redeems), resend.</w:t>
      </w:r>
    </w:p>
    <w:p>
      <w:pPr>
        <w:pStyle w:val="ListParagraph"/>
        <w:numPr>
          <w:ilvl w:val="0"/>
          <w:numId w:val="1"/>
        </w:numPr>
        <w:spacing w:after="60" w:before="0"/>
      </w:pPr>
      <w:r>
        <w:rPr>
          <w:color w:val="111827"/>
          <w:sz w:val="22"/>
          <w:szCs w:val="22"/>
        </w:rPr>
        <w:t xml:space="preserve">GET checks validity without side effects; POST is what actually redeems the token — the same split the existing unsubscribe flow uses, and for the same reason: a mail client or security scanner that prefetches links in an email must not be able to silently burn a real user’s one-time token before a human ever clicks it.</w:t>
      </w:r>
    </w:p>
    <w:p>
      <w:pPr>
        <w:pStyle w:val="ListParagraph"/>
        <w:numPr>
          <w:ilvl w:val="0"/>
          <w:numId w:val="1"/>
        </w:numPr>
        <w:spacing w:after="60" w:before="0"/>
      </w:pPr>
      <w:r>
        <w:rPr>
          <w:color w:val="111827"/>
          <w:sz w:val="22"/>
          <w:szCs w:val="22"/>
        </w:rPr>
        <w:t xml:space="preserve">Two new pages (pages/VerifyEmail.jsx for staff, pages/shop/VerifyEmail.jsx for buyers), a resend control on each account settings page, and dedicated rate limiters (verificationLimiter, shopVerificationLimiter) kept deliberately separate from the staff/buyer login limiters — the existing codebase convention against sharing a rate budget between the two tracks from the same office IP address.</w:t>
      </w:r>
    </w:p>
    <w:p>
      <w:pPr>
        <w:spacing w:after="120" w:before="0"/>
      </w:pPr>
      <w:r>
        <w:rPr>
          <w:i/>
          <w:iCs/>
          <w:color w:val="6B7280"/>
          <w:sz w:val="22"/>
          <w:szCs w:val="22"/>
        </w:rPr>
        <w:t xml:space="preserve">A genuine bug was caught and fixed during testing: the first version fired the verification email without awaiting it (a well-intentioned "must not fail registration on a mail outage" instinct), which raced the HTTP response and made the test suite — and, in principle, production — unreliable. Fixed to match the existing pattern already used for the admin sign-up notification: awaited, with the failure swallowed INSIDE the function rather than left to finish on its own time.</w:t>
      </w:r>
    </w:p>
    <w:p>
      <w:r>
        <w:br w:type="page"/>
      </w:r>
    </w:p>
    <w:p>
      <w:pPr>
        <w:pStyle w:val="Heading1"/>
        <w:spacing w:after="200" w:before="360"/>
      </w:pPr>
      <w:r>
        <w:rPr>
          <w:b/>
          <w:bCs/>
          <w:color w:val="1F2937"/>
        </w:rPr>
        <w:t xml:space="preserve">4. Where the tests are, and what they prove</w:t>
      </w:r>
    </w:p>
    <w:p>
      <w:pPr>
        <w:spacing w:after="120" w:before="0"/>
      </w:pPr>
      <w:r>
        <w:rPr>
          <w:color w:val="111827"/>
          <w:sz w:val="22"/>
          <w:szCs w:val="22"/>
        </w:rPr>
        <w:t xml:space="preserve">58 backend test files and 30 frontend test files exist in the repository today. This section is not an exhaustive list of all of them — the ones most relevant to this document’s claims are below, with what each one is actually asserting, not just its name.</w:t>
      </w:r>
    </w:p>
    <w:p>
      <w:pPr>
        <w:pStyle w:val="Heading2"/>
        <w:spacing w:after="140" w:before="280"/>
      </w:pPr>
      <w:r>
        <w:rPr>
          <w:b/>
          <w:bCs/>
          <w:color w:val="2563EB"/>
        </w:rPr>
        <w:t xml:space="preserve">4.1  Security and auth (backend)</w:t>
      </w:r>
    </w:p>
    <w:tbl>
      <w:tblPr>
        <w:tblW w:type="pct" w:w="100%"/>
        <w:tblBorders>
          <w:top w:val="single" w:color="D1D5DB" w:sz="4"/>
          <w:left w:val="single" w:color="D1D5DB" w:sz="4"/>
          <w:bottom w:val="single" w:color="D1D5DB" w:sz="4"/>
          <w:right w:val="single" w:color="D1D5DB" w:sz="4"/>
          <w:insideH w:val="single" w:color="D1D5DB" w:sz="2"/>
          <w:insideV w:val="single" w:color="D1D5DB" w:sz="2"/>
        </w:tblBorders>
      </w:tblPr>
      <w:tblGrid>
        <w:gridCol w:w="100"/>
        <w:gridCol w:w="100"/>
        <w:gridCol w:w="100"/>
      </w:tblGrid>
      <w:tr>
        <w:trPr>
          <w:tblHeader/>
        </w:trPr>
        <w:tc>
          <w:tcPr>
            <w:tcW w:type="pct" w:w="28%"/>
            <w:shd w:fill="EEF2FF" w:val="clear"/>
            <w:tcMar>
              <w:top w:type="dxa" w:w="80"/>
              <w:left w:type="dxa" w:w="120"/>
              <w:bottom w:type="dxa" w:w="80"/>
              <w:right w:type="dxa" w:w="120"/>
            </w:tcMar>
          </w:tcPr>
          <w:p>
            <w:r>
              <w:rPr>
                <w:b/>
                <w:bCs/>
                <w:sz w:val="20"/>
                <w:szCs w:val="20"/>
              </w:rPr>
              <w:t xml:space="preserve">File</w:t>
            </w:r>
          </w:p>
        </w:tc>
        <w:tc>
          <w:tcPr>
            <w:tcW w:type="pct" w:w="12%"/>
            <w:shd w:fill="EEF2FF" w:val="clear"/>
            <w:tcMar>
              <w:top w:type="dxa" w:w="80"/>
              <w:left w:type="dxa" w:w="120"/>
              <w:bottom w:type="dxa" w:w="80"/>
              <w:right w:type="dxa" w:w="120"/>
            </w:tcMar>
          </w:tcPr>
          <w:p>
            <w:r>
              <w:rPr>
                <w:b/>
                <w:bCs/>
                <w:sz w:val="20"/>
                <w:szCs w:val="20"/>
              </w:rPr>
              <w:t xml:space="preserve">Layer</w:t>
            </w:r>
          </w:p>
        </w:tc>
        <w:tc>
          <w:tcPr>
            <w:tcW w:type="pct" w:w="60%"/>
            <w:shd w:fill="EEF2FF" w:val="clear"/>
            <w:tcMar>
              <w:top w:type="dxa" w:w="80"/>
              <w:left w:type="dxa" w:w="120"/>
              <w:bottom w:type="dxa" w:w="80"/>
              <w:right w:type="dxa" w:w="120"/>
            </w:tcMar>
          </w:tcPr>
          <w:p>
            <w:r>
              <w:rPr>
                <w:b/>
                <w:bCs/>
                <w:sz w:val="20"/>
                <w:szCs w:val="20"/>
              </w:rPr>
              <w:t xml:space="preserve">What it proves</w:t>
            </w:r>
          </w:p>
        </w:tc>
      </w:tr>
      <w:tr>
        <w:tc>
          <w:tcPr>
            <w:tcW w:type="pct" w:w="28%"/>
            <w:tcMar>
              <w:top w:type="dxa" w:w="80"/>
              <w:left w:type="dxa" w:w="120"/>
              <w:bottom w:type="dxa" w:w="80"/>
              <w:right w:type="dxa" w:w="120"/>
            </w:tcMar>
          </w:tcPr>
          <w:p>
            <w:r>
              <w:rPr>
                <w:rFonts w:ascii="Consolas" w:cs="Consolas" w:eastAsia="Consolas" w:hAnsi="Consolas"/>
                <w:color w:val="7C3AED"/>
                <w:sz w:val="20"/>
                <w:szCs w:val="20"/>
              </w:rPr>
              <w:t xml:space="preserve">tests/auth.test.js</w:t>
            </w:r>
          </w:p>
        </w:tc>
        <w:tc>
          <w:tcPr>
            <w:tcW w:type="pct" w:w="12%"/>
            <w:tcMar>
              <w:top w:type="dxa" w:w="80"/>
              <w:left w:type="dxa" w:w="120"/>
              <w:bottom w:type="dxa" w:w="80"/>
              <w:right w:type="dxa" w:w="120"/>
            </w:tcMar>
          </w:tcPr>
          <w:p>
            <w:r>
              <w:rPr>
                <w:color w:val="6B7280"/>
                <w:sz w:val="20"/>
                <w:szCs w:val="20"/>
              </w:rPr>
              <w:t xml:space="preserve">Backend</w:t>
            </w:r>
          </w:p>
        </w:tc>
        <w:tc>
          <w:tcPr>
            <w:tcW w:type="pct" w:w="60%"/>
            <w:tcMar>
              <w:top w:type="dxa" w:w="80"/>
              <w:left w:type="dxa" w:w="120"/>
              <w:bottom w:type="dxa" w:w="80"/>
              <w:right w:type="dxa" w:w="120"/>
            </w:tcMar>
          </w:tcPr>
          <w:p>
            <w:r>
              <w:rPr>
                <w:sz w:val="20"/>
                <w:szCs w:val="20"/>
              </w:rPr>
              <w:t xml:space="preserve">Registration, login, lockout interaction, and (new) that login / login_failed / logout are written to the audit trail with the right actor.</w:t>
            </w:r>
          </w:p>
        </w:tc>
      </w:tr>
      <w:tr>
        <w:tc>
          <w:tcPr>
            <w:tcW w:type="pct" w:w="28%"/>
            <w:tcMar>
              <w:top w:type="dxa" w:w="80"/>
              <w:left w:type="dxa" w:w="120"/>
              <w:bottom w:type="dxa" w:w="80"/>
              <w:right w:type="dxa" w:w="120"/>
            </w:tcMar>
          </w:tcPr>
          <w:p>
            <w:r>
              <w:rPr>
                <w:rFonts w:ascii="Consolas" w:cs="Consolas" w:eastAsia="Consolas" w:hAnsi="Consolas"/>
                <w:color w:val="7C3AED"/>
                <w:sz w:val="20"/>
                <w:szCs w:val="20"/>
              </w:rPr>
              <w:t xml:space="preserve">tests/emailVerification.test.js</w:t>
            </w:r>
          </w:p>
        </w:tc>
        <w:tc>
          <w:tcPr>
            <w:tcW w:type="pct" w:w="12%"/>
            <w:tcMar>
              <w:top w:type="dxa" w:w="80"/>
              <w:left w:type="dxa" w:w="120"/>
              <w:bottom w:type="dxa" w:w="80"/>
              <w:right w:type="dxa" w:w="120"/>
            </w:tcMar>
          </w:tcPr>
          <w:p>
            <w:r>
              <w:rPr>
                <w:color w:val="6B7280"/>
                <w:sz w:val="20"/>
                <w:szCs w:val="20"/>
              </w:rPr>
              <w:t xml:space="preserve">Backend</w:t>
            </w:r>
          </w:p>
        </w:tc>
        <w:tc>
          <w:tcPr>
            <w:tcW w:type="pct" w:w="60%"/>
            <w:tcMar>
              <w:top w:type="dxa" w:w="80"/>
              <w:left w:type="dxa" w:w="120"/>
              <w:bottom w:type="dxa" w:w="80"/>
              <w:right w:type="dxa" w:w="120"/>
            </w:tcMar>
          </w:tcPr>
          <w:p>
            <w:r>
              <w:rPr>
                <w:sz w:val="20"/>
                <w:szCs w:val="20"/>
              </w:rPr>
              <w:t xml:space="preserve">Bootstrap admin and invited users start pre-verified; a real self-signup is not; GET never consumes the token; a token cannot be redeemed twice; verification never blocks sign-in; staff and buyer tokens live in separate, non-crossing spaces.</w:t>
            </w:r>
          </w:p>
        </w:tc>
      </w:tr>
      <w:tr>
        <w:tc>
          <w:tcPr>
            <w:tcW w:type="pct" w:w="28%"/>
            <w:tcMar>
              <w:top w:type="dxa" w:w="80"/>
              <w:left w:type="dxa" w:w="120"/>
              <w:bottom w:type="dxa" w:w="80"/>
              <w:right w:type="dxa" w:w="120"/>
            </w:tcMar>
          </w:tcPr>
          <w:p>
            <w:r>
              <w:rPr>
                <w:rFonts w:ascii="Consolas" w:cs="Consolas" w:eastAsia="Consolas" w:hAnsi="Consolas"/>
                <w:color w:val="7C3AED"/>
                <w:sz w:val="20"/>
                <w:szCs w:val="20"/>
              </w:rPr>
              <w:t xml:space="preserve">tests/csrf.test.js</w:t>
            </w:r>
          </w:p>
        </w:tc>
        <w:tc>
          <w:tcPr>
            <w:tcW w:type="pct" w:w="12%"/>
            <w:tcMar>
              <w:top w:type="dxa" w:w="80"/>
              <w:left w:type="dxa" w:w="120"/>
              <w:bottom w:type="dxa" w:w="80"/>
              <w:right w:type="dxa" w:w="120"/>
            </w:tcMar>
          </w:tcPr>
          <w:p>
            <w:r>
              <w:rPr>
                <w:color w:val="6B7280"/>
                <w:sz w:val="20"/>
                <w:szCs w:val="20"/>
              </w:rPr>
              <w:t xml:space="preserve">Backend</w:t>
            </w:r>
          </w:p>
        </w:tc>
        <w:tc>
          <w:tcPr>
            <w:tcW w:type="pct" w:w="60%"/>
            <w:tcMar>
              <w:top w:type="dxa" w:w="80"/>
              <w:left w:type="dxa" w:w="120"/>
              <w:bottom w:type="dxa" w:w="80"/>
              <w:right w:type="dxa" w:w="120"/>
            </w:tcMar>
          </w:tcPr>
          <w:p>
            <w:r>
              <w:rPr>
                <w:sz w:val="20"/>
                <w:szCs w:val="20"/>
              </w:rPr>
              <w:t xml:space="preserve">A write with the session cookie but no CSRF header is rejected; a mismatched header is rejected; every write verb is protected, not just POST.</w:t>
            </w:r>
          </w:p>
        </w:tc>
      </w:tr>
      <w:tr>
        <w:tc>
          <w:tcPr>
            <w:tcW w:type="pct" w:w="28%"/>
            <w:tcMar>
              <w:top w:type="dxa" w:w="80"/>
              <w:left w:type="dxa" w:w="120"/>
              <w:bottom w:type="dxa" w:w="80"/>
              <w:right w:type="dxa" w:w="120"/>
            </w:tcMar>
          </w:tcPr>
          <w:p>
            <w:r>
              <w:rPr>
                <w:rFonts w:ascii="Consolas" w:cs="Consolas" w:eastAsia="Consolas" w:hAnsi="Consolas"/>
                <w:color w:val="7C3AED"/>
                <w:sz w:val="20"/>
                <w:szCs w:val="20"/>
              </w:rPr>
              <w:t xml:space="preserve">tests/rateLimit.test.js</w:t>
            </w:r>
          </w:p>
        </w:tc>
        <w:tc>
          <w:tcPr>
            <w:tcW w:type="pct" w:w="12%"/>
            <w:tcMar>
              <w:top w:type="dxa" w:w="80"/>
              <w:left w:type="dxa" w:w="120"/>
              <w:bottom w:type="dxa" w:w="80"/>
              <w:right w:type="dxa" w:w="120"/>
            </w:tcMar>
          </w:tcPr>
          <w:p>
            <w:r>
              <w:rPr>
                <w:color w:val="6B7280"/>
                <w:sz w:val="20"/>
                <w:szCs w:val="20"/>
              </w:rPr>
              <w:t xml:space="preserve">Backend</w:t>
            </w:r>
          </w:p>
        </w:tc>
        <w:tc>
          <w:tcPr>
            <w:tcW w:type="pct" w:w="60%"/>
            <w:tcMar>
              <w:top w:type="dxa" w:w="80"/>
              <w:left w:type="dxa" w:w="120"/>
              <w:bottom w:type="dxa" w:w="80"/>
              <w:right w:type="dxa" w:w="120"/>
            </w:tcMar>
          </w:tcPr>
          <w:p>
            <w:r>
              <w:rPr>
                <w:sz w:val="20"/>
                <w:szCs w:val="20"/>
              </w:rPr>
              <w:t xml:space="preserve">Each limiter actually returns 429 past its threshold, reports Retry-After, and counts requests the controller itself refused (so a closed signup form cannot be hammered for free).</w:t>
            </w:r>
          </w:p>
        </w:tc>
      </w:tr>
      <w:tr>
        <w:tc>
          <w:tcPr>
            <w:tcW w:type="pct" w:w="28%"/>
            <w:tcMar>
              <w:top w:type="dxa" w:w="80"/>
              <w:left w:type="dxa" w:w="120"/>
              <w:bottom w:type="dxa" w:w="80"/>
              <w:right w:type="dxa" w:w="120"/>
            </w:tcMar>
          </w:tcPr>
          <w:p>
            <w:r>
              <w:rPr>
                <w:rFonts w:ascii="Consolas" w:cs="Consolas" w:eastAsia="Consolas" w:hAnsi="Consolas"/>
                <w:color w:val="7C3AED"/>
                <w:sz w:val="20"/>
                <w:szCs w:val="20"/>
              </w:rPr>
              <w:t xml:space="preserve">tests/password.test.js, breachedPasswords.test.js</w:t>
            </w:r>
          </w:p>
        </w:tc>
        <w:tc>
          <w:tcPr>
            <w:tcW w:type="pct" w:w="12%"/>
            <w:tcMar>
              <w:top w:type="dxa" w:w="80"/>
              <w:left w:type="dxa" w:w="120"/>
              <w:bottom w:type="dxa" w:w="80"/>
              <w:right w:type="dxa" w:w="120"/>
            </w:tcMar>
          </w:tcPr>
          <w:p>
            <w:r>
              <w:rPr>
                <w:color w:val="6B7280"/>
                <w:sz w:val="20"/>
                <w:szCs w:val="20"/>
              </w:rPr>
              <w:t xml:space="preserve">Backend</w:t>
            </w:r>
          </w:p>
        </w:tc>
        <w:tc>
          <w:tcPr>
            <w:tcW w:type="pct" w:w="60%"/>
            <w:tcMar>
              <w:top w:type="dxa" w:w="80"/>
              <w:left w:type="dxa" w:w="120"/>
              <w:bottom w:type="dxa" w:w="80"/>
              <w:right w:type="dxa" w:w="120"/>
            </w:tcMar>
          </w:tcPr>
          <w:p>
            <w:r>
              <w:rPr>
                <w:sz w:val="20"/>
                <w:szCs w:val="20"/>
              </w:rPr>
              <w:t xml:space="preserve">Every password-policy rule (length, composition, blocklist, leet-substitution, HIBP breach check) is enforced on all four password-setting paths.</w:t>
            </w:r>
          </w:p>
        </w:tc>
      </w:tr>
      <w:tr>
        <w:tc>
          <w:tcPr>
            <w:tcW w:type="pct" w:w="28%"/>
            <w:tcMar>
              <w:top w:type="dxa" w:w="80"/>
              <w:left w:type="dxa" w:w="120"/>
              <w:bottom w:type="dxa" w:w="80"/>
              <w:right w:type="dxa" w:w="120"/>
            </w:tcMar>
          </w:tcPr>
          <w:p>
            <w:r>
              <w:rPr>
                <w:rFonts w:ascii="Consolas" w:cs="Consolas" w:eastAsia="Consolas" w:hAnsi="Consolas"/>
                <w:color w:val="7C3AED"/>
                <w:sz w:val="20"/>
                <w:szCs w:val="20"/>
              </w:rPr>
              <w:t xml:space="preserve">tests/session.test.js</w:t>
            </w:r>
          </w:p>
        </w:tc>
        <w:tc>
          <w:tcPr>
            <w:tcW w:type="pct" w:w="12%"/>
            <w:tcMar>
              <w:top w:type="dxa" w:w="80"/>
              <w:left w:type="dxa" w:w="120"/>
              <w:bottom w:type="dxa" w:w="80"/>
              <w:right w:type="dxa" w:w="120"/>
            </w:tcMar>
          </w:tcPr>
          <w:p>
            <w:r>
              <w:rPr>
                <w:color w:val="6B7280"/>
                <w:sz w:val="20"/>
                <w:szCs w:val="20"/>
              </w:rPr>
              <w:t xml:space="preserve">Backend</w:t>
            </w:r>
          </w:p>
        </w:tc>
        <w:tc>
          <w:tcPr>
            <w:tcW w:type="pct" w:w="60%"/>
            <w:tcMar>
              <w:top w:type="dxa" w:w="80"/>
              <w:left w:type="dxa" w:w="120"/>
              <w:bottom w:type="dxa" w:w="80"/>
              <w:right w:type="dxa" w:w="120"/>
            </w:tcMar>
          </w:tcPr>
          <w:p>
            <w:r>
              <w:rPr>
                <w:sz w:val="20"/>
                <w:szCs w:val="20"/>
              </w:rPr>
              <w:t xml:space="preserve">Refresh-token rotation, and that presenting an already-rotated (reused) token revokes the whole session family.</w:t>
            </w:r>
          </w:p>
        </w:tc>
      </w:tr>
      <w:tr>
        <w:tc>
          <w:tcPr>
            <w:tcW w:type="pct" w:w="28%"/>
            <w:tcMar>
              <w:top w:type="dxa" w:w="80"/>
              <w:left w:type="dxa" w:w="120"/>
              <w:bottom w:type="dxa" w:w="80"/>
              <w:right w:type="dxa" w:w="120"/>
            </w:tcMar>
          </w:tcPr>
          <w:p>
            <w:r>
              <w:rPr>
                <w:rFonts w:ascii="Consolas" w:cs="Consolas" w:eastAsia="Consolas" w:hAnsi="Consolas"/>
                <w:color w:val="7C3AED"/>
                <w:sz w:val="20"/>
                <w:szCs w:val="20"/>
              </w:rPr>
              <w:t xml:space="preserve">tests/invite.test.js</w:t>
            </w:r>
          </w:p>
        </w:tc>
        <w:tc>
          <w:tcPr>
            <w:tcW w:type="pct" w:w="12%"/>
            <w:tcMar>
              <w:top w:type="dxa" w:w="80"/>
              <w:left w:type="dxa" w:w="120"/>
              <w:bottom w:type="dxa" w:w="80"/>
              <w:right w:type="dxa" w:w="120"/>
            </w:tcMar>
          </w:tcPr>
          <w:p>
            <w:r>
              <w:rPr>
                <w:color w:val="6B7280"/>
                <w:sz w:val="20"/>
                <w:szCs w:val="20"/>
              </w:rPr>
              <w:t xml:space="preserve">Backend</w:t>
            </w:r>
          </w:p>
        </w:tc>
        <w:tc>
          <w:tcPr>
            <w:tcW w:type="pct" w:w="60%"/>
            <w:tcMar>
              <w:top w:type="dxa" w:w="80"/>
              <w:left w:type="dxa" w:w="120"/>
              <w:bottom w:type="dxa" w:w="80"/>
              <w:right w:type="dxa" w:w="120"/>
            </w:tcMar>
          </w:tcPr>
          <w:p>
            <w:r>
              <w:rPr>
                <w:sz w:val="20"/>
                <w:szCs w:val="20"/>
              </w:rPr>
              <w:t xml:space="preserve">The full invite-to-active-account flow, including the token being single-use and the account being marked email-verified on acceptance.</w:t>
            </w:r>
          </w:p>
        </w:tc>
      </w:tr>
      <w:tr>
        <w:tc>
          <w:tcPr>
            <w:tcW w:type="pct" w:w="28%"/>
            <w:tcMar>
              <w:top w:type="dxa" w:w="80"/>
              <w:left w:type="dxa" w:w="120"/>
              <w:bottom w:type="dxa" w:w="80"/>
              <w:right w:type="dxa" w:w="120"/>
            </w:tcMar>
          </w:tcPr>
          <w:p>
            <w:r>
              <w:rPr>
                <w:rFonts w:ascii="Consolas" w:cs="Consolas" w:eastAsia="Consolas" w:hAnsi="Consolas"/>
                <w:color w:val="7C3AED"/>
                <w:sz w:val="20"/>
                <w:szCs w:val="20"/>
              </w:rPr>
              <w:t xml:space="preserve">tests/passwordReset.test.js</w:t>
            </w:r>
          </w:p>
        </w:tc>
        <w:tc>
          <w:tcPr>
            <w:tcW w:type="pct" w:w="12%"/>
            <w:tcMar>
              <w:top w:type="dxa" w:w="80"/>
              <w:left w:type="dxa" w:w="120"/>
              <w:bottom w:type="dxa" w:w="80"/>
              <w:right w:type="dxa" w:w="120"/>
            </w:tcMar>
          </w:tcPr>
          <w:p>
            <w:r>
              <w:rPr>
                <w:color w:val="6B7280"/>
                <w:sz w:val="20"/>
                <w:szCs w:val="20"/>
              </w:rPr>
              <w:t xml:space="preserve">Backend</w:t>
            </w:r>
          </w:p>
        </w:tc>
        <w:tc>
          <w:tcPr>
            <w:tcW w:type="pct" w:w="60%"/>
            <w:tcMar>
              <w:top w:type="dxa" w:w="80"/>
              <w:left w:type="dxa" w:w="120"/>
              <w:bottom w:type="dxa" w:w="80"/>
              <w:right w:type="dxa" w:w="120"/>
            </w:tcMar>
          </w:tcPr>
          <w:p>
            <w:r>
              <w:rPr>
                <w:sz w:val="20"/>
                <w:szCs w:val="20"/>
              </w:rPr>
              <w:t xml:space="preserve">Identical response whether or not the email has an account (no enumeration oracle); token is single-use; redeeming revokes every session.</w:t>
            </w:r>
          </w:p>
        </w:tc>
      </w:tr>
      <w:tr>
        <w:tc>
          <w:tcPr>
            <w:tcW w:type="pct" w:w="28%"/>
            <w:tcMar>
              <w:top w:type="dxa" w:w="80"/>
              <w:left w:type="dxa" w:w="120"/>
              <w:bottom w:type="dxa" w:w="80"/>
              <w:right w:type="dxa" w:w="120"/>
            </w:tcMar>
          </w:tcPr>
          <w:p>
            <w:r>
              <w:rPr>
                <w:rFonts w:ascii="Consolas" w:cs="Consolas" w:eastAsia="Consolas" w:hAnsi="Consolas"/>
                <w:color w:val="7C3AED"/>
                <w:sz w:val="20"/>
                <w:szCs w:val="20"/>
              </w:rPr>
              <w:t xml:space="preserve">tests/roles.test.js</w:t>
            </w:r>
          </w:p>
        </w:tc>
        <w:tc>
          <w:tcPr>
            <w:tcW w:type="pct" w:w="12%"/>
            <w:tcMar>
              <w:top w:type="dxa" w:w="80"/>
              <w:left w:type="dxa" w:w="120"/>
              <w:bottom w:type="dxa" w:w="80"/>
              <w:right w:type="dxa" w:w="120"/>
            </w:tcMar>
          </w:tcPr>
          <w:p>
            <w:r>
              <w:rPr>
                <w:color w:val="6B7280"/>
                <w:sz w:val="20"/>
                <w:szCs w:val="20"/>
              </w:rPr>
              <w:t xml:space="preserve">Backend</w:t>
            </w:r>
          </w:p>
        </w:tc>
        <w:tc>
          <w:tcPr>
            <w:tcW w:type="pct" w:w="60%"/>
            <w:tcMar>
              <w:top w:type="dxa" w:w="80"/>
              <w:left w:type="dxa" w:w="120"/>
              <w:bottom w:type="dxa" w:w="80"/>
              <w:right w:type="dxa" w:w="120"/>
            </w:tcMar>
          </w:tcPr>
          <w:p>
            <w:r>
              <w:rPr>
                <w:sz w:val="20"/>
                <w:szCs w:val="20"/>
              </w:rPr>
              <w:t xml:space="preserve">Every RBAC rule, exercised as all three roles against the real routes — not inferred from the middleware source.</w:t>
            </w:r>
          </w:p>
        </w:tc>
      </w:tr>
    </w:tbl>
    <w:p>
      <w:pPr>
        <w:pStyle w:val="Heading2"/>
        <w:spacing w:after="140" w:before="280"/>
      </w:pPr>
      <w:r>
        <w:rPr>
          <w:b/>
          <w:bCs/>
          <w:color w:val="2563EB"/>
        </w:rPr>
        <w:t xml:space="preserve">4.2  Data integrity and concurrency (backend)</w:t>
      </w:r>
    </w:p>
    <w:tbl>
      <w:tblPr>
        <w:tblW w:type="pct" w:w="100%"/>
        <w:tblBorders>
          <w:top w:val="single" w:color="D1D5DB" w:sz="4"/>
          <w:left w:val="single" w:color="D1D5DB" w:sz="4"/>
          <w:bottom w:val="single" w:color="D1D5DB" w:sz="4"/>
          <w:right w:val="single" w:color="D1D5DB" w:sz="4"/>
          <w:insideH w:val="single" w:color="D1D5DB" w:sz="2"/>
          <w:insideV w:val="single" w:color="D1D5DB" w:sz="2"/>
        </w:tblBorders>
      </w:tblPr>
      <w:tblGrid>
        <w:gridCol w:w="100"/>
        <w:gridCol w:w="100"/>
        <w:gridCol w:w="100"/>
      </w:tblGrid>
      <w:tr>
        <w:trPr>
          <w:tblHeader/>
        </w:trPr>
        <w:tc>
          <w:tcPr>
            <w:tcW w:type="pct" w:w="28%"/>
            <w:shd w:fill="EEF2FF" w:val="clear"/>
            <w:tcMar>
              <w:top w:type="dxa" w:w="80"/>
              <w:left w:type="dxa" w:w="120"/>
              <w:bottom w:type="dxa" w:w="80"/>
              <w:right w:type="dxa" w:w="120"/>
            </w:tcMar>
          </w:tcPr>
          <w:p>
            <w:r>
              <w:rPr>
                <w:b/>
                <w:bCs/>
                <w:sz w:val="20"/>
                <w:szCs w:val="20"/>
              </w:rPr>
              <w:t xml:space="preserve">File</w:t>
            </w:r>
          </w:p>
        </w:tc>
        <w:tc>
          <w:tcPr>
            <w:tcW w:type="pct" w:w="12%"/>
            <w:shd w:fill="EEF2FF" w:val="clear"/>
            <w:tcMar>
              <w:top w:type="dxa" w:w="80"/>
              <w:left w:type="dxa" w:w="120"/>
              <w:bottom w:type="dxa" w:w="80"/>
              <w:right w:type="dxa" w:w="120"/>
            </w:tcMar>
          </w:tcPr>
          <w:p>
            <w:r>
              <w:rPr>
                <w:b/>
                <w:bCs/>
                <w:sz w:val="20"/>
                <w:szCs w:val="20"/>
              </w:rPr>
              <w:t xml:space="preserve">Layer</w:t>
            </w:r>
          </w:p>
        </w:tc>
        <w:tc>
          <w:tcPr>
            <w:tcW w:type="pct" w:w="60%"/>
            <w:shd w:fill="EEF2FF" w:val="clear"/>
            <w:tcMar>
              <w:top w:type="dxa" w:w="80"/>
              <w:left w:type="dxa" w:w="120"/>
              <w:bottom w:type="dxa" w:w="80"/>
              <w:right w:type="dxa" w:w="120"/>
            </w:tcMar>
          </w:tcPr>
          <w:p>
            <w:r>
              <w:rPr>
                <w:b/>
                <w:bCs/>
                <w:sz w:val="20"/>
                <w:szCs w:val="20"/>
              </w:rPr>
              <w:t xml:space="preserve">What it proves</w:t>
            </w:r>
          </w:p>
        </w:tc>
      </w:tr>
      <w:tr>
        <w:tc>
          <w:tcPr>
            <w:tcW w:type="pct" w:w="28%"/>
            <w:tcMar>
              <w:top w:type="dxa" w:w="80"/>
              <w:left w:type="dxa" w:w="120"/>
              <w:bottom w:type="dxa" w:w="80"/>
              <w:right w:type="dxa" w:w="120"/>
            </w:tcMar>
          </w:tcPr>
          <w:p>
            <w:r>
              <w:rPr>
                <w:rFonts w:ascii="Consolas" w:cs="Consolas" w:eastAsia="Consolas" w:hAnsi="Consolas"/>
                <w:color w:val="7C3AED"/>
                <w:sz w:val="20"/>
                <w:szCs w:val="20"/>
              </w:rPr>
              <w:t xml:space="preserve">tests/orderConcurrency.test.js</w:t>
            </w:r>
          </w:p>
        </w:tc>
        <w:tc>
          <w:tcPr>
            <w:tcW w:type="pct" w:w="12%"/>
            <w:tcMar>
              <w:top w:type="dxa" w:w="80"/>
              <w:left w:type="dxa" w:w="120"/>
              <w:bottom w:type="dxa" w:w="80"/>
              <w:right w:type="dxa" w:w="120"/>
            </w:tcMar>
          </w:tcPr>
          <w:p>
            <w:r>
              <w:rPr>
                <w:color w:val="6B7280"/>
                <w:sz w:val="20"/>
                <w:szCs w:val="20"/>
              </w:rPr>
              <w:t xml:space="preserve">Backend</w:t>
            </w:r>
          </w:p>
        </w:tc>
        <w:tc>
          <w:tcPr>
            <w:tcW w:type="pct" w:w="60%"/>
            <w:tcMar>
              <w:top w:type="dxa" w:w="80"/>
              <w:left w:type="dxa" w:w="120"/>
              <w:bottom w:type="dxa" w:w="80"/>
              <w:right w:type="dxa" w:w="120"/>
            </w:tcMar>
          </w:tcPr>
          <w:p>
            <w:r>
              <w:rPr>
                <w:sz w:val="20"/>
                <w:szCs w:val="20"/>
              </w:rPr>
              <w:t xml:space="preserve">Two simultaneous purchase attempts against stock of 1 — exactly one succeeds, the other is refused, nothing goes negative.</w:t>
            </w:r>
          </w:p>
        </w:tc>
      </w:tr>
      <w:tr>
        <w:tc>
          <w:tcPr>
            <w:tcW w:type="pct" w:w="28%"/>
            <w:tcMar>
              <w:top w:type="dxa" w:w="80"/>
              <w:left w:type="dxa" w:w="120"/>
              <w:bottom w:type="dxa" w:w="80"/>
              <w:right w:type="dxa" w:w="120"/>
            </w:tcMar>
          </w:tcPr>
          <w:p>
            <w:r>
              <w:rPr>
                <w:rFonts w:ascii="Consolas" w:cs="Consolas" w:eastAsia="Consolas" w:hAnsi="Consolas"/>
                <w:color w:val="7C3AED"/>
                <w:sz w:val="20"/>
                <w:szCs w:val="20"/>
              </w:rPr>
              <w:t xml:space="preserve">tests/orderTransaction.test.js</w:t>
            </w:r>
          </w:p>
        </w:tc>
        <w:tc>
          <w:tcPr>
            <w:tcW w:type="pct" w:w="12%"/>
            <w:tcMar>
              <w:top w:type="dxa" w:w="80"/>
              <w:left w:type="dxa" w:w="120"/>
              <w:bottom w:type="dxa" w:w="80"/>
              <w:right w:type="dxa" w:w="120"/>
            </w:tcMar>
          </w:tcPr>
          <w:p>
            <w:r>
              <w:rPr>
                <w:color w:val="6B7280"/>
                <w:sz w:val="20"/>
                <w:szCs w:val="20"/>
              </w:rPr>
              <w:t xml:space="preserve">Backend</w:t>
            </w:r>
          </w:p>
        </w:tc>
        <w:tc>
          <w:tcPr>
            <w:tcW w:type="pct" w:w="60%"/>
            <w:tcMar>
              <w:top w:type="dxa" w:w="80"/>
              <w:left w:type="dxa" w:w="120"/>
              <w:bottom w:type="dxa" w:w="80"/>
              <w:right w:type="dxa" w:w="120"/>
            </w:tcMar>
          </w:tcPr>
          <w:p>
            <w:r>
              <w:rPr>
                <w:sz w:val="20"/>
                <w:szCs w:val="20"/>
              </w:rPr>
              <w:t xml:space="preserve">A failure partway through order creation rolls back every write in the transaction, not just some of them.</w:t>
            </w:r>
          </w:p>
        </w:tc>
      </w:tr>
      <w:tr>
        <w:tc>
          <w:tcPr>
            <w:tcW w:type="pct" w:w="28%"/>
            <w:tcMar>
              <w:top w:type="dxa" w:w="80"/>
              <w:left w:type="dxa" w:w="120"/>
              <w:bottom w:type="dxa" w:w="80"/>
              <w:right w:type="dxa" w:w="120"/>
            </w:tcMar>
          </w:tcPr>
          <w:p>
            <w:r>
              <w:rPr>
                <w:rFonts w:ascii="Consolas" w:cs="Consolas" w:eastAsia="Consolas" w:hAnsi="Consolas"/>
                <w:color w:val="7C3AED"/>
                <w:sz w:val="20"/>
                <w:szCs w:val="20"/>
              </w:rPr>
              <w:t xml:space="preserve">tests/indexes.test.js</w:t>
            </w:r>
          </w:p>
        </w:tc>
        <w:tc>
          <w:tcPr>
            <w:tcW w:type="pct" w:w="12%"/>
            <w:tcMar>
              <w:top w:type="dxa" w:w="80"/>
              <w:left w:type="dxa" w:w="120"/>
              <w:bottom w:type="dxa" w:w="80"/>
              <w:right w:type="dxa" w:w="120"/>
            </w:tcMar>
          </w:tcPr>
          <w:p>
            <w:r>
              <w:rPr>
                <w:color w:val="6B7280"/>
                <w:sz w:val="20"/>
                <w:szCs w:val="20"/>
              </w:rPr>
              <w:t xml:space="preserve">Backend</w:t>
            </w:r>
          </w:p>
        </w:tc>
        <w:tc>
          <w:tcPr>
            <w:tcW w:type="pct" w:w="60%"/>
            <w:tcMar>
              <w:top w:type="dxa" w:w="80"/>
              <w:left w:type="dxa" w:w="120"/>
              <w:bottom w:type="dxa" w:w="80"/>
              <w:right w:type="dxa" w:w="120"/>
            </w:tcMar>
          </w:tcPr>
          <w:p>
            <w:r>
              <w:rPr>
                <w:sz w:val="20"/>
                <w:szCs w:val="20"/>
              </w:rPr>
              <w:t xml:space="preserve">Uses explain() to confirm each sorting query is actually served by an index, not an in-memory sort — a claim that inspection alone cannot verify.</w:t>
            </w:r>
          </w:p>
        </w:tc>
      </w:tr>
      <w:tr>
        <w:tc>
          <w:tcPr>
            <w:tcW w:type="pct" w:w="28%"/>
            <w:tcMar>
              <w:top w:type="dxa" w:w="80"/>
              <w:left w:type="dxa" w:w="120"/>
              <w:bottom w:type="dxa" w:w="80"/>
              <w:right w:type="dxa" w:w="120"/>
            </w:tcMar>
          </w:tcPr>
          <w:p>
            <w:r>
              <w:rPr>
                <w:rFonts w:ascii="Consolas" w:cs="Consolas" w:eastAsia="Consolas" w:hAnsi="Consolas"/>
                <w:color w:val="7C3AED"/>
                <w:sz w:val="20"/>
                <w:szCs w:val="20"/>
              </w:rPr>
              <w:t xml:space="preserve">tests/pagination.test.js</w:t>
            </w:r>
          </w:p>
        </w:tc>
        <w:tc>
          <w:tcPr>
            <w:tcW w:type="pct" w:w="12%"/>
            <w:tcMar>
              <w:top w:type="dxa" w:w="80"/>
              <w:left w:type="dxa" w:w="120"/>
              <w:bottom w:type="dxa" w:w="80"/>
              <w:right w:type="dxa" w:w="120"/>
            </w:tcMar>
          </w:tcPr>
          <w:p>
            <w:r>
              <w:rPr>
                <w:color w:val="6B7280"/>
                <w:sz w:val="20"/>
                <w:szCs w:val="20"/>
              </w:rPr>
              <w:t xml:space="preserve">Backend</w:t>
            </w:r>
          </w:p>
        </w:tc>
        <w:tc>
          <w:tcPr>
            <w:tcW w:type="pct" w:w="60%"/>
            <w:tcMar>
              <w:top w:type="dxa" w:w="80"/>
              <w:left w:type="dxa" w:w="120"/>
              <w:bottom w:type="dxa" w:w="80"/>
              <w:right w:type="dxa" w:w="120"/>
            </w:tcMar>
          </w:tcPr>
          <w:p>
            <w:r>
              <w:rPr>
                <w:sz w:val="20"/>
                <w:szCs w:val="20"/>
              </w:rPr>
              <w:t xml:space="preserve">Both offset and cursor pagination return correct, non-duplicated, non-skipped pages, including across tied sort values.</w:t>
            </w:r>
          </w:p>
        </w:tc>
      </w:tr>
      <w:tr>
        <w:tc>
          <w:tcPr>
            <w:tcW w:type="pct" w:w="28%"/>
            <w:tcMar>
              <w:top w:type="dxa" w:w="80"/>
              <w:left w:type="dxa" w:w="120"/>
              <w:bottom w:type="dxa" w:w="80"/>
              <w:right w:type="dxa" w:w="120"/>
            </w:tcMar>
          </w:tcPr>
          <w:p>
            <w:r>
              <w:rPr>
                <w:rFonts w:ascii="Consolas" w:cs="Consolas" w:eastAsia="Consolas" w:hAnsi="Consolas"/>
                <w:color w:val="7C3AED"/>
                <w:sz w:val="20"/>
                <w:szCs w:val="20"/>
              </w:rPr>
              <w:t xml:space="preserve">tests/customerImport.test.js</w:t>
            </w:r>
          </w:p>
        </w:tc>
        <w:tc>
          <w:tcPr>
            <w:tcW w:type="pct" w:w="12%"/>
            <w:tcMar>
              <w:top w:type="dxa" w:w="80"/>
              <w:left w:type="dxa" w:w="120"/>
              <w:bottom w:type="dxa" w:w="80"/>
              <w:right w:type="dxa" w:w="120"/>
            </w:tcMar>
          </w:tcPr>
          <w:p>
            <w:r>
              <w:rPr>
                <w:color w:val="6B7280"/>
                <w:sz w:val="20"/>
                <w:szCs w:val="20"/>
              </w:rPr>
              <w:t xml:space="preserve">Backend</w:t>
            </w:r>
          </w:p>
        </w:tc>
        <w:tc>
          <w:tcPr>
            <w:tcW w:type="pct" w:w="60%"/>
            <w:tcMar>
              <w:top w:type="dxa" w:w="80"/>
              <w:left w:type="dxa" w:w="120"/>
              <w:bottom w:type="dxa" w:w="80"/>
              <w:right w:type="dxa" w:w="120"/>
            </w:tcMar>
          </w:tcPr>
          <w:p>
            <w:r>
              <w:rPr>
                <w:sz w:val="20"/>
                <w:szCs w:val="20"/>
              </w:rPr>
              <w:t xml:space="preserve">A bad row never costs the rows around it; a duplicate email is skipped, not overwritten; the import is capped at 1000 rows.</w:t>
            </w:r>
          </w:p>
        </w:tc>
      </w:tr>
    </w:tbl>
    <w:p>
      <w:pPr>
        <w:pStyle w:val="Heading2"/>
        <w:spacing w:after="140" w:before="280"/>
      </w:pPr>
      <w:r>
        <w:rPr>
          <w:b/>
          <w:bCs/>
          <w:color w:val="2563EB"/>
        </w:rPr>
        <w:t xml:space="preserve">4.3  AI features (backend)</w:t>
      </w:r>
    </w:p>
    <w:tbl>
      <w:tblPr>
        <w:tblW w:type="pct" w:w="100%"/>
        <w:tblBorders>
          <w:top w:val="single" w:color="D1D5DB" w:sz="4"/>
          <w:left w:val="single" w:color="D1D5DB" w:sz="4"/>
          <w:bottom w:val="single" w:color="D1D5DB" w:sz="4"/>
          <w:right w:val="single" w:color="D1D5DB" w:sz="4"/>
          <w:insideH w:val="single" w:color="D1D5DB" w:sz="2"/>
          <w:insideV w:val="single" w:color="D1D5DB" w:sz="2"/>
        </w:tblBorders>
      </w:tblPr>
      <w:tblGrid>
        <w:gridCol w:w="100"/>
        <w:gridCol w:w="100"/>
        <w:gridCol w:w="100"/>
      </w:tblGrid>
      <w:tr>
        <w:trPr>
          <w:tblHeader/>
        </w:trPr>
        <w:tc>
          <w:tcPr>
            <w:tcW w:type="pct" w:w="28%"/>
            <w:shd w:fill="EEF2FF" w:val="clear"/>
            <w:tcMar>
              <w:top w:type="dxa" w:w="80"/>
              <w:left w:type="dxa" w:w="120"/>
              <w:bottom w:type="dxa" w:w="80"/>
              <w:right w:type="dxa" w:w="120"/>
            </w:tcMar>
          </w:tcPr>
          <w:p>
            <w:r>
              <w:rPr>
                <w:b/>
                <w:bCs/>
                <w:sz w:val="20"/>
                <w:szCs w:val="20"/>
              </w:rPr>
              <w:t xml:space="preserve">File</w:t>
            </w:r>
          </w:p>
        </w:tc>
        <w:tc>
          <w:tcPr>
            <w:tcW w:type="pct" w:w="12%"/>
            <w:shd w:fill="EEF2FF" w:val="clear"/>
            <w:tcMar>
              <w:top w:type="dxa" w:w="80"/>
              <w:left w:type="dxa" w:w="120"/>
              <w:bottom w:type="dxa" w:w="80"/>
              <w:right w:type="dxa" w:w="120"/>
            </w:tcMar>
          </w:tcPr>
          <w:p>
            <w:r>
              <w:rPr>
                <w:b/>
                <w:bCs/>
                <w:sz w:val="20"/>
                <w:szCs w:val="20"/>
              </w:rPr>
              <w:t xml:space="preserve">Layer</w:t>
            </w:r>
          </w:p>
        </w:tc>
        <w:tc>
          <w:tcPr>
            <w:tcW w:type="pct" w:w="60%"/>
            <w:shd w:fill="EEF2FF" w:val="clear"/>
            <w:tcMar>
              <w:top w:type="dxa" w:w="80"/>
              <w:left w:type="dxa" w:w="120"/>
              <w:bottom w:type="dxa" w:w="80"/>
              <w:right w:type="dxa" w:w="120"/>
            </w:tcMar>
          </w:tcPr>
          <w:p>
            <w:r>
              <w:rPr>
                <w:b/>
                <w:bCs/>
                <w:sz w:val="20"/>
                <w:szCs w:val="20"/>
              </w:rPr>
              <w:t xml:space="preserve">What it proves</w:t>
            </w:r>
          </w:p>
        </w:tc>
      </w:tr>
      <w:tr>
        <w:tc>
          <w:tcPr>
            <w:tcW w:type="pct" w:w="28%"/>
            <w:tcMar>
              <w:top w:type="dxa" w:w="80"/>
              <w:left w:type="dxa" w:w="120"/>
              <w:bottom w:type="dxa" w:w="80"/>
              <w:right w:type="dxa" w:w="120"/>
            </w:tcMar>
          </w:tcPr>
          <w:p>
            <w:r>
              <w:rPr>
                <w:rFonts w:ascii="Consolas" w:cs="Consolas" w:eastAsia="Consolas" w:hAnsi="Consolas"/>
                <w:color w:val="7C3AED"/>
                <w:sz w:val="20"/>
                <w:szCs w:val="20"/>
              </w:rPr>
              <w:t xml:space="preserve">tests/aiClient.test.js</w:t>
            </w:r>
          </w:p>
        </w:tc>
        <w:tc>
          <w:tcPr>
            <w:tcW w:type="pct" w:w="12%"/>
            <w:tcMar>
              <w:top w:type="dxa" w:w="80"/>
              <w:left w:type="dxa" w:w="120"/>
              <w:bottom w:type="dxa" w:w="80"/>
              <w:right w:type="dxa" w:w="120"/>
            </w:tcMar>
          </w:tcPr>
          <w:p>
            <w:r>
              <w:rPr>
                <w:color w:val="6B7280"/>
                <w:sz w:val="20"/>
                <w:szCs w:val="20"/>
              </w:rPr>
              <w:t xml:space="preserve">Backend</w:t>
            </w:r>
          </w:p>
        </w:tc>
        <w:tc>
          <w:tcPr>
            <w:tcW w:type="pct" w:w="60%"/>
            <w:tcMar>
              <w:top w:type="dxa" w:w="80"/>
              <w:left w:type="dxa" w:w="120"/>
              <w:bottom w:type="dxa" w:w="80"/>
              <w:right w:type="dxa" w:w="120"/>
            </w:tcMar>
          </w:tcPr>
          <w:p>
            <w:r>
              <w:rPr>
                <w:sz w:val="20"/>
                <w:szCs w:val="20"/>
              </w:rPr>
              <w:t xml:space="preserve">Timeout handling, retryable-vs-permanent error classification, and honouring the provider’s own retry-after hint.</w:t>
            </w:r>
          </w:p>
        </w:tc>
      </w:tr>
      <w:tr>
        <w:tc>
          <w:tcPr>
            <w:tcW w:type="pct" w:w="28%"/>
            <w:tcMar>
              <w:top w:type="dxa" w:w="80"/>
              <w:left w:type="dxa" w:w="120"/>
              <w:bottom w:type="dxa" w:w="80"/>
              <w:right w:type="dxa" w:w="120"/>
            </w:tcMar>
          </w:tcPr>
          <w:p>
            <w:r>
              <w:rPr>
                <w:rFonts w:ascii="Consolas" w:cs="Consolas" w:eastAsia="Consolas" w:hAnsi="Consolas"/>
                <w:color w:val="7C3AED"/>
                <w:sz w:val="20"/>
                <w:szCs w:val="20"/>
              </w:rPr>
              <w:t xml:space="preserve">tests/aiCost.test.js</w:t>
            </w:r>
          </w:p>
        </w:tc>
        <w:tc>
          <w:tcPr>
            <w:tcW w:type="pct" w:w="12%"/>
            <w:tcMar>
              <w:top w:type="dxa" w:w="80"/>
              <w:left w:type="dxa" w:w="120"/>
              <w:bottom w:type="dxa" w:w="80"/>
              <w:right w:type="dxa" w:w="120"/>
            </w:tcMar>
          </w:tcPr>
          <w:p>
            <w:r>
              <w:rPr>
                <w:color w:val="6B7280"/>
                <w:sz w:val="20"/>
                <w:szCs w:val="20"/>
              </w:rPr>
              <w:t xml:space="preserve">Backend</w:t>
            </w:r>
          </w:p>
        </w:tc>
        <w:tc>
          <w:tcPr>
            <w:tcW w:type="pct" w:w="60%"/>
            <w:tcMar>
              <w:top w:type="dxa" w:w="80"/>
              <w:left w:type="dxa" w:w="120"/>
              <w:bottom w:type="dxa" w:w="80"/>
              <w:right w:type="dxa" w:w="120"/>
            </w:tcMar>
          </w:tcPr>
          <w:p>
            <w:r>
              <w:rPr>
                <w:sz w:val="20"/>
                <w:szCs w:val="20"/>
              </w:rPr>
              <w:t xml:space="preserve">Every AI call is logged with tokens and an estimated cost, and the usage summary’s totals match.</w:t>
            </w:r>
          </w:p>
        </w:tc>
      </w:tr>
      <w:tr>
        <w:tc>
          <w:tcPr>
            <w:tcW w:type="pct" w:w="28%"/>
            <w:tcMar>
              <w:top w:type="dxa" w:w="80"/>
              <w:left w:type="dxa" w:w="120"/>
              <w:bottom w:type="dxa" w:w="80"/>
              <w:right w:type="dxa" w:w="120"/>
            </w:tcMar>
          </w:tcPr>
          <w:p>
            <w:r>
              <w:rPr>
                <w:rFonts w:ascii="Consolas" w:cs="Consolas" w:eastAsia="Consolas" w:hAnsi="Consolas"/>
                <w:color w:val="7C3AED"/>
                <w:sz w:val="20"/>
                <w:szCs w:val="20"/>
              </w:rPr>
              <w:t xml:space="preserve">tests/aiStatus.test.js</w:t>
            </w:r>
          </w:p>
        </w:tc>
        <w:tc>
          <w:tcPr>
            <w:tcW w:type="pct" w:w="12%"/>
            <w:tcMar>
              <w:top w:type="dxa" w:w="80"/>
              <w:left w:type="dxa" w:w="120"/>
              <w:bottom w:type="dxa" w:w="80"/>
              <w:right w:type="dxa" w:w="120"/>
            </w:tcMar>
          </w:tcPr>
          <w:p>
            <w:r>
              <w:rPr>
                <w:color w:val="6B7280"/>
                <w:sz w:val="20"/>
                <w:szCs w:val="20"/>
              </w:rPr>
              <w:t xml:space="preserve">Backend</w:t>
            </w:r>
          </w:p>
        </w:tc>
        <w:tc>
          <w:tcPr>
            <w:tcW w:type="pct" w:w="60%"/>
            <w:tcMar>
              <w:top w:type="dxa" w:w="80"/>
              <w:left w:type="dxa" w:w="120"/>
              <w:bottom w:type="dxa" w:w="80"/>
              <w:right w:type="dxa" w:w="120"/>
            </w:tcMar>
          </w:tcPr>
          <w:p>
            <w:r>
              <w:rPr>
                <w:sz w:val="20"/>
                <w:szCs w:val="20"/>
              </w:rPr>
              <w:t xml:space="preserve">A missing API key is reported explicitly rather than silently degrading behind a normal-looking 200 response.</w:t>
            </w:r>
          </w:p>
        </w:tc>
      </w:tr>
      <w:tr>
        <w:tc>
          <w:tcPr>
            <w:tcW w:type="pct" w:w="28%"/>
            <w:tcMar>
              <w:top w:type="dxa" w:w="80"/>
              <w:left w:type="dxa" w:w="120"/>
              <w:bottom w:type="dxa" w:w="80"/>
              <w:right w:type="dxa" w:w="120"/>
            </w:tcMar>
          </w:tcPr>
          <w:p>
            <w:r>
              <w:rPr>
                <w:rFonts w:ascii="Consolas" w:cs="Consolas" w:eastAsia="Consolas" w:hAnsi="Consolas"/>
                <w:color w:val="7C3AED"/>
                <w:sz w:val="20"/>
                <w:szCs w:val="20"/>
              </w:rPr>
              <w:t xml:space="preserve">tests/churnRisk.test.js, leadScore.test.js</w:t>
            </w:r>
          </w:p>
        </w:tc>
        <w:tc>
          <w:tcPr>
            <w:tcW w:type="pct" w:w="12%"/>
            <w:tcMar>
              <w:top w:type="dxa" w:w="80"/>
              <w:left w:type="dxa" w:w="120"/>
              <w:bottom w:type="dxa" w:w="80"/>
              <w:right w:type="dxa" w:w="120"/>
            </w:tcMar>
          </w:tcPr>
          <w:p>
            <w:r>
              <w:rPr>
                <w:color w:val="6B7280"/>
                <w:sz w:val="20"/>
                <w:szCs w:val="20"/>
              </w:rPr>
              <w:t xml:space="preserve">Backend</w:t>
            </w:r>
          </w:p>
        </w:tc>
        <w:tc>
          <w:tcPr>
            <w:tcW w:type="pct" w:w="60%"/>
            <w:tcMar>
              <w:top w:type="dxa" w:w="80"/>
              <w:left w:type="dxa" w:w="120"/>
              <w:bottom w:type="dxa" w:w="80"/>
              <w:right w:type="dxa" w:w="120"/>
            </w:tcMar>
          </w:tcPr>
          <w:p>
            <w:r>
              <w:rPr>
                <w:sz w:val="20"/>
                <w:szCs w:val="20"/>
              </w:rPr>
              <w:t xml:space="preserve">The scoring arithmetic itself, independent of any AI call — these are deterministic and pure.</w:t>
            </w:r>
          </w:p>
        </w:tc>
      </w:tr>
      <w:tr>
        <w:tc>
          <w:tcPr>
            <w:tcW w:type="pct" w:w="28%"/>
            <w:tcMar>
              <w:top w:type="dxa" w:w="80"/>
              <w:left w:type="dxa" w:w="120"/>
              <w:bottom w:type="dxa" w:w="80"/>
              <w:right w:type="dxa" w:w="120"/>
            </w:tcMar>
          </w:tcPr>
          <w:p>
            <w:r>
              <w:rPr>
                <w:rFonts w:ascii="Consolas" w:cs="Consolas" w:eastAsia="Consolas" w:hAnsi="Consolas"/>
                <w:color w:val="7C3AED"/>
                <w:sz w:val="20"/>
                <w:szCs w:val="20"/>
              </w:rPr>
              <w:t xml:space="preserve">tests/customerSummary.test.js</w:t>
            </w:r>
          </w:p>
        </w:tc>
        <w:tc>
          <w:tcPr>
            <w:tcW w:type="pct" w:w="12%"/>
            <w:tcMar>
              <w:top w:type="dxa" w:w="80"/>
              <w:left w:type="dxa" w:w="120"/>
              <w:bottom w:type="dxa" w:w="80"/>
              <w:right w:type="dxa" w:w="120"/>
            </w:tcMar>
          </w:tcPr>
          <w:p>
            <w:r>
              <w:rPr>
                <w:color w:val="6B7280"/>
                <w:sz w:val="20"/>
                <w:szCs w:val="20"/>
              </w:rPr>
              <w:t xml:space="preserve">Backend</w:t>
            </w:r>
          </w:p>
        </w:tc>
        <w:tc>
          <w:tcPr>
            <w:tcW w:type="pct" w:w="60%"/>
            <w:tcMar>
              <w:top w:type="dxa" w:w="80"/>
              <w:left w:type="dxa" w:w="120"/>
              <w:bottom w:type="dxa" w:w="80"/>
              <w:right w:type="dxa" w:w="120"/>
            </w:tcMar>
          </w:tcPr>
          <w:p>
            <w:r>
              <w:rPr>
                <w:sz w:val="20"/>
                <w:szCs w:val="20"/>
              </w:rPr>
              <w:t xml:space="preserve">The AI response schema carries no numeric fields, so a hallucinated figure has nowhere to be inserted.</w:t>
            </w:r>
          </w:p>
        </w:tc>
      </w:tr>
    </w:tbl>
    <w:p>
      <w:pPr>
        <w:pStyle w:val="Heading2"/>
        <w:spacing w:after="140" w:before="280"/>
      </w:pPr>
      <w:r>
        <w:rPr>
          <w:b/>
          <w:bCs/>
          <w:color w:val="2563EB"/>
        </w:rPr>
        <w:t xml:space="preserve">4.4  Frontend</w:t>
      </w:r>
    </w:p>
    <w:tbl>
      <w:tblPr>
        <w:tblW w:type="pct" w:w="100%"/>
        <w:tblBorders>
          <w:top w:val="single" w:color="D1D5DB" w:sz="4"/>
          <w:left w:val="single" w:color="D1D5DB" w:sz="4"/>
          <w:bottom w:val="single" w:color="D1D5DB" w:sz="4"/>
          <w:right w:val="single" w:color="D1D5DB" w:sz="4"/>
          <w:insideH w:val="single" w:color="D1D5DB" w:sz="2"/>
          <w:insideV w:val="single" w:color="D1D5DB" w:sz="2"/>
        </w:tblBorders>
      </w:tblPr>
      <w:tblGrid>
        <w:gridCol w:w="100"/>
        <w:gridCol w:w="100"/>
        <w:gridCol w:w="100"/>
      </w:tblGrid>
      <w:tr>
        <w:trPr>
          <w:tblHeader/>
        </w:trPr>
        <w:tc>
          <w:tcPr>
            <w:tcW w:type="pct" w:w="28%"/>
            <w:shd w:fill="EEF2FF" w:val="clear"/>
            <w:tcMar>
              <w:top w:type="dxa" w:w="80"/>
              <w:left w:type="dxa" w:w="120"/>
              <w:bottom w:type="dxa" w:w="80"/>
              <w:right w:type="dxa" w:w="120"/>
            </w:tcMar>
          </w:tcPr>
          <w:p>
            <w:r>
              <w:rPr>
                <w:b/>
                <w:bCs/>
                <w:sz w:val="20"/>
                <w:szCs w:val="20"/>
              </w:rPr>
              <w:t xml:space="preserve">File</w:t>
            </w:r>
          </w:p>
        </w:tc>
        <w:tc>
          <w:tcPr>
            <w:tcW w:type="pct" w:w="12%"/>
            <w:shd w:fill="EEF2FF" w:val="clear"/>
            <w:tcMar>
              <w:top w:type="dxa" w:w="80"/>
              <w:left w:type="dxa" w:w="120"/>
              <w:bottom w:type="dxa" w:w="80"/>
              <w:right w:type="dxa" w:w="120"/>
            </w:tcMar>
          </w:tcPr>
          <w:p>
            <w:r>
              <w:rPr>
                <w:b/>
                <w:bCs/>
                <w:sz w:val="20"/>
                <w:szCs w:val="20"/>
              </w:rPr>
              <w:t xml:space="preserve">Layer</w:t>
            </w:r>
          </w:p>
        </w:tc>
        <w:tc>
          <w:tcPr>
            <w:tcW w:type="pct" w:w="60%"/>
            <w:shd w:fill="EEF2FF" w:val="clear"/>
            <w:tcMar>
              <w:top w:type="dxa" w:w="80"/>
              <w:left w:type="dxa" w:w="120"/>
              <w:bottom w:type="dxa" w:w="80"/>
              <w:right w:type="dxa" w:w="120"/>
            </w:tcMar>
          </w:tcPr>
          <w:p>
            <w:r>
              <w:rPr>
                <w:b/>
                <w:bCs/>
                <w:sz w:val="20"/>
                <w:szCs w:val="20"/>
              </w:rPr>
              <w:t xml:space="preserve">What it proves</w:t>
            </w:r>
          </w:p>
        </w:tc>
      </w:tr>
      <w:tr>
        <w:tc>
          <w:tcPr>
            <w:tcW w:type="pct" w:w="28%"/>
            <w:tcMar>
              <w:top w:type="dxa" w:w="80"/>
              <w:left w:type="dxa" w:w="120"/>
              <w:bottom w:type="dxa" w:w="80"/>
              <w:right w:type="dxa" w:w="120"/>
            </w:tcMar>
          </w:tcPr>
          <w:p>
            <w:r>
              <w:rPr>
                <w:rFonts w:ascii="Consolas" w:cs="Consolas" w:eastAsia="Consolas" w:hAnsi="Consolas"/>
                <w:color w:val="7C3AED"/>
                <w:sz w:val="20"/>
                <w:szCs w:val="20"/>
              </w:rPr>
              <w:t xml:space="preserve">components/ConfirmDialog.test.jsx</w:t>
            </w:r>
          </w:p>
        </w:tc>
        <w:tc>
          <w:tcPr>
            <w:tcW w:type="pct" w:w="12%"/>
            <w:tcMar>
              <w:top w:type="dxa" w:w="80"/>
              <w:left w:type="dxa" w:w="120"/>
              <w:bottom w:type="dxa" w:w="80"/>
              <w:right w:type="dxa" w:w="120"/>
            </w:tcMar>
          </w:tcPr>
          <w:p>
            <w:r>
              <w:rPr>
                <w:color w:val="6B7280"/>
                <w:sz w:val="20"/>
                <w:szCs w:val="20"/>
              </w:rPr>
              <w:t xml:space="preserve">Frontend</w:t>
            </w:r>
          </w:p>
        </w:tc>
        <w:tc>
          <w:tcPr>
            <w:tcW w:type="pct" w:w="60%"/>
            <w:tcMar>
              <w:top w:type="dxa" w:w="80"/>
              <w:left w:type="dxa" w:w="120"/>
              <w:bottom w:type="dxa" w:w="80"/>
              <w:right w:type="dxa" w:w="120"/>
            </w:tcMar>
          </w:tcPr>
          <w:p>
            <w:r>
              <w:rPr>
                <w:sz w:val="20"/>
                <w:szCs w:val="20"/>
              </w:rPr>
              <w:t xml:space="preserve">The confirm() Promise resolves true/false correctly for the confirm button, Cancel, Escape and the backdrop — and does not resolve on a click inside the dialog.</w:t>
            </w:r>
          </w:p>
        </w:tc>
      </w:tr>
      <w:tr>
        <w:tc>
          <w:tcPr>
            <w:tcW w:type="pct" w:w="28%"/>
            <w:tcMar>
              <w:top w:type="dxa" w:w="80"/>
              <w:left w:type="dxa" w:w="120"/>
              <w:bottom w:type="dxa" w:w="80"/>
              <w:right w:type="dxa" w:w="120"/>
            </w:tcMar>
          </w:tcPr>
          <w:p>
            <w:r>
              <w:rPr>
                <w:rFonts w:ascii="Consolas" w:cs="Consolas" w:eastAsia="Consolas" w:hAnsi="Consolas"/>
                <w:color w:val="7C3AED"/>
                <w:sz w:val="20"/>
                <w:szCs w:val="20"/>
              </w:rPr>
              <w:t xml:space="preserve">pages/VerifyEmail.test.jsx</w:t>
            </w:r>
          </w:p>
        </w:tc>
        <w:tc>
          <w:tcPr>
            <w:tcW w:type="pct" w:w="12%"/>
            <w:tcMar>
              <w:top w:type="dxa" w:w="80"/>
              <w:left w:type="dxa" w:w="120"/>
              <w:bottom w:type="dxa" w:w="80"/>
              <w:right w:type="dxa" w:w="120"/>
            </w:tcMar>
          </w:tcPr>
          <w:p>
            <w:r>
              <w:rPr>
                <w:color w:val="6B7280"/>
                <w:sz w:val="20"/>
                <w:szCs w:val="20"/>
              </w:rPr>
              <w:t xml:space="preserve">Frontend</w:t>
            </w:r>
          </w:p>
        </w:tc>
        <w:tc>
          <w:tcPr>
            <w:tcW w:type="pct" w:w="60%"/>
            <w:tcMar>
              <w:top w:type="dxa" w:w="80"/>
              <w:left w:type="dxa" w:w="120"/>
              <w:bottom w:type="dxa" w:w="80"/>
              <w:right w:type="dxa" w:w="120"/>
            </w:tcMar>
          </w:tcPr>
          <w:p>
            <w:r>
              <w:rPr>
                <w:sz w:val="20"/>
                <w:szCs w:val="20"/>
              </w:rPr>
              <w:t xml:space="preserve">The confirming POST is never called when the read-only check reports the token invalid.</w:t>
            </w:r>
          </w:p>
        </w:tc>
      </w:tr>
      <w:tr>
        <w:tc>
          <w:tcPr>
            <w:tcW w:type="pct" w:w="28%"/>
            <w:tcMar>
              <w:top w:type="dxa" w:w="80"/>
              <w:left w:type="dxa" w:w="120"/>
              <w:bottom w:type="dxa" w:w="80"/>
              <w:right w:type="dxa" w:w="120"/>
            </w:tcMar>
          </w:tcPr>
          <w:p>
            <w:r>
              <w:rPr>
                <w:rFonts w:ascii="Consolas" w:cs="Consolas" w:eastAsia="Consolas" w:hAnsi="Consolas"/>
                <w:color w:val="7C3AED"/>
                <w:sz w:val="20"/>
                <w:szCs w:val="20"/>
              </w:rPr>
              <w:t xml:space="preserve">components/ProtectedRoute.test.jsx, RoleVisibility.test.jsx</w:t>
            </w:r>
          </w:p>
        </w:tc>
        <w:tc>
          <w:tcPr>
            <w:tcW w:type="pct" w:w="12%"/>
            <w:tcMar>
              <w:top w:type="dxa" w:w="80"/>
              <w:left w:type="dxa" w:w="120"/>
              <w:bottom w:type="dxa" w:w="80"/>
              <w:right w:type="dxa" w:w="120"/>
            </w:tcMar>
          </w:tcPr>
          <w:p>
            <w:r>
              <w:rPr>
                <w:color w:val="6B7280"/>
                <w:sz w:val="20"/>
                <w:szCs w:val="20"/>
              </w:rPr>
              <w:t xml:space="preserve">Frontend</w:t>
            </w:r>
          </w:p>
        </w:tc>
        <w:tc>
          <w:tcPr>
            <w:tcW w:type="pct" w:w="60%"/>
            <w:tcMar>
              <w:top w:type="dxa" w:w="80"/>
              <w:left w:type="dxa" w:w="120"/>
              <w:bottom w:type="dxa" w:w="80"/>
              <w:right w:type="dxa" w:w="120"/>
            </w:tcMar>
          </w:tcPr>
          <w:p>
            <w:r>
              <w:rPr>
                <w:sz w:val="20"/>
                <w:szCs w:val="20"/>
              </w:rPr>
              <w:t xml:space="preserve">Role-gated navigation and route access match the backend’s own rules.</w:t>
            </w:r>
          </w:p>
        </w:tc>
      </w:tr>
      <w:tr>
        <w:tc>
          <w:tcPr>
            <w:tcW w:type="pct" w:w="28%"/>
            <w:tcMar>
              <w:top w:type="dxa" w:w="80"/>
              <w:left w:type="dxa" w:w="120"/>
              <w:bottom w:type="dxa" w:w="80"/>
              <w:right w:type="dxa" w:w="120"/>
            </w:tcMar>
          </w:tcPr>
          <w:p>
            <w:r>
              <w:rPr>
                <w:rFonts w:ascii="Consolas" w:cs="Consolas" w:eastAsia="Consolas" w:hAnsi="Consolas"/>
                <w:color w:val="7C3AED"/>
                <w:sz w:val="20"/>
                <w:szCs w:val="20"/>
              </w:rPr>
              <w:t xml:space="preserve">context/MultiTabSession.test.jsx</w:t>
            </w:r>
          </w:p>
        </w:tc>
        <w:tc>
          <w:tcPr>
            <w:tcW w:type="pct" w:w="12%"/>
            <w:tcMar>
              <w:top w:type="dxa" w:w="80"/>
              <w:left w:type="dxa" w:w="120"/>
              <w:bottom w:type="dxa" w:w="80"/>
              <w:right w:type="dxa" w:w="120"/>
            </w:tcMar>
          </w:tcPr>
          <w:p>
            <w:r>
              <w:rPr>
                <w:color w:val="6B7280"/>
                <w:sz w:val="20"/>
                <w:szCs w:val="20"/>
              </w:rPr>
              <w:t xml:space="preserve">Frontend</w:t>
            </w:r>
          </w:p>
        </w:tc>
        <w:tc>
          <w:tcPr>
            <w:tcW w:type="pct" w:w="60%"/>
            <w:tcMar>
              <w:top w:type="dxa" w:w="80"/>
              <w:left w:type="dxa" w:w="120"/>
              <w:bottom w:type="dxa" w:w="80"/>
              <w:right w:type="dxa" w:w="120"/>
            </w:tcMar>
          </w:tcPr>
          <w:p>
            <w:r>
              <w:rPr>
                <w:sz w:val="20"/>
                <w:szCs w:val="20"/>
              </w:rPr>
              <w:t xml:space="preserve">A session change (login/logout) in one browser tab is reflected in another.</w:t>
            </w:r>
          </w:p>
        </w:tc>
      </w:tr>
      <w:tr>
        <w:tc>
          <w:tcPr>
            <w:tcW w:type="pct" w:w="28%"/>
            <w:tcMar>
              <w:top w:type="dxa" w:w="80"/>
              <w:left w:type="dxa" w:w="120"/>
              <w:bottom w:type="dxa" w:w="80"/>
              <w:right w:type="dxa" w:w="120"/>
            </w:tcMar>
          </w:tcPr>
          <w:p>
            <w:r>
              <w:rPr>
                <w:rFonts w:ascii="Consolas" w:cs="Consolas" w:eastAsia="Consolas" w:hAnsi="Consolas"/>
                <w:color w:val="7C3AED"/>
                <w:sz w:val="20"/>
                <w:szCs w:val="20"/>
              </w:rPr>
              <w:t xml:space="preserve">pages/Login.test.jsx</w:t>
            </w:r>
          </w:p>
        </w:tc>
        <w:tc>
          <w:tcPr>
            <w:tcW w:type="pct" w:w="12%"/>
            <w:tcMar>
              <w:top w:type="dxa" w:w="80"/>
              <w:left w:type="dxa" w:w="120"/>
              <w:bottom w:type="dxa" w:w="80"/>
              <w:right w:type="dxa" w:w="120"/>
            </w:tcMar>
          </w:tcPr>
          <w:p>
            <w:r>
              <w:rPr>
                <w:color w:val="6B7280"/>
                <w:sz w:val="20"/>
                <w:szCs w:val="20"/>
              </w:rPr>
              <w:t xml:space="preserve">Frontend</w:t>
            </w:r>
          </w:p>
        </w:tc>
        <w:tc>
          <w:tcPr>
            <w:tcW w:type="pct" w:w="60%"/>
            <w:tcMar>
              <w:top w:type="dxa" w:w="80"/>
              <w:left w:type="dxa" w:w="120"/>
              <w:bottom w:type="dxa" w:w="80"/>
              <w:right w:type="dxa" w:w="120"/>
            </w:tcMar>
          </w:tcPr>
          <w:p>
            <w:r>
              <w:rPr>
                <w:sz w:val="20"/>
                <w:szCs w:val="20"/>
              </w:rPr>
              <w:t xml:space="preserve">No token is ever written to localStorage or sessionStorage — a direct, automated check of the Priority 1 claim.</w:t>
            </w:r>
          </w:p>
        </w:tc>
      </w:tr>
    </w:tbl>
    <w:p>
      <w:pPr>
        <w:spacing w:after="120" w:before="160"/>
      </w:pPr>
      <w:r>
        <w:rPr>
          <w:color w:val="111827"/>
          <w:sz w:val="22"/>
          <w:szCs w:val="22"/>
        </w:rPr>
        <w:t xml:space="preserve">Full current suite counts: 1212+ backend tests across 58 files, 311+ frontend component tests across 30 files, plus a separate 45-test Playwright end-to-end suite driving a real browser against the real stack (frontend/e2e/*.spec.js) for the flows a unit test cannot honestly cover — registration through to a placed order, cross-tab session behaviour, and the buyer/staff session isolation guarantee.</w:t>
      </w:r>
    </w:p>
    <w:p>
      <w:r>
        <w:br w:type="page"/>
      </w:r>
    </w:p>
    <w:p>
      <w:pPr>
        <w:pStyle w:val="Heading1"/>
        <w:spacing w:after="200" w:before="360"/>
      </w:pPr>
      <w:r>
        <w:rPr>
          <w:b/>
          <w:bCs/>
          <w:color w:val="1F2937"/>
        </w:rPr>
        <w:t xml:space="preserve">5. Prepared answers — "be prepared to explain"</w:t>
      </w:r>
    </w:p>
    <w:p>
      <w:pPr>
        <w:spacing w:after="120" w:before="0"/>
      </w:pPr>
      <w:r>
        <w:rPr>
          <w:color w:val="111827"/>
          <w:sz w:val="22"/>
          <w:szCs w:val="22"/>
        </w:rPr>
        <w:t xml:space="preserve">The feedback listed specific questions to be ready for at the next stage. Answers below are written as talking points grounded in this actual codebase, not generic textbook answers.</w:t>
      </w:r>
    </w:p>
    <w:p>
      <w:pPr>
        <w:pStyle w:val="Heading2"/>
        <w:spacing w:after="140" w:before="280"/>
      </w:pPr>
      <w:r>
        <w:rPr>
          <w:b/>
          <w:bCs/>
          <w:color w:val="2563EB"/>
        </w:rPr>
        <w:t xml:space="preserve">Backend</w:t>
      </w:r>
    </w:p>
    <w:p>
      <w:pPr>
        <w:pStyle w:val="Heading3"/>
        <w:spacing w:after="100" w:before="200"/>
      </w:pPr>
      <w:r>
        <w:rPr>
          <w:b/>
          <w:bCs/>
          <w:color w:val="111827"/>
        </w:rPr>
        <w:t xml:space="preserve">Why does authorization belong in the backend, not just the frontend?</w:t>
      </w:r>
    </w:p>
    <w:p>
      <w:pPr>
        <w:spacing w:after="100" w:before="0"/>
      </w:pPr>
      <w:r>
        <w:rPr>
          <w:color w:val="111827"/>
          <w:sz w:val="22"/>
          <w:szCs w:val="22"/>
        </w:rPr>
        <w:t xml:space="preserve">Because the frontend is not a trust boundary — anything running in the user’s own browser can be inspected, modified, or bypassed entirely with a raw HTTP client. Hiding a "Delete" button stops a confused user from clicking it; it does nothing against someone who reads the network tab and replays the request by hand. In this codebase, permission checks in usePermissions.js and &lt;Can&gt; exist purely for honesty — so the UI never offers an action the server will refuse — and every one of them is documented as mirroring a specific backend rule it does not replace. The actual enforcement is `requireRole`/`requireManagerOrAdmin` middleware and per-record scoping functions like canAccessOrderDocument, which run on every request regardless of what client sent it.</w:t>
      </w:r>
    </w:p>
    <w:p>
      <w:pPr>
        <w:pStyle w:val="Heading3"/>
        <w:spacing w:after="100" w:before="200"/>
      </w:pPr>
      <w:r>
        <w:rPr>
          <w:b/>
          <w:bCs/>
          <w:color w:val="111827"/>
        </w:rPr>
        <w:t xml:space="preserve">How does the ownership model work?</w:t>
      </w:r>
    </w:p>
    <w:p>
      <w:pPr>
        <w:spacing w:after="100" w:before="0"/>
      </w:pPr>
      <w:r>
        <w:rPr>
          <w:color w:val="111827"/>
          <w:sz w:val="22"/>
          <w:szCs w:val="22"/>
        </w:rPr>
        <w:t xml:space="preserve">Two independent mechanisms, layered. Role-based: admin sees and does everything; manager sees everything but writes go through a change-request an admin approves; a sales rep sees nothing of the customer book at all, only the orders and contact details specifically assigned to them. Record-scoped: a query filter like { $or: [{ createdBy: repId }, { assignedTo: repId }] } is applied at the database level before results are ever fetched, not filtered out afterwards — so a rep cannot even discover another rep’s customer exists via timing or error messages.</w:t>
      </w:r>
    </w:p>
    <w:p>
      <w:pPr>
        <w:pStyle w:val="Heading3"/>
        <w:spacing w:after="100" w:before="200"/>
      </w:pPr>
      <w:r>
        <w:rPr>
          <w:b/>
          <w:bCs/>
          <w:color w:val="111827"/>
        </w:rPr>
        <w:t xml:space="preserve">How can concurrent orders cause an inventory problem, and how is it prevented here?</w:t>
      </w:r>
    </w:p>
    <w:p>
      <w:pPr>
        <w:spacing w:after="100" w:before="0"/>
      </w:pPr>
      <w:r>
        <w:rPr>
          <w:color w:val="111827"/>
          <w:sz w:val="22"/>
          <w:szCs w:val="22"/>
        </w:rPr>
        <w:t xml:space="preserve">The classic race: two requests both read stock as 1, both decide there is enough, both write a decrement, and stock ends at -1. This app prevents it with a single atomic conditional update — { _id: productId, stockQty: { $gte: quantity } } as the FILTER, not a separate read-then-check-then-write — so the database itself refuses the second request’s update (modifiedCount comes back 0) rather than the application racing to check first. tests/orderConcurrency.test.js fires two simultaneous requests at a product with stock of exactly 1 and asserts exactly one succeeds.</w:t>
      </w:r>
    </w:p>
    <w:p>
      <w:pPr>
        <w:pStyle w:val="Heading3"/>
        <w:spacing w:after="100" w:before="200"/>
      </w:pPr>
      <w:r>
        <w:rPr>
          <w:b/>
          <w:bCs/>
          <w:color w:val="111827"/>
        </w:rPr>
        <w:t xml:space="preserve">How would MongoDB transactions improve this further, and where are they already used?</w:t>
      </w:r>
    </w:p>
    <w:p>
      <w:pPr>
        <w:spacing w:after="100" w:before="0"/>
      </w:pPr>
      <w:r>
        <w:rPr>
          <w:color w:val="111827"/>
          <w:sz w:val="22"/>
          <w:szCs w:val="22"/>
        </w:rPr>
        <w:t xml:space="preserve">They already are — utils/transaction.js wraps session.withTransaction() with automatic retry for the two transient error codes MongoDB expects a client to retry (TransientTransactionError, UnknownTransactionCommitResult), used for order creation, order status transitions, order deletion, the Stripe checkout webhook, and change-request approval. What a transaction buys on top of the atomic stock update: an order document, its stock decrements across several products, and an audit log entry all commit together or not at all — a crash between two of those writes cannot leave the order created but the stock not decremented, or the reverse.</w:t>
      </w:r>
    </w:p>
    <w:p>
      <w:pPr>
        <w:pStyle w:val="Heading3"/>
        <w:spacing w:after="100" w:before="200"/>
      </w:pPr>
      <w:r>
        <w:rPr>
          <w:b/>
          <w:bCs/>
          <w:color w:val="111827"/>
        </w:rPr>
        <w:t xml:space="preserve">Why should order prices be snapshotted rather than looked up live?</w:t>
      </w:r>
    </w:p>
    <w:p>
      <w:pPr>
        <w:spacing w:after="100" w:before="0"/>
      </w:pPr>
      <w:r>
        <w:rPr>
          <w:color w:val="111827"/>
          <w:sz w:val="22"/>
          <w:szCs w:val="22"/>
        </w:rPr>
        <w:t xml:space="preserve">An order is a record of what happened, and a product’s current price is a fact about right now. Storing priceAtOrder on each line item means a price change next week cannot silently rewrite what a customer was actually charged three months ago — which would corrupt every historical report, refund calculation, and revenue figure that reads through it. The same reasoning is applied to product variant details on an order line (colour, size), so renaming or discontinuing a variant cannot rewrite what was actually shipped.</w:t>
      </w:r>
    </w:p>
    <w:p>
      <w:pPr>
        <w:pStyle w:val="Heading3"/>
        <w:spacing w:after="100" w:before="200"/>
      </w:pPr>
      <w:r>
        <w:rPr>
          <w:b/>
          <w:bCs/>
          <w:color w:val="111827"/>
        </w:rPr>
        <w:t xml:space="preserve">How would you design idempotent order creation?</w:t>
      </w:r>
    </w:p>
    <w:p>
      <w:pPr>
        <w:spacing w:after="100" w:before="0"/>
      </w:pPr>
      <w:r>
        <w:rPr>
          <w:color w:val="111827"/>
          <w:sz w:val="22"/>
          <w:szCs w:val="22"/>
        </w:rPr>
        <w:t xml:space="preserve">Already built this way: an optional Idempotency-Key header, and the reservation is an INSERT into a collection with a unique index on the key — not a check-then-insert, which would itself be a race. The key is scoped per actor (user:id / buyer:id / guest:ip) so two different customers can never collide on the same key. A request fingerprint (a hash of method + URL + body) is stored alongside it, so replaying the same key with DIFFERENT content is refused with a 409 rather than silently served from cache. A completed request’s stored response is replayed verbatim on retry, with an Idempotent-Replay header so the client can tell the difference.</w:t>
      </w:r>
    </w:p>
    <w:p>
      <w:pPr>
        <w:pStyle w:val="Heading2"/>
        <w:spacing w:after="140" w:before="280"/>
      </w:pPr>
      <w:r>
        <w:rPr>
          <w:b/>
          <w:bCs/>
          <w:color w:val="2563EB"/>
        </w:rPr>
        <w:t xml:space="preserve">Security</w:t>
      </w:r>
    </w:p>
    <w:p>
      <w:pPr>
        <w:pStyle w:val="Heading3"/>
        <w:spacing w:after="100" w:before="200"/>
      </w:pPr>
      <w:r>
        <w:rPr>
          <w:b/>
          <w:bCs/>
          <w:color w:val="111827"/>
        </w:rPr>
        <w:t xml:space="preserve">What are the security implications of storing a JWT in localStorage?</w:t>
      </w:r>
    </w:p>
    <w:p>
      <w:pPr>
        <w:spacing w:after="100" w:before="0"/>
      </w:pPr>
      <w:r>
        <w:rPr>
          <w:color w:val="111827"/>
          <w:sz w:val="22"/>
          <w:szCs w:val="22"/>
        </w:rPr>
        <w:t xml:space="preserve">Any JavaScript that runs on the page can read localStorage — which means a single successful XSS injection anywhere on the site (a comment field, a product description, a third-party script) can exfiltrate the token and impersonate the user indefinitely, with no way to detect or revoke it short of rotating every secret. An httpOnly cookie is invisible to JavaScript entirely; XSS can still make requests AS the user in the moment, but it cannot steal a long-lived credential to use later or elsewhere.</w:t>
      </w:r>
    </w:p>
    <w:p>
      <w:pPr>
        <w:pStyle w:val="Heading3"/>
        <w:spacing w:after="100" w:before="200"/>
      </w:pPr>
      <w:r>
        <w:rPr>
          <w:b/>
          <w:bCs/>
          <w:color w:val="111827"/>
        </w:rPr>
        <w:t xml:space="preserve">How do httpOnly cookies work, and how does this app use them?</w:t>
      </w:r>
    </w:p>
    <w:p>
      <w:pPr>
        <w:spacing w:after="100" w:before="0"/>
      </w:pPr>
      <w:r>
        <w:rPr>
          <w:color w:val="111827"/>
          <w:sz w:val="22"/>
          <w:szCs w:val="22"/>
        </w:rPr>
        <w:t xml:space="preserve">The Set-Cookie response header carries the HttpOnly flag, which instructs the browser to store the cookie but refuse to expose it to document.cookie or any script. The browser still attaches it automatically on every matching request. This app issues two: a short-lived (15-minute) access token cookie and a longer-lived (7-day) refresh token cookie scoped to the /api/auth path specifically, plus a completely separate cookie pair for the storefront buyer session so a staff login and a buyer login in the same browser can never interfere with each other.</w:t>
      </w:r>
    </w:p>
    <w:p>
      <w:pPr>
        <w:pStyle w:val="Heading3"/>
        <w:spacing w:after="100" w:before="200"/>
      </w:pPr>
      <w:r>
        <w:rPr>
          <w:b/>
          <w:bCs/>
          <w:color w:val="111827"/>
        </w:rPr>
        <w:t xml:space="preserve">How would CSRF protection work here?</w:t>
      </w:r>
    </w:p>
    <w:p>
      <w:pPr>
        <w:spacing w:after="100" w:before="0"/>
      </w:pPr>
      <w:r>
        <w:rPr>
          <w:color w:val="111827"/>
          <w:sz w:val="22"/>
          <w:szCs w:val="22"/>
        </w:rPr>
        <w:t xml:space="preserve">Double-submit cookie, implemented by hand rather than a library (the common one, csurf, has been deprecated since 2022). A CSRF token is set as a NON-httpOnly cookie — deliberately readable by this app’s own JavaScript — and every state-changing request must echo it back in a custom header. A cross-site attacker’s page can make the browser attach the session cookie automatically, but it cannot read the CSRF cookie to produce a matching header, because that would violate same-origin policy. The check is skipped for safe methods (GET/HEAD/OPTIONS), for requests with no session cookie at all (nothing to forge), and for bearer-token requests (a stolen bearer token is a worse problem than CSRF and this check would not help against it anyway).</w:t>
      </w:r>
    </w:p>
    <w:p>
      <w:pPr>
        <w:pStyle w:val="Heading3"/>
        <w:spacing w:after="100" w:before="200"/>
      </w:pPr>
      <w:r>
        <w:rPr>
          <w:b/>
          <w:bCs/>
          <w:color w:val="111827"/>
        </w:rPr>
        <w:t xml:space="preserve">How would you rate-limit login and AI endpoints, and why differently?</w:t>
      </w:r>
    </w:p>
    <w:p>
      <w:pPr>
        <w:spacing w:after="100" w:before="0"/>
      </w:pPr>
      <w:r>
        <w:rPr>
          <w:color w:val="111827"/>
          <w:sz w:val="22"/>
          <w:szCs w:val="22"/>
        </w:rPr>
        <w:t xml:space="preserve">Login: 10 attempts per 15 minutes per IP, layered UNDER a separate per-account lockout (5 failures, exponential backoff capped at 15 minutes) — two independent defences, so disabling one via a bug does not remove the other. AI endpoints: 20 requests per 5 minutes per IP AND 30 per 5 minutes per signed-in user, both applied together — the per-IP limit stops a script hammering the endpoint from one machine, the per-user limit stops one compromised or careless account from exhausting the whole office’s shared IP budget. AI limits exist for a different reason than login limits: every call costs real money, so this is a budget control as much as a security one.</w:t>
      </w:r>
    </w:p>
    <w:p>
      <w:pPr>
        <w:pStyle w:val="Heading3"/>
        <w:spacing w:after="100" w:before="200"/>
      </w:pPr>
      <w:r>
        <w:rPr>
          <w:b/>
          <w:bCs/>
          <w:color w:val="111827"/>
        </w:rPr>
        <w:t xml:space="preserve">How do you protect AI-generated database queries from injection or overreach?</w:t>
      </w:r>
    </w:p>
    <w:p>
      <w:pPr>
        <w:spacing w:after="100" w:before="0"/>
      </w:pPr>
      <w:r>
        <w:rPr>
          <w:color w:val="111827"/>
          <w:sz w:val="22"/>
          <w:szCs w:val="22"/>
        </w:rPr>
        <w:t xml:space="preserve">The model never produces a raw MongoDB query. It returns structured JSON (field, operator, value) that is validated against an explicit allow-list of fields and operators before anything touches the database — an AI-suggested field or operator not on that list is dropped, not executed. Authorization is applied AFTER interpretation, using the same scoping every other query in the app uses, so the AI path cannot become a side door around RBAC. The interpreted filter is also returned to the caller, so what the system understood is never hidden from the person who asked.</w:t>
      </w:r>
    </w:p>
    <w:p>
      <w:pPr>
        <w:pStyle w:val="Heading2"/>
        <w:spacing w:after="140" w:before="280"/>
      </w:pPr>
      <w:r>
        <w:rPr>
          <w:b/>
          <w:bCs/>
          <w:color w:val="2563EB"/>
        </w:rPr>
        <w:t xml:space="preserve">AI</w:t>
      </w:r>
    </w:p>
    <w:p>
      <w:pPr>
        <w:pStyle w:val="Heading3"/>
        <w:spacing w:after="100" w:before="200"/>
      </w:pPr>
      <w:r>
        <w:rPr>
          <w:b/>
          <w:bCs/>
          <w:color w:val="111827"/>
        </w:rPr>
        <w:t xml:space="preserve">Why must LLM output always be validated?</w:t>
      </w:r>
    </w:p>
    <w:p>
      <w:pPr>
        <w:spacing w:after="100" w:before="0"/>
      </w:pPr>
      <w:r>
        <w:rPr>
          <w:color w:val="111827"/>
          <w:sz w:val="22"/>
          <w:szCs w:val="22"/>
        </w:rPr>
        <w:t xml:space="preserve">A language model has no concept of your schema, your authorization rules, or what a well-formed query looks like — it produces plausible-looking text, not verified structure. Treating that output as trusted input is how a phrase like "find everyone with role admin OR 1=1" becomes a real query. Every AI response in this app is validated against an explicit shape before use: allow-listed fields and operators for search, a strict text-only schema with length caps for generated content, and a required mode field so a fallback response can never be silently mistaken for a generated one.</w:t>
      </w:r>
    </w:p>
    <w:p>
      <w:pPr>
        <w:pStyle w:val="Heading3"/>
        <w:spacing w:after="100" w:before="200"/>
      </w:pPr>
      <w:r>
        <w:rPr>
          <w:b/>
          <w:bCs/>
          <w:color w:val="111827"/>
        </w:rPr>
        <w:t xml:space="preserve">How would you reduce AI cost as usage grows?</w:t>
      </w:r>
    </w:p>
    <w:p>
      <w:pPr>
        <w:spacing w:after="100" w:before="0"/>
      </w:pPr>
      <w:r>
        <w:rPr>
          <w:color w:val="111827"/>
          <w:sz w:val="22"/>
          <w:szCs w:val="22"/>
        </w:rPr>
        <w:t xml:space="preserve">Four levers already in place: a hard prompt-size cap enforced before the call is made (so a pasted essay in a search box cannot become an expensive request); response caching for identical repeated queries (5-minute TTL, size-capped); using the smaller/faster model tier for short, latency-sensitive prompts rather than a larger reasoning model by default; and per-call usage logging with an estimated cost, so a spend spike is visible by feature rather than discovered on an invoice at month end.</w:t>
      </w:r>
    </w:p>
    <w:p>
      <w:pPr>
        <w:pStyle w:val="Heading3"/>
        <w:spacing w:after="100" w:before="200"/>
      </w:pPr>
      <w:r>
        <w:rPr>
          <w:b/>
          <w:bCs/>
          <w:color w:val="111827"/>
        </w:rPr>
        <w:t xml:space="preserve">How would you make the AI feature more useful to a sales team specifically?</w:t>
      </w:r>
    </w:p>
    <w:p>
      <w:pPr>
        <w:spacing w:after="100" w:before="0"/>
      </w:pPr>
      <w:r>
        <w:rPr>
          <w:color w:val="111827"/>
          <w:sz w:val="22"/>
          <w:szCs w:val="22"/>
        </w:rPr>
        <w:t xml:space="preserve">This is largely already the shape of the current build: a churn-risk rollup a manager can act on team-wide, not just per-customer; a reorder-suggestion list ranked by actual sales data with an AI-written justification per item; and drafted (never auto-sent) outreach messages in three tones tied to a customer’s actual account history. The next real step is proactive surfacing — a daily digest of "these five accounts need attention today and here is why" pushed to a rep, rather than requiring them to open each customer to discover it.</w:t>
      </w:r>
    </w:p>
    <w:p>
      <w:pPr>
        <w:pStyle w:val="Heading2"/>
        <w:spacing w:after="140" w:before="280"/>
      </w:pPr>
      <w:r>
        <w:rPr>
          <w:b/>
          <w:bCs/>
          <w:color w:val="2563EB"/>
        </w:rPr>
        <w:t xml:space="preserve">Scalability</w:t>
      </w:r>
    </w:p>
    <w:p>
      <w:pPr>
        <w:pStyle w:val="Heading3"/>
        <w:spacing w:after="100" w:before="200"/>
      </w:pPr>
      <w:r>
        <w:rPr>
          <w:b/>
          <w:bCs/>
          <w:color w:val="111827"/>
        </w:rPr>
        <w:t xml:space="preserve">How would this application behave with 100,000 customers?</w:t>
      </w:r>
    </w:p>
    <w:p>
      <w:pPr>
        <w:spacing w:after="100" w:before="0"/>
      </w:pPr>
      <w:r>
        <w:rPr>
          <w:color w:val="111827"/>
          <w:sz w:val="22"/>
          <w:szCs w:val="22"/>
        </w:rPr>
        <w:t xml:space="preserve">The list, filter and sort paths would still be fast — every one of them is backed by a matching compound index, verified with explain() rather than assumed. The genuine weak point is the free-text search box: it builds an unanchored regex (/karachi/i), which cannot use a btree index because there is no fixed prefix to seek to, so it degrades to a collection scan as the collection grows. That is a documented, known limitation rather than a hidden one, with the real fix already identified: either anchor the search to "starts with", or move to MongoDB Atlas Search, which is built for this. It has not been done because the collection does not need it yet, and doing it prematurely would be solving a problem this project does not have.</w:t>
      </w:r>
    </w:p>
    <w:p>
      <w:pPr>
        <w:pStyle w:val="Heading3"/>
        <w:spacing w:after="100" w:before="200"/>
      </w:pPr>
      <w:r>
        <w:rPr>
          <w:b/>
          <w:bCs/>
          <w:color w:val="111827"/>
        </w:rPr>
        <w:t xml:space="preserve">How would you redesign customer/product selection at that scale?</w:t>
      </w:r>
    </w:p>
    <w:p>
      <w:pPr>
        <w:spacing w:after="100" w:before="0"/>
      </w:pPr>
      <w:r>
        <w:rPr>
          <w:color w:val="111827"/>
          <w:sz w:val="22"/>
          <w:szCs w:val="22"/>
        </w:rPr>
        <w:t xml:space="preserve">It already is designed for that scale, not a fixed dropdown — SearchSelect.jsx debounces input by 250ms and queries a server-side /options endpoint that returns at most 25 rows, unpopulated and lean(), rather than ever loading "all customers" into the browser. The one refinement worth naming for a much larger dataset is switching that endpoint’s own search from a regex scan to Atlas Search or a dedicated index, for the same reason as the previous answer.</w:t>
      </w:r>
    </w:p>
    <w:p>
      <w:pPr>
        <w:pStyle w:val="Heading3"/>
        <w:spacing w:after="100" w:before="200"/>
      </w:pPr>
      <w:r>
        <w:rPr>
          <w:b/>
          <w:bCs/>
          <w:color w:val="111827"/>
        </w:rPr>
        <w:t xml:space="preserve">Which indexes would you add, and how did you decide?</w:t>
      </w:r>
    </w:p>
    <w:p>
      <w:pPr>
        <w:spacing w:after="100" w:before="0"/>
      </w:pPr>
      <w:r>
        <w:rPr>
          <w:color w:val="111827"/>
          <w:sz w:val="22"/>
          <w:szCs w:val="22"/>
        </w:rPr>
        <w:t xml:space="preserve">Every index in the codebase maps to one query that is actually run — an index nobody queries by only slows every write down for no benefit. The compound indexes on Customer, Order and Product each end in _id in the sort’s own direction, because getSort() appends _id as a tiebreaker to every query for total ordering, and an index missing that trailing field does not satisfy the sort MongoDB actually runs. The two branches of a sales rep’s $or scope (createdBy, assignedTo) each get their own index, because MongoDB evaluates $or branches independently — an index covering only one branch still leaves the other a full scan.</w:t>
      </w:r>
    </w:p>
    <w:p>
      <w:pPr>
        <w:pStyle w:val="Heading3"/>
        <w:spacing w:after="100" w:before="200"/>
      </w:pPr>
      <w:r>
        <w:rPr>
          <w:b/>
          <w:bCs/>
          <w:color w:val="111827"/>
        </w:rPr>
        <w:t xml:space="preserve">How would you implement pagination at scale?</w:t>
      </w:r>
    </w:p>
    <w:p>
      <w:pPr>
        <w:spacing w:after="100" w:before="0"/>
      </w:pPr>
      <w:r>
        <w:rPr>
          <w:color w:val="111827"/>
          <w:sz w:val="22"/>
          <w:szCs w:val="22"/>
        </w:rPr>
        <w:t xml:space="preserve">Both are already implemented, deliberately, for different UI shapes: offset pagination (page numbers, jump-to-page) for screens like the customer list where a user wants to compare pages 2 and 7; cursor/keyset pagination (next/previous only) for very large or fast-changing sets like the audit log, where offset pagination has a real correctness bug — skip(10000) still has to scan and discard the first ten thousand documents, and a row inserted while paging shifts every subsequent page by one, causing a duplicate or a skip. The cursor is a base64url-encoded { value, id } pair, and the keyset comparison handles ties on the sort field correctly rather than just breaking on _id alone.</w:t>
      </w:r>
    </w:p>
    <w:p>
      <w:pPr>
        <w:pStyle w:val="Heading3"/>
        <w:spacing w:after="100" w:before="200"/>
      </w:pPr>
      <w:r>
        <w:rPr>
          <w:b/>
          <w:bCs/>
          <w:color w:val="111827"/>
        </w:rPr>
        <w:t xml:space="preserve">How would you handle concurrent inventory updates under heavy load?</w:t>
      </w:r>
    </w:p>
    <w:p>
      <w:pPr>
        <w:spacing w:after="100" w:before="0"/>
      </w:pPr>
      <w:r>
        <w:rPr>
          <w:color w:val="111827"/>
          <w:sz w:val="22"/>
          <w:szCs w:val="22"/>
        </w:rPr>
        <w:t xml:space="preserve">The current approach (atomic conditional update, covered above) already handles correctness under any load — it does not degrade as concurrency increases, because MongoDB serializes the conflicting writes for you. At genuinely high write volume the next concern shifts from correctness to throughput: many requests hammering one popular product’s document becomes write contention on a single document, which is where a queue-based reservation system or sharding the hot document would become the next real design conversation — not needed yet, but the correct next question once it is.</w:t>
      </w:r>
    </w:p>
    <w:p>
      <w:r>
        <w:br w:type="page"/>
      </w:r>
    </w:p>
    <w:p>
      <w:pPr>
        <w:pStyle w:val="Heading1"/>
        <w:spacing w:after="200" w:before="360"/>
      </w:pPr>
      <w:r>
        <w:rPr>
          <w:b/>
          <w:bCs/>
          <w:color w:val="1F2937"/>
        </w:rPr>
        <w:t xml:space="preserve">6. Closing note</w:t>
      </w:r>
    </w:p>
    <w:p>
      <w:pPr>
        <w:spacing w:after="120" w:before="0"/>
      </w:pPr>
      <w:r>
        <w:rPr>
          <w:color w:val="111827"/>
          <w:sz w:val="22"/>
          <w:szCs w:val="22"/>
        </w:rPr>
        <w:t xml:space="preserve">The point of writing this out in full — rather than a changelog — is the standard the feedback itself set: using AI tools well is not a problem, and being able to independently explain, defend, and extend what was built is the actual bar. Every claim above traces to a real file in this repository and a real, currently passing test. Section 5 is meant to be read before the next conversation, not just filed away after it.</w:t>
      </w:r>
    </w:p>
    <w:p>
      <w:pPr>
        <w:pBdr>
          <w:bottom w:val="single" w:color="D1D5DB" w:sz="6" w:space="1"/>
        </w:pBdr>
        <w:spacing w:after="240"/>
      </w:pPr>
    </w:p>
    <w:p>
      <w:pPr>
        <w:spacing w:after="120" w:before="0"/>
      </w:pPr>
      <w:r>
        <w:rPr>
          <w:i/>
          <w:iCs/>
          <w:color w:val="6B7280"/>
          <w:sz w:val="18"/>
          <w:szCs w:val="18"/>
        </w:rPr>
        <w:t xml:space="preserve">SimpleCRM — prepared with Claude Code.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2026-09-02T15:22:37.552Z</dcterms:created>
  <dcterms:modified xsi:type="dcterms:W3CDTF">2026-09-02T15:22:37.553Z</dcterms:modified>
</cp:coreProperties>
</file>

<file path=docProps/custom.xml><?xml version="1.0" encoding="utf-8"?>
<Properties xmlns="http://schemas.openxmlformats.org/officeDocument/2006/custom-properties" xmlns:vt="http://schemas.openxmlformats.org/officeDocument/2006/docPropsVTypes"/>
</file>