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391DC07" w14:textId="60205A91" w:rsidR="00E276FF" w:rsidRPr="00E276FF" w:rsidRDefault="5D5E0517" w:rsidP="00E276F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2BD9DDD7" w14:textId="77777777" w:rsidR="00E276FF" w:rsidRPr="00E276FF" w:rsidRDefault="00E276FF" w:rsidP="00E276FF">
      <w:pPr>
        <w:pStyle w:val="ListParagraph"/>
        <w:ind w:left="1440"/>
        <w:rPr>
          <w:rFonts w:ascii="Times New Roman" w:eastAsia="Times New Roman" w:hAnsi="Times New Roman" w:cs="Times New Roman"/>
        </w:rPr>
      </w:pPr>
    </w:p>
    <w:p w14:paraId="6FFA7BB3" w14:textId="1969CF53" w:rsidR="00E94E60" w:rsidRDefault="00DA5623" w:rsidP="00E276FF">
      <w:pPr>
        <w:pStyle w:val="ListParagraph"/>
        <w:ind w:left="1440"/>
        <w:jc w:val="both"/>
        <w:rPr>
          <w:rFonts w:ascii="Times New Roman" w:eastAsia="Times New Roman" w:hAnsi="Times New Roman" w:cs="Times New Roman"/>
          <w:color w:val="000000" w:themeColor="text1"/>
        </w:rPr>
      </w:pPr>
      <w:r w:rsidRPr="00DA5623">
        <w:rPr>
          <w:rFonts w:ascii="Times New Roman" w:eastAsia="Times New Roman" w:hAnsi="Times New Roman" w:cs="Times New Roman"/>
          <w:color w:val="000000" w:themeColor="text1"/>
        </w:rPr>
        <w:t>Cryptocurrency markets are known for strong price fluctuations, making it important to understand how intraday price movements develop. Opening and closing prices are widely analysed in financial research because they reflect investor sentiment at the start and end of a trading period. Understanding whether these two prices move together provides insight into market behaviour, stability, and price formation mechanisms. Previous studies have shown that cryptocurrency price movements often exhibit predictable patterns tied to market microstructure and trading behaviour (Dyhrberg, 2016). Therefore, analysing the relationship between opening and closing prices for Mobius helps reveal how consistently this asset behaves across trading days.</w:t>
      </w:r>
    </w:p>
    <w:p w14:paraId="172962C3" w14:textId="77777777" w:rsidR="00DA5623" w:rsidRPr="00E276FF" w:rsidRDefault="00DA5623" w:rsidP="00E276FF">
      <w:pPr>
        <w:pStyle w:val="ListParagraph"/>
        <w:ind w:left="1440"/>
        <w:jc w:val="both"/>
        <w:rPr>
          <w:rFonts w:ascii="Times New Roman" w:eastAsia="Times New Roman" w:hAnsi="Times New Roman" w:cs="Times New Roman"/>
        </w:rPr>
      </w:pPr>
    </w:p>
    <w:p w14:paraId="29430614" w14:textId="38158E83" w:rsidR="000F7A9B" w:rsidRPr="00E94E6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013412F2" w14:textId="77777777" w:rsidR="00E94E60" w:rsidRPr="00E94E60" w:rsidRDefault="00E94E60" w:rsidP="00E94E60">
      <w:pPr>
        <w:pStyle w:val="ListParagraph"/>
        <w:ind w:left="1440"/>
        <w:rPr>
          <w:rFonts w:ascii="Times New Roman" w:eastAsia="Times New Roman" w:hAnsi="Times New Roman" w:cs="Times New Roman"/>
        </w:rPr>
      </w:pPr>
    </w:p>
    <w:p w14:paraId="7C92E30C" w14:textId="684AA980" w:rsidR="00E94E60" w:rsidRDefault="00DA5623" w:rsidP="00E94E60">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The dataset contains historical daily price information for the cryptocurrency Mobius (MOBI). Each observation includes the date, opening price, highest and lowest price of the day, closing price, and percentage daily change. The data spans a long continuous period, providing sufficient variability for statistical testing. Because both opening and closing prices are numerical variables measured consistently over time, the dataset is suitable for exploring their linear relationship through correlation analysis.</w:t>
      </w:r>
    </w:p>
    <w:p w14:paraId="6CD4C3EB" w14:textId="77777777" w:rsidR="00DA5623" w:rsidRDefault="00DA5623" w:rsidP="00E94E60">
      <w:pPr>
        <w:pStyle w:val="ListParagraph"/>
        <w:ind w:left="1440"/>
        <w:jc w:val="both"/>
        <w:rPr>
          <w:rFonts w:ascii="Times New Roman" w:eastAsia="Times New Roman" w:hAnsi="Times New Roman" w:cs="Times New Roman"/>
        </w:rPr>
      </w:pPr>
    </w:p>
    <w:p w14:paraId="0D67F961" w14:textId="333F75CB" w:rsidR="00E94E60" w:rsidRDefault="000F7A9B" w:rsidP="00E94E60">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w:t>
      </w:r>
    </w:p>
    <w:p w14:paraId="460B48A6" w14:textId="77777777" w:rsidR="00E94E60" w:rsidRPr="00E94E60" w:rsidRDefault="00E94E60" w:rsidP="00E94E60">
      <w:pPr>
        <w:pStyle w:val="ListParagraph"/>
        <w:ind w:left="1440"/>
        <w:rPr>
          <w:rFonts w:ascii="Times New Roman" w:eastAsia="Times New Roman" w:hAnsi="Times New Roman" w:cs="Times New Roman"/>
          <w:b/>
          <w:bCs/>
        </w:rPr>
      </w:pPr>
    </w:p>
    <w:p w14:paraId="5BB842F6" w14:textId="77777777"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This study examines whether a statistically significant correlation exists between the daily opening and closing prices of the cryptocurrency Mobius. Identifying this relationship helps determine whether intraday price movements follow a consistent pattern, which contributes to understanding overall market behaviour and price dynamics in emerging digital assets.</w:t>
      </w:r>
    </w:p>
    <w:p w14:paraId="3CF85C9E" w14:textId="77777777" w:rsidR="00E94E60" w:rsidRPr="00DA5623" w:rsidRDefault="00E94E60" w:rsidP="00DA5623">
      <w:pPr>
        <w:jc w:val="both"/>
        <w:rPr>
          <w:rFonts w:ascii="Times New Roman" w:eastAsia="Times New Roman" w:hAnsi="Times New Roman" w:cs="Times New Roman"/>
        </w:rPr>
      </w:pPr>
    </w:p>
    <w:p w14:paraId="2CCA8960" w14:textId="40CC5A8D" w:rsidR="00DA5623" w:rsidRDefault="5D5E0517" w:rsidP="00DA5623">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DF024A" w:rsidRPr="00DA5623">
        <w:rPr>
          <w:rFonts w:ascii="Times New Roman" w:eastAsia="Times New Roman" w:hAnsi="Times New Roman" w:cs="Times New Roman"/>
        </w:rPr>
        <w:t>.</w:t>
      </w:r>
    </w:p>
    <w:p w14:paraId="00A9E7BA" w14:textId="77777777" w:rsidR="00DA5623" w:rsidRDefault="00DA5623" w:rsidP="00DA5623">
      <w:pPr>
        <w:pStyle w:val="ListParagraph"/>
        <w:ind w:left="1440"/>
        <w:rPr>
          <w:rFonts w:ascii="Times New Roman" w:eastAsia="Times New Roman" w:hAnsi="Times New Roman" w:cs="Times New Roman"/>
        </w:rPr>
      </w:pPr>
    </w:p>
    <w:p w14:paraId="68401CF4" w14:textId="2AD4054C"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 xml:space="preserve">This study tests whether the daily opening and closing prices of Mobius are linearly related. The </w:t>
      </w:r>
      <w:r w:rsidRPr="00DA5623">
        <w:rPr>
          <w:rFonts w:ascii="Times New Roman" w:eastAsia="Times New Roman" w:hAnsi="Times New Roman" w:cs="Times New Roman"/>
          <w:b/>
          <w:bCs/>
        </w:rPr>
        <w:t>null hypothesis (H₀)</w:t>
      </w:r>
      <w:r w:rsidRPr="00DA5623">
        <w:rPr>
          <w:rFonts w:ascii="Times New Roman" w:eastAsia="Times New Roman" w:hAnsi="Times New Roman" w:cs="Times New Roman"/>
        </w:rPr>
        <w:t xml:space="preserve"> states that there is </w:t>
      </w:r>
      <w:r w:rsidRPr="00DA5623">
        <w:rPr>
          <w:rFonts w:ascii="Times New Roman" w:eastAsia="Times New Roman" w:hAnsi="Times New Roman" w:cs="Times New Roman"/>
          <w:i/>
          <w:iCs/>
        </w:rPr>
        <w:t>no significant correlation</w:t>
      </w:r>
      <w:r w:rsidRPr="00DA5623">
        <w:rPr>
          <w:rFonts w:ascii="Times New Roman" w:eastAsia="Times New Roman" w:hAnsi="Times New Roman" w:cs="Times New Roman"/>
        </w:rPr>
        <w:t xml:space="preserve"> between opening and closing prices, suggesting that the closing price does not depend on the day’s opening price. The </w:t>
      </w:r>
      <w:r w:rsidRPr="00DA5623">
        <w:rPr>
          <w:rFonts w:ascii="Times New Roman" w:eastAsia="Times New Roman" w:hAnsi="Times New Roman" w:cs="Times New Roman"/>
          <w:b/>
          <w:bCs/>
        </w:rPr>
        <w:t>alternative hypothesis (H₁)</w:t>
      </w:r>
      <w:r w:rsidRPr="00DA5623">
        <w:rPr>
          <w:rFonts w:ascii="Times New Roman" w:eastAsia="Times New Roman" w:hAnsi="Times New Roman" w:cs="Times New Roman"/>
        </w:rPr>
        <w:t xml:space="preserve"> states that a </w:t>
      </w:r>
      <w:r w:rsidRPr="00DA5623">
        <w:rPr>
          <w:rFonts w:ascii="Times New Roman" w:eastAsia="Times New Roman" w:hAnsi="Times New Roman" w:cs="Times New Roman"/>
          <w:i/>
          <w:iCs/>
        </w:rPr>
        <w:t>significant correlation</w:t>
      </w:r>
      <w:r w:rsidRPr="00DA5623">
        <w:rPr>
          <w:rFonts w:ascii="Times New Roman" w:eastAsia="Times New Roman" w:hAnsi="Times New Roman" w:cs="Times New Roman"/>
        </w:rPr>
        <w:t xml:space="preserve"> does exist, meaning that opening prices may influence or predict closing prices. Testing these hypotheses allows assessment of whether Mobius displays consistent intraday price behaviour, which may reflect market stability, investor reactions, or broader trading patterns.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1EC1795B" w14:textId="1E702AF1" w:rsidR="00DA5623" w:rsidRDefault="5D5E0517" w:rsidP="00DA5623">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790CBFEC" w14:textId="77777777" w:rsidR="00DA5623" w:rsidRDefault="00DA5623" w:rsidP="00DA5623">
      <w:pPr>
        <w:pStyle w:val="ListParagraph"/>
        <w:ind w:left="1440"/>
        <w:jc w:val="both"/>
        <w:rPr>
          <w:rFonts w:ascii="Times New Roman" w:eastAsia="Times New Roman" w:hAnsi="Times New Roman" w:cs="Times New Roman"/>
        </w:rPr>
      </w:pPr>
    </w:p>
    <w:p w14:paraId="4AD0AC71" w14:textId="16132F5D" w:rsid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Understanding cryptocurrency price movements and their internal relationships has been widely explored in financial research. Dyhrberg (2016) examined Bitcoin’s price dynamics and found measurable patterns between different market indicators, showing that cryptocurrency prices often exhibit predictable behaviours similar to traditional assets. Although Mobius specifically has not been the focus of academic studies, its price data reflects broader digital asset characteristics. Similarly, Corbet et al. (2018) analysed intraday price behaviour across multiple cryptocurrencies and identified strong linkages between opening and closing prices, indicating that daily market activity frequently follows consistent patterns. This supports examining linear relationships within single-asset datasets such as Mobius. Furthermore, Katsiampa (2017) studied volatility in cryptocurrency markets and demonstrated that significant statistical associations often exist between different price measures within the same asset, reinforcing the idea that opening prices can influence closing prices. Collectively, these studies justify the use of correlation analysis to investigate intraday price behaviour in the Mobius dataset, even if Mobius itself has not been directly analysed in existing literature.</w:t>
      </w:r>
    </w:p>
    <w:p w14:paraId="1FD77A74" w14:textId="77777777" w:rsidR="00DA5623" w:rsidRDefault="00DA5623" w:rsidP="00DA5623">
      <w:pPr>
        <w:pStyle w:val="ListParagraph"/>
        <w:ind w:left="1440"/>
        <w:jc w:val="both"/>
        <w:rPr>
          <w:rFonts w:ascii="Times New Roman" w:eastAsia="Times New Roman" w:hAnsi="Times New Roman" w:cs="Times New Roman"/>
        </w:rPr>
      </w:pPr>
    </w:p>
    <w:p w14:paraId="1ED1552A" w14:textId="5CB21037" w:rsidR="006875F8" w:rsidRDefault="006F6C09" w:rsidP="006F6C09">
      <w:pPr>
        <w:pStyle w:val="ListParagraph"/>
        <w:ind w:left="1440"/>
        <w:rPr>
          <w:rFonts w:ascii="Times New Roman" w:eastAsia="Times New Roman" w:hAnsi="Times New Roman" w:cs="Times New Roman"/>
        </w:rPr>
      </w:pPr>
      <w:r w:rsidRPr="006F6C09">
        <w:rPr>
          <w:rFonts w:ascii="Times New Roman" w:eastAsia="Times New Roman" w:hAnsi="Times New Roman" w:cs="Times New Roman"/>
        </w:rPr>
        <w:t xml:space="preserve">Dyhrberg, A.H. (2016) ‘Hedging capabilities of Bitcoin. Is it the virtual gold?’, </w:t>
      </w:r>
      <w:r w:rsidRPr="006F6C09">
        <w:rPr>
          <w:rFonts w:ascii="Times New Roman" w:eastAsia="Times New Roman" w:hAnsi="Times New Roman" w:cs="Times New Roman"/>
          <w:i/>
          <w:iCs/>
        </w:rPr>
        <w:t>Finance Research Letters</w:t>
      </w:r>
      <w:r w:rsidRPr="006F6C09">
        <w:rPr>
          <w:rFonts w:ascii="Times New Roman" w:eastAsia="Times New Roman" w:hAnsi="Times New Roman" w:cs="Times New Roman"/>
        </w:rPr>
        <w:t>, 16, pp. 139–144.</w:t>
      </w:r>
      <w:r w:rsidR="006875F8" w:rsidRPr="006875F8">
        <w:rPr>
          <w:rFonts w:ascii="Times New Roman" w:eastAsia="Times New Roman" w:hAnsi="Times New Roman" w:cs="Times New Roman"/>
        </w:rPr>
        <w:br/>
        <w:t xml:space="preserve">Corbet, S., Lucey, B., Urquhart, A. and Yarovaya, L. (2018) ‘Cryptocurrency Reaction to FOMC Announcements’, </w:t>
      </w:r>
      <w:r w:rsidR="006875F8" w:rsidRPr="006875F8">
        <w:rPr>
          <w:rFonts w:ascii="Times New Roman" w:eastAsia="Times New Roman" w:hAnsi="Times New Roman" w:cs="Times New Roman"/>
          <w:i/>
          <w:iCs/>
        </w:rPr>
        <w:t>Research in International Business and Finance</w:t>
      </w:r>
      <w:r w:rsidR="006875F8" w:rsidRPr="006875F8">
        <w:rPr>
          <w:rFonts w:ascii="Times New Roman" w:eastAsia="Times New Roman" w:hAnsi="Times New Roman" w:cs="Times New Roman"/>
        </w:rPr>
        <w:t>, 44, pp. 112–132.</w:t>
      </w:r>
      <w:r w:rsidR="006875F8" w:rsidRPr="006875F8">
        <w:rPr>
          <w:rFonts w:ascii="Times New Roman" w:eastAsia="Times New Roman" w:hAnsi="Times New Roman" w:cs="Times New Roman"/>
        </w:rPr>
        <w:br/>
        <w:t xml:space="preserve">Katsiampa, P. (2017) ‘Volatility estimation for Bitcoin: A comparison of GARCH models’, </w:t>
      </w:r>
      <w:r w:rsidR="006875F8" w:rsidRPr="006875F8">
        <w:rPr>
          <w:rFonts w:ascii="Times New Roman" w:eastAsia="Times New Roman" w:hAnsi="Times New Roman" w:cs="Times New Roman"/>
          <w:i/>
          <w:iCs/>
        </w:rPr>
        <w:t>Economics Letters</w:t>
      </w:r>
      <w:r w:rsidR="006875F8" w:rsidRPr="006875F8">
        <w:rPr>
          <w:rFonts w:ascii="Times New Roman" w:eastAsia="Times New Roman" w:hAnsi="Times New Roman" w:cs="Times New Roman"/>
        </w:rPr>
        <w:t>, 158, pp. 3–6.</w:t>
      </w:r>
    </w:p>
    <w:p w14:paraId="2CB02571" w14:textId="77777777" w:rsidR="006F6C09" w:rsidRPr="00DA5623" w:rsidRDefault="006F6C09" w:rsidP="006F6C09">
      <w:pPr>
        <w:pStyle w:val="ListParagraph"/>
        <w:ind w:left="1440"/>
        <w:rPr>
          <w:rFonts w:ascii="Times New Roman" w:eastAsia="Times New Roman" w:hAnsi="Times New Roman" w:cs="Times New Roman"/>
        </w:rPr>
      </w:pPr>
    </w:p>
    <w:p w14:paraId="13395A3D" w14:textId="403F530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31A3FB72" w14:textId="77777777" w:rsidR="006F6C09" w:rsidRDefault="006F6C09" w:rsidP="006F6C09">
      <w:pPr>
        <w:pStyle w:val="ListParagraph"/>
        <w:ind w:left="1440"/>
        <w:rPr>
          <w:rFonts w:ascii="Times New Roman" w:eastAsia="Times New Roman" w:hAnsi="Times New Roman" w:cs="Times New Roman"/>
        </w:rPr>
      </w:pPr>
    </w:p>
    <w:p w14:paraId="34ECDBE2" w14:textId="4D89F00F" w:rsidR="006F6C09" w:rsidRDefault="006F6C09" w:rsidP="006F6C09">
      <w:pPr>
        <w:pStyle w:val="ListParagraph"/>
        <w:ind w:left="1440"/>
        <w:jc w:val="both"/>
        <w:rPr>
          <w:rFonts w:ascii="Times New Roman" w:eastAsia="Times New Roman" w:hAnsi="Times New Roman" w:cs="Times New Roman"/>
        </w:rPr>
      </w:pPr>
      <w:r w:rsidRPr="006F6C09">
        <w:rPr>
          <w:rFonts w:ascii="Times New Roman" w:eastAsia="Times New Roman" w:hAnsi="Times New Roman" w:cs="Times New Roman"/>
        </w:rPr>
        <w:t>The relationship between opening and closing prices is an important aspect of understanding how cryptocurrency markets behave throughout the day. Prior studies have focused mainly on major assets such as Bitcoin, leaving smaller cryptocurrencies like Mobius under-explored. Investigating this relationship fills a research gap by assessing whether intraday pricing behaviour in a lesser-known asset follows similar patterns to established cryptocurrencies. A strong correlation may indicate predictable price movements, while a weak relationship could suggest greater market instability. The findings can guide future studies on microstructure behaviour, trading strategy development, and price formation mechanisms in emerging digital assets.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AA5CB45" w14:textId="4A992D59" w:rsidR="7FBAA7B2" w:rsidRPr="00706CE0" w:rsidRDefault="5D5E0517" w:rsidP="00706CE0">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p>
    <w:p w14:paraId="113A19E9" w14:textId="77777777" w:rsidR="00706CE0" w:rsidRDefault="00706CE0" w:rsidP="00706CE0">
      <w:pPr>
        <w:pStyle w:val="ListParagraph"/>
        <w:ind w:left="1440"/>
        <w:rPr>
          <w:rFonts w:ascii="Times New Roman" w:eastAsia="Times New Roman" w:hAnsi="Times New Roman" w:cs="Times New Roman"/>
        </w:rPr>
      </w:pPr>
    </w:p>
    <w:p w14:paraId="20D2E7B1" w14:textId="2FBEAE5E" w:rsidR="00706CE0" w:rsidRDefault="00706CE0" w:rsidP="00706CE0">
      <w:pPr>
        <w:pStyle w:val="ListParagraph"/>
        <w:ind w:left="1440"/>
        <w:jc w:val="both"/>
        <w:rPr>
          <w:rFonts w:ascii="Times New Roman" w:eastAsia="Times New Roman" w:hAnsi="Times New Roman" w:cs="Times New Roman"/>
        </w:rPr>
      </w:pPr>
      <w:r w:rsidRPr="00706CE0">
        <w:rPr>
          <w:rFonts w:ascii="Times New Roman" w:eastAsia="Times New Roman" w:hAnsi="Times New Roman" w:cs="Times New Roman"/>
        </w:rPr>
        <w:t xml:space="preserve">A scatter plot of opening versus closing price is used as the main visualisation because it directly represents the linear relationship required for correlation analysis. A histogram of closing prices is included to show the distribution and </w:t>
      </w:r>
      <w:r w:rsidRPr="00706CE0">
        <w:rPr>
          <w:rFonts w:ascii="Times New Roman" w:eastAsia="Times New Roman" w:hAnsi="Times New Roman" w:cs="Times New Roman"/>
        </w:rPr>
        <w:lastRenderedPageBreak/>
        <w:t>spread of the dependent variable, supporting interpretation of the strength and reliability of the observed relationship.</w:t>
      </w:r>
    </w:p>
    <w:p w14:paraId="60CF2DAA" w14:textId="59BA33AF" w:rsidR="00706CE0" w:rsidRPr="00706CE0" w:rsidRDefault="00706CE0" w:rsidP="00706CE0">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5D9AF0" wp14:editId="49D346AA">
            <wp:extent cx="5731510" cy="3820795"/>
            <wp:effectExtent l="0" t="0" r="2540" b="8255"/>
            <wp:docPr id="833482063" name="Picture 1" descr="A diagram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2063" name="Picture 1" descr="A diagram of a scatter plo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92D8533" w14:textId="77777777" w:rsidR="00706CE0" w:rsidRDefault="00706CE0" w:rsidP="00706CE0">
      <w:pPr>
        <w:pStyle w:val="ListParagraph"/>
        <w:ind w:left="1440"/>
        <w:rPr>
          <w:rFonts w:ascii="Times New Roman" w:eastAsia="Times New Roman" w:hAnsi="Times New Roman" w:cs="Times New Roman"/>
        </w:rPr>
      </w:pPr>
    </w:p>
    <w:p w14:paraId="1BEC05A1" w14:textId="0294681C" w:rsidR="00706CE0" w:rsidRDefault="00706CE0" w:rsidP="00706CE0">
      <w:pPr>
        <w:pStyle w:val="ListParagraph"/>
        <w:ind w:left="1440"/>
        <w:rPr>
          <w:rFonts w:ascii="Times New Roman" w:eastAsia="Times New Roman" w:hAnsi="Times New Roman" w:cs="Times New Roman"/>
        </w:rPr>
      </w:pPr>
      <w:r w:rsidRPr="00706CE0">
        <w:rPr>
          <w:rFonts w:ascii="Times New Roman" w:eastAsia="Times New Roman" w:hAnsi="Times New Roman" w:cs="Times New Roman"/>
        </w:rPr>
        <w:t>Figure 1. Scatter Plot of Opening vs Closing Price (Mobius)</w:t>
      </w:r>
    </w:p>
    <w:p w14:paraId="48D524F1" w14:textId="77777777" w:rsidR="00706CE0" w:rsidRPr="00706CE0" w:rsidRDefault="00706CE0" w:rsidP="00706CE0">
      <w:pPr>
        <w:pStyle w:val="ListParagraph"/>
        <w:ind w:left="1440"/>
        <w:rPr>
          <w:rFonts w:ascii="Times New Roman" w:eastAsia="Times New Roman" w:hAnsi="Times New Roman" w:cs="Times New Roman"/>
        </w:rPr>
      </w:pPr>
    </w:p>
    <w:p w14:paraId="175AF809" w14:textId="515077CC" w:rsidR="7FBAA7B2" w:rsidRDefault="5D5E0517" w:rsidP="00706CE0">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Additional information relating to understanding the data </w:t>
      </w:r>
    </w:p>
    <w:p w14:paraId="74C7AB1C" w14:textId="77777777" w:rsidR="00706CE0" w:rsidRDefault="00706CE0" w:rsidP="00706CE0">
      <w:pPr>
        <w:pStyle w:val="ListParagraph"/>
        <w:ind w:left="1440"/>
        <w:rPr>
          <w:rFonts w:ascii="Times New Roman" w:eastAsia="Times New Roman" w:hAnsi="Times New Roman" w:cs="Times New Roman"/>
        </w:rPr>
      </w:pPr>
    </w:p>
    <w:p w14:paraId="2C888486" w14:textId="11581A8C" w:rsidR="00706CE0" w:rsidRDefault="00706CE0" w:rsidP="00706CE0">
      <w:pPr>
        <w:pStyle w:val="ListParagraph"/>
        <w:ind w:left="1440"/>
        <w:jc w:val="both"/>
        <w:rPr>
          <w:rFonts w:ascii="Times New Roman" w:eastAsia="Times New Roman" w:hAnsi="Times New Roman" w:cs="Times New Roman"/>
        </w:rPr>
      </w:pPr>
      <w:r w:rsidRPr="00706CE0">
        <w:rPr>
          <w:rFonts w:ascii="Times New Roman" w:eastAsia="Times New Roman" w:hAnsi="Times New Roman" w:cs="Times New Roman"/>
        </w:rPr>
        <w:t>The scatter plot helps identify how closely closing prices follow opening prices and whether points align in a clear upward trend. The histogram provides insight into the skewed distribution of closing prices, revealing that most values cluster at lower price levels, with fewer high-price observations forming a long tail.</w:t>
      </w:r>
    </w:p>
    <w:p w14:paraId="287CA17E" w14:textId="22E31264" w:rsidR="00706CE0" w:rsidRDefault="00706CE0" w:rsidP="00706CE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455825" wp14:editId="3067C778">
            <wp:extent cx="5731510" cy="3820795"/>
            <wp:effectExtent l="0" t="0" r="2540" b="8255"/>
            <wp:docPr id="1629861524" name="Picture 2" descr="A graph of a number of closing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1524" name="Picture 2" descr="A graph of a number of closing pric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05DEEC9" w14:textId="597DBF54" w:rsidR="00706CE0" w:rsidRDefault="00706CE0" w:rsidP="00706CE0">
      <w:pPr>
        <w:jc w:val="both"/>
        <w:rPr>
          <w:rFonts w:ascii="Times New Roman" w:eastAsia="Times New Roman" w:hAnsi="Times New Roman" w:cs="Times New Roman"/>
        </w:rPr>
      </w:pPr>
    </w:p>
    <w:p w14:paraId="53E7250A" w14:textId="37D86ECE" w:rsidR="00706CE0" w:rsidRPr="00706CE0" w:rsidRDefault="00706CE0" w:rsidP="00706CE0">
      <w:pPr>
        <w:jc w:val="center"/>
        <w:rPr>
          <w:rFonts w:ascii="Times New Roman" w:eastAsia="Times New Roman" w:hAnsi="Times New Roman" w:cs="Times New Roman"/>
        </w:rPr>
      </w:pPr>
      <w:r w:rsidRPr="00706CE0">
        <w:rPr>
          <w:rFonts w:ascii="Times New Roman" w:eastAsia="Times New Roman" w:hAnsi="Times New Roman" w:cs="Times New Roman"/>
        </w:rPr>
        <w:t>Figure 2. Histogram of Daily Closing Prices (Mobius)</w:t>
      </w:r>
    </w:p>
    <w:p w14:paraId="027A6057" w14:textId="77777777" w:rsidR="00706CE0" w:rsidRDefault="00706CE0" w:rsidP="00706CE0">
      <w:pPr>
        <w:pStyle w:val="ListParagraph"/>
        <w:ind w:left="1440"/>
        <w:rPr>
          <w:rFonts w:ascii="Times New Roman" w:eastAsia="Times New Roman" w:hAnsi="Times New Roman" w:cs="Times New Roman"/>
        </w:rPr>
      </w:pPr>
    </w:p>
    <w:p w14:paraId="4A37AFFC" w14:textId="7E032C38" w:rsidR="75C3D8EA" w:rsidRPr="00706CE0" w:rsidRDefault="5D5E0517" w:rsidP="00706CE0">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p>
    <w:p w14:paraId="3A28F313" w14:textId="77777777" w:rsidR="00706CE0" w:rsidRDefault="00706CE0" w:rsidP="00706CE0">
      <w:pPr>
        <w:pStyle w:val="ListParagraph"/>
        <w:ind w:left="1440"/>
        <w:rPr>
          <w:rFonts w:ascii="Times New Roman" w:eastAsia="Times New Roman" w:hAnsi="Times New Roman" w:cs="Times New Roman"/>
        </w:rPr>
      </w:pPr>
    </w:p>
    <w:p w14:paraId="74333E16" w14:textId="347D0067" w:rsidR="00706CE0" w:rsidRPr="00706CE0" w:rsidRDefault="00706CE0" w:rsidP="00706CE0">
      <w:pPr>
        <w:pStyle w:val="ListParagraph"/>
        <w:ind w:left="1440"/>
        <w:jc w:val="both"/>
        <w:rPr>
          <w:rFonts w:ascii="Times New Roman" w:eastAsia="Times New Roman" w:hAnsi="Times New Roman" w:cs="Times New Roman"/>
          <w:i/>
          <w:iCs/>
        </w:rPr>
      </w:pPr>
      <w:r w:rsidRPr="00706CE0">
        <w:rPr>
          <w:rFonts w:ascii="Times New Roman" w:eastAsia="Times New Roman" w:hAnsi="Times New Roman" w:cs="Times New Roman"/>
        </w:rPr>
        <w:t>The scatter plot shows a very strong positive pattern, with points forming a tight diagonal cluster, indicating that opening price is a strong indicator of closing price. The histogram demonstrates that closing prices are unevenly distributed, with most days showing relatively low values and only occasional higher-price peaks</w:t>
      </w:r>
      <w:r w:rsidRPr="00706CE0">
        <w:rPr>
          <w:rFonts w:ascii="Times New Roman" w:eastAsia="Times New Roman" w:hAnsi="Times New Roman" w:cs="Times New Roman"/>
          <w:i/>
          <w:iCs/>
        </w:rPr>
        <w: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5520C" w14:textId="77777777" w:rsidR="00C5792B" w:rsidRDefault="00C5792B" w:rsidP="000F7A9B">
      <w:r>
        <w:separator/>
      </w:r>
    </w:p>
  </w:endnote>
  <w:endnote w:type="continuationSeparator" w:id="0">
    <w:p w14:paraId="7C6DF065" w14:textId="77777777" w:rsidR="00C5792B" w:rsidRDefault="00C5792B" w:rsidP="000F7A9B">
      <w:r>
        <w:continuationSeparator/>
      </w:r>
    </w:p>
  </w:endnote>
  <w:endnote w:type="continuationNotice" w:id="1">
    <w:p w14:paraId="0FAF9906" w14:textId="77777777" w:rsidR="00C5792B" w:rsidRDefault="00C579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3DFE" w14:textId="77777777" w:rsidR="00C5792B" w:rsidRDefault="00C5792B" w:rsidP="000F7A9B">
      <w:r>
        <w:separator/>
      </w:r>
    </w:p>
  </w:footnote>
  <w:footnote w:type="continuationSeparator" w:id="0">
    <w:p w14:paraId="7C01BF3E" w14:textId="77777777" w:rsidR="00C5792B" w:rsidRDefault="00C5792B" w:rsidP="000F7A9B">
      <w:r>
        <w:continuationSeparator/>
      </w:r>
    </w:p>
  </w:footnote>
  <w:footnote w:type="continuationNotice" w:id="1">
    <w:p w14:paraId="6AF2BB0E" w14:textId="77777777" w:rsidR="00C5792B" w:rsidRDefault="00C579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061CA8B4"/>
    <w:lvl w:ilvl="0">
      <w:start w:val="1"/>
      <w:numFmt w:val="decimal"/>
      <w:lvlText w:val="%1."/>
      <w:lvlJc w:val="left"/>
      <w:pPr>
        <w:ind w:left="720" w:hanging="360"/>
      </w:pPr>
    </w:lvl>
    <w:lvl w:ilvl="1">
      <w:start w:val="1"/>
      <w:numFmt w:val="decimal"/>
      <w:lvlText w:val="%1.%2."/>
      <w:lvlJc w:val="left"/>
      <w:pPr>
        <w:ind w:left="1440" w:hanging="360"/>
      </w:pPr>
      <w:rPr>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1D1F63"/>
    <w:rsid w:val="001F5999"/>
    <w:rsid w:val="0021100E"/>
    <w:rsid w:val="0021180A"/>
    <w:rsid w:val="00230C42"/>
    <w:rsid w:val="002A3C39"/>
    <w:rsid w:val="002B1352"/>
    <w:rsid w:val="002B3BE2"/>
    <w:rsid w:val="002E68AA"/>
    <w:rsid w:val="00305E5C"/>
    <w:rsid w:val="003147CA"/>
    <w:rsid w:val="00331CB4"/>
    <w:rsid w:val="00350474"/>
    <w:rsid w:val="00364343"/>
    <w:rsid w:val="00372E81"/>
    <w:rsid w:val="00375F7E"/>
    <w:rsid w:val="0038462A"/>
    <w:rsid w:val="00385936"/>
    <w:rsid w:val="003966FF"/>
    <w:rsid w:val="003B4A49"/>
    <w:rsid w:val="003B537D"/>
    <w:rsid w:val="004052A5"/>
    <w:rsid w:val="004173E5"/>
    <w:rsid w:val="00420379"/>
    <w:rsid w:val="004210BC"/>
    <w:rsid w:val="00442D7F"/>
    <w:rsid w:val="0047462E"/>
    <w:rsid w:val="004942F0"/>
    <w:rsid w:val="00496D7F"/>
    <w:rsid w:val="004E74FD"/>
    <w:rsid w:val="00534DEC"/>
    <w:rsid w:val="00544349"/>
    <w:rsid w:val="0054516D"/>
    <w:rsid w:val="00563ABA"/>
    <w:rsid w:val="005C0287"/>
    <w:rsid w:val="005C56CD"/>
    <w:rsid w:val="005E431C"/>
    <w:rsid w:val="005E65FE"/>
    <w:rsid w:val="005E6DCD"/>
    <w:rsid w:val="0060489D"/>
    <w:rsid w:val="00637EB8"/>
    <w:rsid w:val="006875F8"/>
    <w:rsid w:val="006911B0"/>
    <w:rsid w:val="00695C53"/>
    <w:rsid w:val="006B6D77"/>
    <w:rsid w:val="006E14BD"/>
    <w:rsid w:val="006E2E7E"/>
    <w:rsid w:val="006F6C09"/>
    <w:rsid w:val="00702B37"/>
    <w:rsid w:val="00706CE0"/>
    <w:rsid w:val="0075690D"/>
    <w:rsid w:val="007749BF"/>
    <w:rsid w:val="007919F5"/>
    <w:rsid w:val="007E5960"/>
    <w:rsid w:val="0080060A"/>
    <w:rsid w:val="008045F2"/>
    <w:rsid w:val="0084182B"/>
    <w:rsid w:val="0084254D"/>
    <w:rsid w:val="00846C6A"/>
    <w:rsid w:val="00882D92"/>
    <w:rsid w:val="008938DA"/>
    <w:rsid w:val="00893DDB"/>
    <w:rsid w:val="008B6212"/>
    <w:rsid w:val="008C1BCD"/>
    <w:rsid w:val="008E2DF2"/>
    <w:rsid w:val="009045F5"/>
    <w:rsid w:val="00916B8B"/>
    <w:rsid w:val="009279F0"/>
    <w:rsid w:val="00953C8E"/>
    <w:rsid w:val="00960336"/>
    <w:rsid w:val="009614ED"/>
    <w:rsid w:val="00967729"/>
    <w:rsid w:val="009A4C41"/>
    <w:rsid w:val="009C2821"/>
    <w:rsid w:val="009D0E40"/>
    <w:rsid w:val="009E4512"/>
    <w:rsid w:val="009F16ED"/>
    <w:rsid w:val="009F760B"/>
    <w:rsid w:val="00A315D2"/>
    <w:rsid w:val="00A508EB"/>
    <w:rsid w:val="00A766EC"/>
    <w:rsid w:val="00B3092F"/>
    <w:rsid w:val="00B34F0E"/>
    <w:rsid w:val="00B70B58"/>
    <w:rsid w:val="00B97D7C"/>
    <w:rsid w:val="00BA42DB"/>
    <w:rsid w:val="00BC4CBB"/>
    <w:rsid w:val="00BC4DE6"/>
    <w:rsid w:val="00C3563B"/>
    <w:rsid w:val="00C46A88"/>
    <w:rsid w:val="00C5792B"/>
    <w:rsid w:val="00C825A1"/>
    <w:rsid w:val="00CA7E3A"/>
    <w:rsid w:val="00CC0114"/>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5623"/>
    <w:rsid w:val="00DA7833"/>
    <w:rsid w:val="00DF024A"/>
    <w:rsid w:val="00DF4FF0"/>
    <w:rsid w:val="00DF7999"/>
    <w:rsid w:val="00E04064"/>
    <w:rsid w:val="00E04520"/>
    <w:rsid w:val="00E2760F"/>
    <w:rsid w:val="00E276FF"/>
    <w:rsid w:val="00E7239C"/>
    <w:rsid w:val="00E751A0"/>
    <w:rsid w:val="00E82355"/>
    <w:rsid w:val="00E94E60"/>
    <w:rsid w:val="00EB4177"/>
    <w:rsid w:val="00ED30FE"/>
    <w:rsid w:val="00EE47A2"/>
    <w:rsid w:val="00F0288F"/>
    <w:rsid w:val="00F06F16"/>
    <w:rsid w:val="00F270E1"/>
    <w:rsid w:val="00F3547D"/>
    <w:rsid w:val="00F66B0C"/>
    <w:rsid w:val="00F96DB0"/>
    <w:rsid w:val="00FB0B3F"/>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13604C93-DB50-4ED6-AD76-21F3AB9B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DA5623"/>
    <w:rPr>
      <w:color w:val="96607D" w:themeColor="followedHyperlink"/>
      <w:u w:val="single"/>
    </w:rPr>
  </w:style>
  <w:style w:type="character" w:styleId="PlaceholderText">
    <w:name w:val="Placeholder Text"/>
    <w:basedOn w:val="DefaultParagraphFont"/>
    <w:uiPriority w:val="99"/>
    <w:semiHidden/>
    <w:rsid w:val="004173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1221</Words>
  <Characters>7432</Characters>
  <Application>Microsoft Office Word</Application>
  <DocSecurity>0</DocSecurity>
  <Lines>209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Goncharenko;tn25aau@herts.ac.uk</dc:creator>
  <cp:keywords/>
  <dc:description/>
  <cp:lastModifiedBy>Tejaswi Heggeri Naveen [Student-PECS]</cp:lastModifiedBy>
  <cp:revision>9</cp:revision>
  <cp:lastPrinted>2025-12-07T16:15:00Z</cp:lastPrinted>
  <dcterms:created xsi:type="dcterms:W3CDTF">2025-12-09T20:11:00Z</dcterms:created>
  <dcterms:modified xsi:type="dcterms:W3CDTF">2025-12-09T20:16:00Z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a23d8a80-1729-40c3-a11c-4e11aaebfc92</vt:lpwstr>
  </property>
</Properties>
</file>