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EagleEye and BlackGlass API Integration Guide</w:t>
      </w:r>
    </w:p>
    <w:p>
      <w:pPr>
        <w:pStyle w:val="Subtitle"/>
      </w:pPr>
      <w:r>
        <w:t>Two way ingestion and cited analysis result delivery</w:t>
      </w:r>
    </w:p>
    <w:p>
      <w:r>
        <w:t>Prepared for BlackGlass integration developers and EagleEye operators</w:t>
      </w:r>
    </w:p>
    <w:p>
      <w:r>
        <w:t>Version 1.1   |   16 September 2026</w:t>
      </w:r>
    </w:p>
    <w:p/>
    <w:p>
      <w:r>
        <w:rPr>
          <w:b/>
        </w:rPr>
        <w:t>Purpose</w:t>
      </w:r>
      <w:r>
        <w:t xml:space="preserve">  This guide defines how BlackGlass submits text and media to EagleEye and how EagleEye returns processed, source-linked analysis to BlackGlass. It includes the live public ingestion endpoints, required fields, authentication, acknowledgements, deduplication rules, result delivery, and the remaining activation work.</w:t>
      </w:r>
    </w:p>
    <w:p>
      <w:r>
        <w:rPr>
          <w:b/>
        </w:rPr>
        <w:t>Current conclusion</w:t>
      </w:r>
      <w:r>
        <w:t xml:space="preserve">  The public tunnel and the legacy text and media ingestion routes are online. Automatic result delivery is implemented in the newer local evidence pipeline but is not yet active on Cyber-AI. BlackGlass must provide an HTTPS result receiver and a separate receiver token before that delivery worker can be enabled.</w:t>
      </w:r>
    </w:p>
    <w:p>
      <w:r>
        <w:br w:type="page"/>
      </w:r>
    </w:p>
    <w:p>
      <w:pPr>
        <w:pStyle w:val="Heading1"/>
      </w:pPr>
      <w:r>
        <w:t>Integration Overview</w:t>
      </w:r>
    </w:p>
    <w:p>
      <w:r>
        <w:t>BlackGlass remains the collection and presentation system. EagleEye receives authorized source records, retains provenance, runs bounded analysis, and returns cited results. BlackGlass must preserve its own object identifiers so every EagleEye result can be joined back to the correct post, profile, person, vehicle, case, or live segment.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944"/>
            <w:shd w:fill="17365D"/>
            <w:tcMar>
              <w:top w:w="100" w:type="dxa"/>
              <w:start w:w="110" w:type="dxa"/>
              <w:bottom w:w="100" w:type="dxa"/>
              <w:end w:w="110" w:type="dxa"/>
            </w:tcMar>
            <w:vAlign w:val="center"/>
          </w:tcPr>
          <w:p>
            <w:r>
              <w:rPr>
                <w:b/>
                <w:color w:val="FFFFFF"/>
                <w:sz w:val="19"/>
              </w:rPr>
              <w:t>Direction</w:t>
            </w:r>
          </w:p>
        </w:tc>
        <w:tc>
          <w:tcPr>
            <w:tcW w:type="dxa" w:w="3096"/>
            <w:shd w:fill="17365D"/>
            <w:tcMar>
              <w:top w:w="100" w:type="dxa"/>
              <w:start w:w="110" w:type="dxa"/>
              <w:bottom w:w="100" w:type="dxa"/>
              <w:end w:w="110" w:type="dxa"/>
            </w:tcMar>
            <w:vAlign w:val="center"/>
          </w:tcPr>
          <w:p>
            <w:r>
              <w:rPr>
                <w:b/>
                <w:color w:val="FFFFFF"/>
                <w:sz w:val="19"/>
              </w:rPr>
              <w:t>Purpose</w:t>
            </w:r>
          </w:p>
        </w:tc>
        <w:tc>
          <w:tcPr>
            <w:tcW w:type="dxa" w:w="2520"/>
            <w:shd w:fill="17365D"/>
            <w:tcMar>
              <w:top w:w="100" w:type="dxa"/>
              <w:start w:w="110" w:type="dxa"/>
              <w:bottom w:w="100" w:type="dxa"/>
              <w:end w:w="110" w:type="dxa"/>
            </w:tcMar>
            <w:vAlign w:val="center"/>
          </w:tcPr>
          <w:p>
            <w:r>
              <w:rPr>
                <w:b/>
                <w:color w:val="FFFFFF"/>
                <w:sz w:val="19"/>
              </w:rPr>
              <w:t>Authentication</w:t>
            </w:r>
          </w:p>
        </w:tc>
        <w:tc>
          <w:tcPr>
            <w:tcW w:type="dxa" w:w="2520"/>
            <w:shd w:fill="17365D"/>
            <w:tcMar>
              <w:top w:w="100" w:type="dxa"/>
              <w:start w:w="110" w:type="dxa"/>
              <w:bottom w:w="100" w:type="dxa"/>
              <w:end w:w="110" w:type="dxa"/>
            </w:tcMar>
            <w:vAlign w:val="center"/>
          </w:tcPr>
          <w:p>
            <w:r>
              <w:rPr>
                <w:b/>
                <w:color w:val="FFFFFF"/>
                <w:sz w:val="19"/>
              </w:rPr>
              <w:t>Current state</w:t>
            </w:r>
          </w:p>
        </w:tc>
      </w:tr>
      <w:tr>
        <w:tc>
          <w:tcPr>
            <w:tcW w:type="dxa" w:w="1944"/>
            <w:tcMar>
              <w:top w:w="100" w:type="dxa"/>
              <w:start w:w="110" w:type="dxa"/>
              <w:bottom w:w="100" w:type="dxa"/>
              <w:end w:w="110" w:type="dxa"/>
            </w:tcMar>
            <w:vAlign w:val="center"/>
          </w:tcPr>
          <w:p>
            <w:pPr>
              <w:spacing w:after="0" w:line="252" w:lineRule="auto"/>
            </w:pPr>
            <w:r>
              <w:rPr>
                <w:sz w:val="18"/>
              </w:rPr>
              <w:t>BlackGlass to EagleEye</w:t>
            </w:r>
          </w:p>
        </w:tc>
        <w:tc>
          <w:tcPr>
            <w:tcW w:type="dxa" w:w="3096"/>
            <w:tcMar>
              <w:top w:w="100" w:type="dxa"/>
              <w:start w:w="110" w:type="dxa"/>
              <w:bottom w:w="100" w:type="dxa"/>
              <w:end w:w="110" w:type="dxa"/>
            </w:tcMar>
            <w:vAlign w:val="center"/>
          </w:tcPr>
          <w:p>
            <w:pPr>
              <w:spacing w:after="0" w:line="252" w:lineRule="auto"/>
            </w:pPr>
            <w:r>
              <w:rPr>
                <w:sz w:val="18"/>
              </w:rPr>
              <w:t>Submit text and binary evidence</w:t>
            </w:r>
          </w:p>
        </w:tc>
        <w:tc>
          <w:tcPr>
            <w:tcW w:type="dxa" w:w="2520"/>
            <w:tcMar>
              <w:top w:w="100" w:type="dxa"/>
              <w:start w:w="110" w:type="dxa"/>
              <w:bottom w:w="100" w:type="dxa"/>
              <w:end w:w="110" w:type="dxa"/>
            </w:tcMar>
            <w:vAlign w:val="center"/>
          </w:tcPr>
          <w:p>
            <w:pPr>
              <w:spacing w:after="0" w:line="252" w:lineRule="auto"/>
            </w:pPr>
            <w:r>
              <w:rPr>
                <w:sz w:val="18"/>
              </w:rPr>
              <w:t>EagleEye bearer token</w:t>
            </w:r>
          </w:p>
        </w:tc>
        <w:tc>
          <w:tcPr>
            <w:tcW w:type="dxa" w:w="2520"/>
            <w:tcMar>
              <w:top w:w="100" w:type="dxa"/>
              <w:start w:w="110" w:type="dxa"/>
              <w:bottom w:w="100" w:type="dxa"/>
              <w:end w:w="110" w:type="dxa"/>
            </w:tcMar>
            <w:vAlign w:val="center"/>
          </w:tcPr>
          <w:p>
            <w:pPr>
              <w:spacing w:after="0" w:line="252" w:lineRule="auto"/>
            </w:pPr>
            <w:r>
              <w:rPr>
                <w:sz w:val="18"/>
              </w:rPr>
              <w:t>Online for text and media</w:t>
            </w:r>
          </w:p>
        </w:tc>
      </w:tr>
      <w:tr>
        <w:tc>
          <w:tcPr>
            <w:tcW w:type="dxa" w:w="1944"/>
            <w:tcMar>
              <w:top w:w="100" w:type="dxa"/>
              <w:start w:w="110" w:type="dxa"/>
              <w:bottom w:w="100" w:type="dxa"/>
              <w:end w:w="110" w:type="dxa"/>
            </w:tcMar>
            <w:vAlign w:val="center"/>
            <w:shd w:fill="EEF4FA"/>
          </w:tcPr>
          <w:p>
            <w:pPr>
              <w:spacing w:after="0" w:line="252" w:lineRule="auto"/>
            </w:pPr>
            <w:r>
              <w:rPr>
                <w:sz w:val="18"/>
              </w:rPr>
              <w:t>EagleEye to BlackGlass</w:t>
            </w:r>
          </w:p>
        </w:tc>
        <w:tc>
          <w:tcPr>
            <w:tcW w:type="dxa" w:w="3096"/>
            <w:tcMar>
              <w:top w:w="100" w:type="dxa"/>
              <w:start w:w="110" w:type="dxa"/>
              <w:bottom w:w="100" w:type="dxa"/>
              <w:end w:w="110" w:type="dxa"/>
            </w:tcMar>
            <w:vAlign w:val="center"/>
            <w:shd w:fill="EEF4FA"/>
          </w:tcPr>
          <w:p>
            <w:pPr>
              <w:spacing w:after="0" w:line="252" w:lineRule="auto"/>
            </w:pPr>
            <w:r>
              <w:rPr>
                <w:sz w:val="18"/>
              </w:rPr>
              <w:t>Deliver cited analysis snapshots</w:t>
            </w:r>
          </w:p>
        </w:tc>
        <w:tc>
          <w:tcPr>
            <w:tcW w:type="dxa" w:w="2520"/>
            <w:tcMar>
              <w:top w:w="100" w:type="dxa"/>
              <w:start w:w="110" w:type="dxa"/>
              <w:bottom w:w="100" w:type="dxa"/>
              <w:end w:w="110" w:type="dxa"/>
            </w:tcMar>
            <w:vAlign w:val="center"/>
            <w:shd w:fill="EEF4FA"/>
          </w:tcPr>
          <w:p>
            <w:pPr>
              <w:spacing w:after="0" w:line="252" w:lineRule="auto"/>
            </w:pPr>
            <w:r>
              <w:rPr>
                <w:sz w:val="18"/>
              </w:rPr>
              <w:t>Separate BlackGlass receiver token</w:t>
            </w:r>
          </w:p>
        </w:tc>
        <w:tc>
          <w:tcPr>
            <w:tcW w:type="dxa" w:w="2520"/>
            <w:tcMar>
              <w:top w:w="100" w:type="dxa"/>
              <w:start w:w="110" w:type="dxa"/>
              <w:bottom w:w="100" w:type="dxa"/>
              <w:end w:w="110" w:type="dxa"/>
            </w:tcMar>
            <w:vAlign w:val="center"/>
            <w:shd w:fill="EEF4FA"/>
          </w:tcPr>
          <w:p>
            <w:pPr>
              <w:spacing w:after="0" w:line="252" w:lineRule="auto"/>
            </w:pPr>
            <w:r>
              <w:rPr>
                <w:sz w:val="18"/>
              </w:rPr>
              <w:t>Code ready locally but not deployed</w:t>
            </w:r>
          </w:p>
        </w:tc>
      </w:tr>
      <w:tr>
        <w:tc>
          <w:tcPr>
            <w:tcW w:type="dxa" w:w="1944"/>
            <w:tcMar>
              <w:top w:w="100" w:type="dxa"/>
              <w:start w:w="110" w:type="dxa"/>
              <w:bottom w:w="100" w:type="dxa"/>
              <w:end w:w="110" w:type="dxa"/>
            </w:tcMar>
            <w:vAlign w:val="center"/>
          </w:tcPr>
          <w:p>
            <w:pPr>
              <w:spacing w:after="0" w:line="252" w:lineRule="auto"/>
            </w:pPr>
            <w:r>
              <w:rPr>
                <w:sz w:val="18"/>
              </w:rPr>
              <w:t>BlackGlass replay</w:t>
            </w:r>
          </w:p>
        </w:tc>
        <w:tc>
          <w:tcPr>
            <w:tcW w:type="dxa" w:w="3096"/>
            <w:tcMar>
              <w:top w:w="100" w:type="dxa"/>
              <w:start w:w="110" w:type="dxa"/>
              <w:bottom w:w="100" w:type="dxa"/>
              <w:end w:w="110" w:type="dxa"/>
            </w:tcMar>
            <w:vAlign w:val="center"/>
          </w:tcPr>
          <w:p>
            <w:pPr>
              <w:spacing w:after="0" w:line="252" w:lineRule="auto"/>
            </w:pPr>
            <w:r>
              <w:rPr>
                <w:sz w:val="18"/>
              </w:rPr>
              <w:t>Recover missed result events</w:t>
            </w:r>
          </w:p>
        </w:tc>
        <w:tc>
          <w:tcPr>
            <w:tcW w:type="dxa" w:w="2520"/>
            <w:tcMar>
              <w:top w:w="100" w:type="dxa"/>
              <w:start w:w="110" w:type="dxa"/>
              <w:bottom w:w="100" w:type="dxa"/>
              <w:end w:w="110" w:type="dxa"/>
            </w:tcMar>
            <w:vAlign w:val="center"/>
          </w:tcPr>
          <w:p>
            <w:pPr>
              <w:spacing w:after="0" w:line="252" w:lineRule="auto"/>
            </w:pPr>
            <w:r>
              <w:rPr>
                <w:sz w:val="18"/>
              </w:rPr>
              <w:t>EagleEye bearer token</w:t>
            </w:r>
          </w:p>
        </w:tc>
        <w:tc>
          <w:tcPr>
            <w:tcW w:type="dxa" w:w="2520"/>
            <w:tcMar>
              <w:top w:w="100" w:type="dxa"/>
              <w:start w:w="110" w:type="dxa"/>
              <w:bottom w:w="100" w:type="dxa"/>
              <w:end w:w="110" w:type="dxa"/>
            </w:tcMar>
            <w:vAlign w:val="center"/>
          </w:tcPr>
          <w:p>
            <w:pPr>
              <w:spacing w:after="0" w:line="252" w:lineRule="auto"/>
            </w:pPr>
            <w:r>
              <w:rPr>
                <w:sz w:val="18"/>
              </w:rPr>
              <w:t>Part of newer pipeline</w:t>
            </w:r>
          </w:p>
        </w:tc>
      </w:tr>
    </w:tbl>
    <w:p>
      <w:pPr>
        <w:spacing w:after="40"/>
      </w:pPr>
    </w:p>
    <w:p>
      <w:pPr>
        <w:pStyle w:val="Heading1"/>
      </w:pPr>
      <w:r>
        <w:t>Security Model</w:t>
      </w:r>
    </w:p>
    <w:p>
      <w:pPr>
        <w:pStyle w:val="ListBullet"/>
      </w:pPr>
      <w:r>
        <w:t>Use HTTPS only. The EagleEye origin is not exposed directly; Cloudflare Tunnel publishes an exact route allowlist.</w:t>
      </w:r>
    </w:p>
    <w:p>
      <w:pPr>
        <w:pStyle w:val="ListBullet"/>
      </w:pPr>
      <w:r>
        <w:t>Send the EagleEye service token only in the Authorization header. Never place tokens in URLs, form metadata, source URLs, logs, or browser storage.</w:t>
      </w:r>
    </w:p>
    <w:p>
      <w:pPr>
        <w:pStyle w:val="ListBullet"/>
      </w:pPr>
      <w:r>
        <w:t>Use one stable BlackGlass service identity across token rotation so owner-scoped result access remains consistent.</w:t>
      </w:r>
    </w:p>
    <w:p>
      <w:pPr>
        <w:pStyle w:val="ListBullet"/>
      </w:pPr>
      <w:r>
        <w:t>Use a different token for EagleEye result delivery to the BlackGlass receiver.</w:t>
      </w:r>
    </w:p>
    <w:p>
      <w:pPr>
        <w:pStyle w:val="ListBullet"/>
      </w:pPr>
      <w:r>
        <w:t>Treat biometric and restricted records according to their classification and authorization basis.</w:t>
      </w:r>
    </w:p>
    <w:p>
      <w:pPr>
        <w:pStyle w:val="ListBullet"/>
      </w:pPr>
      <w:r>
        <w:t>Store secrets in server-side secret management. Do not commit them to source control or include them in support documents.</w:t>
      </w:r>
    </w:p>
    <w:p>
      <w:pPr>
        <w:pStyle w:val="Heading1"/>
      </w:pPr>
      <w:r>
        <w:t>Public EagleEye Base URL</w:t>
      </w:r>
    </w:p>
    <w:p>
      <w:pPr>
        <w:pStyle w:val="NoSpacing"/>
        <w:keepLines/>
        <w:spacing w:before="80" w:after="160" w:line="240" w:lineRule="auto"/>
        <w:ind w:left="259" w:right="259"/>
        <w:shd w:fill="F4F5F7"/>
      </w:pPr>
      <w:r>
        <w:rPr>
          <w:rFonts w:ascii="Courier New" w:hAnsi="Courier New"/>
          <w:sz w:val="16"/>
        </w:rPr>
        <w:t>https://api.staticdev.xyz</w:t>
      </w:r>
    </w:p>
    <w:p>
      <w:r>
        <w:t>All public requests require the following header:</w:t>
      </w:r>
    </w:p>
    <w:p>
      <w:pPr>
        <w:pStyle w:val="NoSpacing"/>
        <w:keepLines/>
        <w:spacing w:before="80" w:after="160" w:line="240" w:lineRule="auto"/>
        <w:ind w:left="259" w:right="259"/>
        <w:shd w:fill="F4F5F7"/>
      </w:pPr>
      <w:r>
        <w:rPr>
          <w:rFonts w:ascii="Courier New" w:hAnsi="Courier New"/>
          <w:sz w:val="16"/>
        </w:rPr>
        <w:t>Authorization: Bearer &lt;EAGLEEYE_SERVICE_TOKEN&gt;</w:t>
      </w:r>
    </w:p>
    <w:p>
      <w:pPr>
        <w:pStyle w:val="Heading1"/>
      </w:pPr>
      <w:r>
        <w:t>Live Public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936"/>
            <w:shd w:fill="17365D"/>
            <w:tcMar>
              <w:top w:w="100" w:type="dxa"/>
              <w:start w:w="110" w:type="dxa"/>
              <w:bottom w:w="100" w:type="dxa"/>
              <w:end w:w="110" w:type="dxa"/>
            </w:tcMar>
            <w:vAlign w:val="center"/>
          </w:tcPr>
          <w:p>
            <w:r>
              <w:rPr>
                <w:b/>
                <w:color w:val="FFFFFF"/>
                <w:sz w:val="19"/>
              </w:rPr>
              <w:t>Method</w:t>
            </w:r>
          </w:p>
        </w:tc>
        <w:tc>
          <w:tcPr>
            <w:tcW w:type="dxa" w:w="4680"/>
            <w:shd w:fill="17365D"/>
            <w:tcMar>
              <w:top w:w="100" w:type="dxa"/>
              <w:start w:w="110" w:type="dxa"/>
              <w:bottom w:w="100" w:type="dxa"/>
              <w:end w:w="110" w:type="dxa"/>
            </w:tcMar>
            <w:vAlign w:val="center"/>
          </w:tcPr>
          <w:p>
            <w:r>
              <w:rPr>
                <w:b/>
                <w:color w:val="FFFFFF"/>
                <w:sz w:val="19"/>
              </w:rPr>
              <w:t>Path</w:t>
            </w:r>
          </w:p>
        </w:tc>
        <w:tc>
          <w:tcPr>
            <w:tcW w:type="dxa" w:w="2952"/>
            <w:shd w:fill="17365D"/>
            <w:tcMar>
              <w:top w:w="100" w:type="dxa"/>
              <w:start w:w="110" w:type="dxa"/>
              <w:bottom w:w="100" w:type="dxa"/>
              <w:end w:w="110" w:type="dxa"/>
            </w:tcMar>
            <w:vAlign w:val="center"/>
          </w:tcPr>
          <w:p>
            <w:r>
              <w:rPr>
                <w:b/>
                <w:color w:val="FFFFFF"/>
                <w:sz w:val="19"/>
              </w:rPr>
              <w:t>Purpose</w:t>
            </w:r>
          </w:p>
        </w:tc>
        <w:tc>
          <w:tcPr>
            <w:tcW w:type="dxa" w:w="1512"/>
            <w:shd w:fill="17365D"/>
            <w:tcMar>
              <w:top w:w="100" w:type="dxa"/>
              <w:start w:w="110" w:type="dxa"/>
              <w:bottom w:w="100" w:type="dxa"/>
              <w:end w:w="110" w:type="dxa"/>
            </w:tcMar>
            <w:vAlign w:val="center"/>
          </w:tcPr>
          <w:p>
            <w:r>
              <w:rPr>
                <w:b/>
                <w:color w:val="FFFFFF"/>
                <w:sz w:val="19"/>
              </w:rPr>
              <w:t>Required scope</w:t>
            </w:r>
          </w:p>
        </w:tc>
      </w:tr>
      <w:tr>
        <w:tc>
          <w:tcPr>
            <w:tcW w:type="dxa" w:w="936"/>
            <w:tcMar>
              <w:top w:w="100" w:type="dxa"/>
              <w:start w:w="110" w:type="dxa"/>
              <w:bottom w:w="100" w:type="dxa"/>
              <w:end w:w="110" w:type="dxa"/>
            </w:tcMar>
            <w:vAlign w:val="center"/>
          </w:tcPr>
          <w:p>
            <w:pPr>
              <w:spacing w:after="0" w:line="252" w:lineRule="auto"/>
            </w:pPr>
            <w:r>
              <w:rPr>
                <w:sz w:val="18"/>
              </w:rPr>
              <w:t>GET</w:t>
            </w:r>
          </w:p>
        </w:tc>
        <w:tc>
          <w:tcPr>
            <w:tcW w:type="dxa" w:w="4680"/>
            <w:tcMar>
              <w:top w:w="100" w:type="dxa"/>
              <w:start w:w="110" w:type="dxa"/>
              <w:bottom w:w="100" w:type="dxa"/>
              <w:end w:w="110" w:type="dxa"/>
            </w:tcMar>
            <w:vAlign w:val="center"/>
          </w:tcPr>
          <w:p>
            <w:pPr>
              <w:spacing w:after="0" w:line="252" w:lineRule="auto"/>
            </w:pPr>
            <w:r>
              <w:rPr>
                <w:sz w:val="18"/>
              </w:rPr>
              <w:t>/api/v1/integrations/blackglass/capabilities</w:t>
            </w:r>
          </w:p>
        </w:tc>
        <w:tc>
          <w:tcPr>
            <w:tcW w:type="dxa" w:w="2952"/>
            <w:tcMar>
              <w:top w:w="100" w:type="dxa"/>
              <w:start w:w="110" w:type="dxa"/>
              <w:bottom w:w="100" w:type="dxa"/>
              <w:end w:w="110" w:type="dxa"/>
            </w:tcMar>
            <w:vAlign w:val="center"/>
          </w:tcPr>
          <w:p>
            <w:pPr>
              <w:spacing w:after="0" w:line="252" w:lineRule="auto"/>
            </w:pPr>
            <w:r>
              <w:rPr>
                <w:sz w:val="18"/>
              </w:rPr>
              <w:t>Read supported ingestion capabilities</w:t>
            </w:r>
          </w:p>
        </w:tc>
        <w:tc>
          <w:tcPr>
            <w:tcW w:type="dxa" w:w="1512"/>
            <w:tcMar>
              <w:top w:w="100" w:type="dxa"/>
              <w:start w:w="110" w:type="dxa"/>
              <w:bottom w:w="100" w:type="dxa"/>
              <w:end w:w="110" w:type="dxa"/>
            </w:tcMar>
            <w:vAlign w:val="center"/>
          </w:tcPr>
          <w:p>
            <w:pPr>
              <w:spacing w:after="0" w:line="252" w:lineRule="auto"/>
            </w:pPr>
            <w:r>
              <w:rPr>
                <w:sz w:val="18"/>
              </w:rPr>
              <w:t>media:write</w:t>
            </w:r>
          </w:p>
        </w:tc>
      </w:tr>
      <w:tr>
        <w:tc>
          <w:tcPr>
            <w:tcW w:type="dxa" w:w="936"/>
            <w:tcMar>
              <w:top w:w="100" w:type="dxa"/>
              <w:start w:w="110" w:type="dxa"/>
              <w:bottom w:w="100" w:type="dxa"/>
              <w:end w:w="110" w:type="dxa"/>
            </w:tcMar>
            <w:vAlign w:val="center"/>
            <w:shd w:fill="EEF4FA"/>
          </w:tcPr>
          <w:p>
            <w:pPr>
              <w:spacing w:after="0" w:line="252" w:lineRule="auto"/>
            </w:pPr>
            <w:r>
              <w:rPr>
                <w:sz w:val="18"/>
              </w:rPr>
              <w:t>POST</w:t>
            </w:r>
          </w:p>
        </w:tc>
        <w:tc>
          <w:tcPr>
            <w:tcW w:type="dxa" w:w="4680"/>
            <w:tcMar>
              <w:top w:w="100" w:type="dxa"/>
              <w:start w:w="110" w:type="dxa"/>
              <w:bottom w:w="100" w:type="dxa"/>
              <w:end w:w="110" w:type="dxa"/>
            </w:tcMar>
            <w:vAlign w:val="center"/>
            <w:shd w:fill="EEF4FA"/>
          </w:tcPr>
          <w:p>
            <w:pPr>
              <w:spacing w:after="0" w:line="252" w:lineRule="auto"/>
            </w:pPr>
            <w:r>
              <w:rPr>
                <w:sz w:val="18"/>
              </w:rPr>
              <w:t>/api/v1/integrations/blackglass/text</w:t>
            </w:r>
          </w:p>
        </w:tc>
        <w:tc>
          <w:tcPr>
            <w:tcW w:type="dxa" w:w="2952"/>
            <w:tcMar>
              <w:top w:w="100" w:type="dxa"/>
              <w:start w:w="110" w:type="dxa"/>
              <w:bottom w:w="100" w:type="dxa"/>
              <w:end w:w="110" w:type="dxa"/>
            </w:tcMar>
            <w:vAlign w:val="center"/>
            <w:shd w:fill="EEF4FA"/>
          </w:tcPr>
          <w:p>
            <w:pPr>
              <w:spacing w:after="0" w:line="252" w:lineRule="auto"/>
            </w:pPr>
            <w:r>
              <w:rPr>
                <w:sz w:val="18"/>
              </w:rPr>
              <w:t>Submit a text record</w:t>
            </w:r>
          </w:p>
        </w:tc>
        <w:tc>
          <w:tcPr>
            <w:tcW w:type="dxa" w:w="1512"/>
            <w:tcMar>
              <w:top w:w="100" w:type="dxa"/>
              <w:start w:w="110" w:type="dxa"/>
              <w:bottom w:w="100" w:type="dxa"/>
              <w:end w:w="110" w:type="dxa"/>
            </w:tcMar>
            <w:vAlign w:val="center"/>
            <w:shd w:fill="EEF4FA"/>
          </w:tcPr>
          <w:p>
            <w:pPr>
              <w:spacing w:after="0" w:line="252" w:lineRule="auto"/>
            </w:pPr>
            <w:r>
              <w:rPr>
                <w:sz w:val="18"/>
              </w:rPr>
              <w:t>language</w:t>
            </w:r>
          </w:p>
        </w:tc>
      </w:tr>
      <w:tr>
        <w:tc>
          <w:tcPr>
            <w:tcW w:type="dxa" w:w="936"/>
            <w:tcMar>
              <w:top w:w="100" w:type="dxa"/>
              <w:start w:w="110" w:type="dxa"/>
              <w:bottom w:w="100" w:type="dxa"/>
              <w:end w:w="110" w:type="dxa"/>
            </w:tcMar>
            <w:vAlign w:val="center"/>
          </w:tcPr>
          <w:p>
            <w:pPr>
              <w:spacing w:after="0" w:line="252" w:lineRule="auto"/>
            </w:pPr>
            <w:r>
              <w:rPr>
                <w:sz w:val="18"/>
              </w:rPr>
              <w:t>POST</w:t>
            </w:r>
          </w:p>
        </w:tc>
        <w:tc>
          <w:tcPr>
            <w:tcW w:type="dxa" w:w="4680"/>
            <w:tcMar>
              <w:top w:w="100" w:type="dxa"/>
              <w:start w:w="110" w:type="dxa"/>
              <w:bottom w:w="100" w:type="dxa"/>
              <w:end w:w="110" w:type="dxa"/>
            </w:tcMar>
            <w:vAlign w:val="center"/>
          </w:tcPr>
          <w:p>
            <w:pPr>
              <w:spacing w:after="0" w:line="252" w:lineRule="auto"/>
            </w:pPr>
            <w:r>
              <w:rPr>
                <w:sz w:val="18"/>
              </w:rPr>
              <w:t>/api/v1/integrations/blackglass/media</w:t>
            </w:r>
          </w:p>
        </w:tc>
        <w:tc>
          <w:tcPr>
            <w:tcW w:type="dxa" w:w="2952"/>
            <w:tcMar>
              <w:top w:w="100" w:type="dxa"/>
              <w:start w:w="110" w:type="dxa"/>
              <w:bottom w:w="100" w:type="dxa"/>
              <w:end w:w="110" w:type="dxa"/>
            </w:tcMar>
            <w:vAlign w:val="center"/>
          </w:tcPr>
          <w:p>
            <w:pPr>
              <w:spacing w:after="0" w:line="252" w:lineRule="auto"/>
            </w:pPr>
            <w:r>
              <w:rPr>
                <w:sz w:val="18"/>
              </w:rPr>
              <w:t>Submit one binary object</w:t>
            </w:r>
          </w:p>
        </w:tc>
        <w:tc>
          <w:tcPr>
            <w:tcW w:type="dxa" w:w="1512"/>
            <w:tcMar>
              <w:top w:w="100" w:type="dxa"/>
              <w:start w:w="110" w:type="dxa"/>
              <w:bottom w:w="100" w:type="dxa"/>
              <w:end w:w="110" w:type="dxa"/>
            </w:tcMar>
            <w:vAlign w:val="center"/>
          </w:tcPr>
          <w:p>
            <w:pPr>
              <w:spacing w:after="0" w:line="252" w:lineRule="auto"/>
            </w:pPr>
            <w:r>
              <w:rPr>
                <w:sz w:val="18"/>
              </w:rPr>
              <w:t>media:write</w:t>
            </w:r>
          </w:p>
        </w:tc>
      </w:tr>
      <w:tr>
        <w:tc>
          <w:tcPr>
            <w:tcW w:type="dxa" w:w="936"/>
            <w:tcMar>
              <w:top w:w="100" w:type="dxa"/>
              <w:start w:w="110" w:type="dxa"/>
              <w:bottom w:w="100" w:type="dxa"/>
              <w:end w:w="110" w:type="dxa"/>
            </w:tcMar>
            <w:vAlign w:val="center"/>
            <w:shd w:fill="EEF4FA"/>
          </w:tcPr>
          <w:p>
            <w:pPr>
              <w:spacing w:after="0" w:line="252" w:lineRule="auto"/>
            </w:pPr>
            <w:r>
              <w:rPr>
                <w:sz w:val="18"/>
              </w:rPr>
              <w:t>POST</w:t>
            </w:r>
          </w:p>
        </w:tc>
        <w:tc>
          <w:tcPr>
            <w:tcW w:type="dxa" w:w="4680"/>
            <w:tcMar>
              <w:top w:w="100" w:type="dxa"/>
              <w:start w:w="110" w:type="dxa"/>
              <w:bottom w:w="100" w:type="dxa"/>
              <w:end w:w="110" w:type="dxa"/>
            </w:tcMar>
            <w:vAlign w:val="center"/>
            <w:shd w:fill="EEF4FA"/>
          </w:tcPr>
          <w:p>
            <w:pPr>
              <w:spacing w:after="0" w:line="252" w:lineRule="auto"/>
            </w:pPr>
            <w:r>
              <w:rPr>
                <w:sz w:val="18"/>
              </w:rPr>
              <w:t>/api/v1/live/frames/analyze</w:t>
            </w:r>
          </w:p>
        </w:tc>
        <w:tc>
          <w:tcPr>
            <w:tcW w:type="dxa" w:w="2952"/>
            <w:tcMar>
              <w:top w:w="100" w:type="dxa"/>
              <w:start w:w="110" w:type="dxa"/>
              <w:bottom w:w="100" w:type="dxa"/>
              <w:end w:w="110" w:type="dxa"/>
            </w:tcMar>
            <w:vAlign w:val="center"/>
            <w:shd w:fill="EEF4FA"/>
          </w:tcPr>
          <w:p>
            <w:pPr>
              <w:spacing w:after="0" w:line="252" w:lineRule="auto"/>
            </w:pPr>
            <w:r>
              <w:rPr>
                <w:sz w:val="18"/>
              </w:rPr>
              <w:t>Analyze one finite live frame</w:t>
            </w:r>
          </w:p>
        </w:tc>
        <w:tc>
          <w:tcPr>
            <w:tcW w:type="dxa" w:w="1512"/>
            <w:tcMar>
              <w:top w:w="100" w:type="dxa"/>
              <w:start w:w="110" w:type="dxa"/>
              <w:bottom w:w="100" w:type="dxa"/>
              <w:end w:w="110" w:type="dxa"/>
            </w:tcMar>
            <w:vAlign w:val="center"/>
            <w:shd w:fill="EEF4FA"/>
          </w:tcPr>
          <w:p>
            <w:pPr>
              <w:spacing w:after="0" w:line="252" w:lineRule="auto"/>
            </w:pPr>
            <w:r>
              <w:rPr>
                <w:sz w:val="18"/>
              </w:rPr>
              <w:t>Configured identification access</w:t>
            </w:r>
          </w:p>
        </w:tc>
      </w:tr>
    </w:tbl>
    <w:p>
      <w:pPr>
        <w:spacing w:after="40"/>
      </w:pPr>
    </w:p>
    <w:p>
      <w:pPr>
        <w:pStyle w:val="Heading1"/>
      </w:pPr>
      <w:r>
        <w:t>Text Ingestion</w:t>
      </w:r>
    </w:p>
    <w:p>
      <w:r>
        <w:t>Use the text endpoint for posts, captions, comments, messages, articles, and other UTF-8 content. EagleEye accepts English, Dhivehi in Thaana, Latin-script Dhivehi, and mixed text. The source ID must be stable and unique within its source type.</w:t>
      </w:r>
    </w:p>
    <w:p>
      <w:pPr>
        <w:pStyle w:val="NoSpacing"/>
        <w:keepLines/>
        <w:spacing w:before="80" w:after="160" w:line="240" w:lineRule="auto"/>
        <w:ind w:left="259" w:right="259"/>
        <w:shd w:fill="F4F5F7"/>
      </w:pPr>
      <w:r>
        <w:rPr>
          <w:rFonts w:ascii="Courier New" w:hAnsi="Courier New"/>
          <w:sz w:val="16"/>
        </w:rPr>
        <w:t>POST /api/v1/integrations/blackglass/text</w:t>
        <w:br/>
        <w:t>Authorization: Bearer &lt;EAGLEEYE_SERVICE_TOKEN&gt;</w:t>
        <w:br/>
        <w:t>Content-Type: application/json</w:t>
      </w:r>
    </w:p>
    <w:p>
      <w:pPr>
        <w:pStyle w:val="Heading2"/>
      </w:pPr>
      <w:r>
        <w:t>Text Request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944"/>
            <w:shd w:fill="17365D"/>
            <w:tcMar>
              <w:top w:w="100" w:type="dxa"/>
              <w:start w:w="110" w:type="dxa"/>
              <w:bottom w:w="100" w:type="dxa"/>
              <w:end w:w="110" w:type="dxa"/>
            </w:tcMar>
            <w:vAlign w:val="center"/>
          </w:tcPr>
          <w:p>
            <w:r>
              <w:rPr>
                <w:b/>
                <w:color w:val="FFFFFF"/>
                <w:sz w:val="19"/>
              </w:rPr>
              <w:t>Field</w:t>
            </w:r>
          </w:p>
        </w:tc>
        <w:tc>
          <w:tcPr>
            <w:tcW w:type="dxa" w:w="936"/>
            <w:shd w:fill="17365D"/>
            <w:tcMar>
              <w:top w:w="100" w:type="dxa"/>
              <w:start w:w="110" w:type="dxa"/>
              <w:bottom w:w="100" w:type="dxa"/>
              <w:end w:w="110" w:type="dxa"/>
            </w:tcMar>
            <w:vAlign w:val="center"/>
          </w:tcPr>
          <w:p>
            <w:r>
              <w:rPr>
                <w:b/>
                <w:color w:val="FFFFFF"/>
                <w:sz w:val="19"/>
              </w:rPr>
              <w:t>Required</w:t>
            </w:r>
          </w:p>
        </w:tc>
        <w:tc>
          <w:tcPr>
            <w:tcW w:type="dxa" w:w="2232"/>
            <w:shd w:fill="17365D"/>
            <w:tcMar>
              <w:top w:w="100" w:type="dxa"/>
              <w:start w:w="110" w:type="dxa"/>
              <w:bottom w:w="100" w:type="dxa"/>
              <w:end w:w="110" w:type="dxa"/>
            </w:tcMar>
            <w:vAlign w:val="center"/>
          </w:tcPr>
          <w:p>
            <w:r>
              <w:rPr>
                <w:b/>
                <w:color w:val="FFFFFF"/>
                <w:sz w:val="19"/>
              </w:rPr>
              <w:t>Type and limit</w:t>
            </w:r>
          </w:p>
        </w:tc>
        <w:tc>
          <w:tcPr>
            <w:tcW w:type="dxa" w:w="4968"/>
            <w:shd w:fill="17365D"/>
            <w:tcMar>
              <w:top w:w="100" w:type="dxa"/>
              <w:start w:w="110" w:type="dxa"/>
              <w:bottom w:w="100" w:type="dxa"/>
              <w:end w:w="110" w:type="dxa"/>
            </w:tcMar>
            <w:vAlign w:val="center"/>
          </w:tcPr>
          <w:p>
            <w:r>
              <w:rPr>
                <w:b/>
                <w:color w:val="FFFFFF"/>
                <w:sz w:val="19"/>
              </w:rPr>
              <w:t>Meaning</w:t>
            </w:r>
          </w:p>
        </w:tc>
      </w:tr>
      <w:tr>
        <w:tc>
          <w:tcPr>
            <w:tcW w:type="dxa" w:w="1944"/>
            <w:tcMar>
              <w:top w:w="100" w:type="dxa"/>
              <w:start w:w="110" w:type="dxa"/>
              <w:bottom w:w="100" w:type="dxa"/>
              <w:end w:w="110" w:type="dxa"/>
            </w:tcMar>
            <w:vAlign w:val="center"/>
          </w:tcPr>
          <w:p>
            <w:pPr>
              <w:spacing w:after="0" w:line="252" w:lineRule="auto"/>
            </w:pPr>
            <w:r>
              <w:rPr>
                <w:sz w:val="18"/>
              </w:rPr>
              <w:t>schema_version</w:t>
            </w:r>
          </w:p>
        </w:tc>
        <w:tc>
          <w:tcPr>
            <w:tcW w:type="dxa" w:w="936"/>
            <w:tcMar>
              <w:top w:w="100" w:type="dxa"/>
              <w:start w:w="110" w:type="dxa"/>
              <w:bottom w:w="100" w:type="dxa"/>
              <w:end w:w="110" w:type="dxa"/>
            </w:tcMar>
            <w:vAlign w:val="center"/>
          </w:tcPr>
          <w:p>
            <w:pPr>
              <w:spacing w:after="0" w:line="252" w:lineRule="auto"/>
            </w:pPr>
            <w:r>
              <w:rPr>
                <w:sz w:val="18"/>
              </w:rPr>
              <w:t>No</w:t>
            </w:r>
          </w:p>
        </w:tc>
        <w:tc>
          <w:tcPr>
            <w:tcW w:type="dxa" w:w="2232"/>
            <w:tcMar>
              <w:top w:w="100" w:type="dxa"/>
              <w:start w:w="110" w:type="dxa"/>
              <w:bottom w:w="100" w:type="dxa"/>
              <w:end w:w="110" w:type="dxa"/>
            </w:tcMar>
            <w:vAlign w:val="center"/>
          </w:tcPr>
          <w:p>
            <w:pPr>
              <w:spacing w:after="0" w:line="252" w:lineRule="auto"/>
            </w:pPr>
            <w:r>
              <w:rPr>
                <w:sz w:val="18"/>
              </w:rPr>
              <w:t>String fixed at 1.1</w:t>
            </w:r>
          </w:p>
        </w:tc>
        <w:tc>
          <w:tcPr>
            <w:tcW w:type="dxa" w:w="4968"/>
            <w:tcMar>
              <w:top w:w="100" w:type="dxa"/>
              <w:start w:w="110" w:type="dxa"/>
              <w:bottom w:w="100" w:type="dxa"/>
              <w:end w:w="110" w:type="dxa"/>
            </w:tcMar>
            <w:vAlign w:val="center"/>
          </w:tcPr>
          <w:p>
            <w:pPr>
              <w:spacing w:after="0" w:line="252" w:lineRule="auto"/>
            </w:pPr>
            <w:r>
              <w:rPr>
                <w:sz w:val="18"/>
              </w:rPr>
              <w:t>Contract version</w:t>
            </w:r>
          </w:p>
        </w:tc>
      </w:tr>
      <w:tr>
        <w:tc>
          <w:tcPr>
            <w:tcW w:type="dxa" w:w="1944"/>
            <w:tcMar>
              <w:top w:w="100" w:type="dxa"/>
              <w:start w:w="110" w:type="dxa"/>
              <w:bottom w:w="100" w:type="dxa"/>
              <w:end w:w="110" w:type="dxa"/>
            </w:tcMar>
            <w:vAlign w:val="center"/>
            <w:shd w:fill="EEF4FA"/>
          </w:tcPr>
          <w:p>
            <w:pPr>
              <w:spacing w:after="0" w:line="252" w:lineRule="auto"/>
            </w:pPr>
            <w:r>
              <w:rPr>
                <w:sz w:val="18"/>
              </w:rPr>
              <w:t>source_id</w:t>
            </w:r>
          </w:p>
        </w:tc>
        <w:tc>
          <w:tcPr>
            <w:tcW w:type="dxa" w:w="936"/>
            <w:tcMar>
              <w:top w:w="100" w:type="dxa"/>
              <w:start w:w="110" w:type="dxa"/>
              <w:bottom w:w="100" w:type="dxa"/>
              <w:end w:w="110" w:type="dxa"/>
            </w:tcMar>
            <w:vAlign w:val="center"/>
            <w:shd w:fill="EEF4FA"/>
          </w:tcPr>
          <w:p>
            <w:pPr>
              <w:spacing w:after="0" w:line="252" w:lineRule="auto"/>
            </w:pPr>
            <w:r>
              <w:rPr>
                <w:sz w:val="18"/>
              </w:rPr>
              <w:t>Yes</w:t>
            </w:r>
          </w:p>
        </w:tc>
        <w:tc>
          <w:tcPr>
            <w:tcW w:type="dxa" w:w="2232"/>
            <w:tcMar>
              <w:top w:w="100" w:type="dxa"/>
              <w:start w:w="110" w:type="dxa"/>
              <w:bottom w:w="100" w:type="dxa"/>
              <w:end w:w="110" w:type="dxa"/>
            </w:tcMar>
            <w:vAlign w:val="center"/>
            <w:shd w:fill="EEF4FA"/>
          </w:tcPr>
          <w:p>
            <w:pPr>
              <w:spacing w:after="0" w:line="252" w:lineRule="auto"/>
            </w:pPr>
            <w:r>
              <w:rPr>
                <w:sz w:val="18"/>
              </w:rPr>
              <w:t>String 1 to 256</w:t>
            </w:r>
          </w:p>
        </w:tc>
        <w:tc>
          <w:tcPr>
            <w:tcW w:type="dxa" w:w="4968"/>
            <w:tcMar>
              <w:top w:w="100" w:type="dxa"/>
              <w:start w:w="110" w:type="dxa"/>
              <w:bottom w:w="100" w:type="dxa"/>
              <w:end w:w="110" w:type="dxa"/>
            </w:tcMar>
            <w:vAlign w:val="center"/>
            <w:shd w:fill="EEF4FA"/>
          </w:tcPr>
          <w:p>
            <w:pPr>
              <w:spacing w:after="0" w:line="252" w:lineRule="auto"/>
            </w:pPr>
            <w:r>
              <w:rPr>
                <w:sz w:val="18"/>
              </w:rPr>
              <w:t>Stable BlackGlass record ID</w:t>
            </w:r>
          </w:p>
        </w:tc>
      </w:tr>
      <w:tr>
        <w:tc>
          <w:tcPr>
            <w:tcW w:type="dxa" w:w="1944"/>
            <w:tcMar>
              <w:top w:w="100" w:type="dxa"/>
              <w:start w:w="110" w:type="dxa"/>
              <w:bottom w:w="100" w:type="dxa"/>
              <w:end w:w="110" w:type="dxa"/>
            </w:tcMar>
            <w:vAlign w:val="center"/>
          </w:tcPr>
          <w:p>
            <w:pPr>
              <w:spacing w:after="0" w:line="252" w:lineRule="auto"/>
            </w:pPr>
            <w:r>
              <w:rPr>
                <w:sz w:val="18"/>
              </w:rPr>
              <w:t>source_type</w:t>
            </w:r>
          </w:p>
        </w:tc>
        <w:tc>
          <w:tcPr>
            <w:tcW w:type="dxa" w:w="936"/>
            <w:tcMar>
              <w:top w:w="100" w:type="dxa"/>
              <w:start w:w="110" w:type="dxa"/>
              <w:bottom w:w="100" w:type="dxa"/>
              <w:end w:w="110" w:type="dxa"/>
            </w:tcMar>
            <w:vAlign w:val="center"/>
          </w:tcPr>
          <w:p>
            <w:pPr>
              <w:spacing w:after="0" w:line="252" w:lineRule="auto"/>
            </w:pPr>
            <w:r>
              <w:rPr>
                <w:sz w:val="18"/>
              </w:rPr>
              <w:t>Yes</w:t>
            </w:r>
          </w:p>
        </w:tc>
        <w:tc>
          <w:tcPr>
            <w:tcW w:type="dxa" w:w="2232"/>
            <w:tcMar>
              <w:top w:w="100" w:type="dxa"/>
              <w:start w:w="110" w:type="dxa"/>
              <w:bottom w:w="100" w:type="dxa"/>
              <w:end w:w="110" w:type="dxa"/>
            </w:tcMar>
            <w:vAlign w:val="center"/>
          </w:tcPr>
          <w:p>
            <w:pPr>
              <w:spacing w:after="0" w:line="252" w:lineRule="auto"/>
            </w:pPr>
            <w:r>
              <w:rPr>
                <w:sz w:val="18"/>
              </w:rPr>
              <w:t>String 1 to 64</w:t>
            </w:r>
          </w:p>
        </w:tc>
        <w:tc>
          <w:tcPr>
            <w:tcW w:type="dxa" w:w="4968"/>
            <w:tcMar>
              <w:top w:w="100" w:type="dxa"/>
              <w:start w:w="110" w:type="dxa"/>
              <w:bottom w:w="100" w:type="dxa"/>
              <w:end w:w="110" w:type="dxa"/>
            </w:tcMar>
            <w:vAlign w:val="center"/>
          </w:tcPr>
          <w:p>
            <w:pPr>
              <w:spacing w:after="0" w:line="252" w:lineRule="auto"/>
            </w:pPr>
            <w:r>
              <w:rPr>
                <w:sz w:val="18"/>
              </w:rPr>
              <w:t>post, profile, media, or another record type</w:t>
            </w:r>
          </w:p>
        </w:tc>
      </w:tr>
      <w:tr>
        <w:tc>
          <w:tcPr>
            <w:tcW w:type="dxa" w:w="1944"/>
            <w:tcMar>
              <w:top w:w="100" w:type="dxa"/>
              <w:start w:w="110" w:type="dxa"/>
              <w:bottom w:w="100" w:type="dxa"/>
              <w:end w:w="110" w:type="dxa"/>
            </w:tcMar>
            <w:vAlign w:val="center"/>
            <w:shd w:fill="EEF4FA"/>
          </w:tcPr>
          <w:p>
            <w:pPr>
              <w:spacing w:after="0" w:line="252" w:lineRule="auto"/>
            </w:pPr>
            <w:r>
              <w:rPr>
                <w:sz w:val="18"/>
              </w:rPr>
              <w:t>title</w:t>
            </w:r>
          </w:p>
        </w:tc>
        <w:tc>
          <w:tcPr>
            <w:tcW w:type="dxa" w:w="936"/>
            <w:tcMar>
              <w:top w:w="100" w:type="dxa"/>
              <w:start w:w="110" w:type="dxa"/>
              <w:bottom w:w="100" w:type="dxa"/>
              <w:end w:w="110" w:type="dxa"/>
            </w:tcMar>
            <w:vAlign w:val="center"/>
            <w:shd w:fill="EEF4FA"/>
          </w:tcPr>
          <w:p>
            <w:pPr>
              <w:spacing w:after="0" w:line="252" w:lineRule="auto"/>
            </w:pPr>
            <w:r>
              <w:rPr>
                <w:sz w:val="18"/>
              </w:rPr>
              <w:t>Yes</w:t>
            </w:r>
          </w:p>
        </w:tc>
        <w:tc>
          <w:tcPr>
            <w:tcW w:type="dxa" w:w="2232"/>
            <w:tcMar>
              <w:top w:w="100" w:type="dxa"/>
              <w:start w:w="110" w:type="dxa"/>
              <w:bottom w:w="100" w:type="dxa"/>
              <w:end w:w="110" w:type="dxa"/>
            </w:tcMar>
            <w:vAlign w:val="center"/>
            <w:shd w:fill="EEF4FA"/>
          </w:tcPr>
          <w:p>
            <w:pPr>
              <w:spacing w:after="0" w:line="252" w:lineRule="auto"/>
            </w:pPr>
            <w:r>
              <w:rPr>
                <w:sz w:val="18"/>
              </w:rPr>
              <w:t>String 1 to 256</w:t>
            </w:r>
          </w:p>
        </w:tc>
        <w:tc>
          <w:tcPr>
            <w:tcW w:type="dxa" w:w="4968"/>
            <w:tcMar>
              <w:top w:w="100" w:type="dxa"/>
              <w:start w:w="110" w:type="dxa"/>
              <w:bottom w:w="100" w:type="dxa"/>
              <w:end w:w="110" w:type="dxa"/>
            </w:tcMar>
            <w:vAlign w:val="center"/>
            <w:shd w:fill="EEF4FA"/>
          </w:tcPr>
          <w:p>
            <w:pPr>
              <w:spacing w:after="0" w:line="252" w:lineRule="auto"/>
            </w:pPr>
            <w:r>
              <w:rPr>
                <w:sz w:val="18"/>
              </w:rPr>
              <w:t>Short display title</w:t>
            </w:r>
          </w:p>
        </w:tc>
      </w:tr>
      <w:tr>
        <w:tc>
          <w:tcPr>
            <w:tcW w:type="dxa" w:w="1944"/>
            <w:tcMar>
              <w:top w:w="100" w:type="dxa"/>
              <w:start w:w="110" w:type="dxa"/>
              <w:bottom w:w="100" w:type="dxa"/>
              <w:end w:w="110" w:type="dxa"/>
            </w:tcMar>
            <w:vAlign w:val="center"/>
          </w:tcPr>
          <w:p>
            <w:pPr>
              <w:spacing w:after="0" w:line="252" w:lineRule="auto"/>
            </w:pPr>
            <w:r>
              <w:rPr>
                <w:sz w:val="18"/>
              </w:rPr>
              <w:t>text</w:t>
            </w:r>
          </w:p>
        </w:tc>
        <w:tc>
          <w:tcPr>
            <w:tcW w:type="dxa" w:w="936"/>
            <w:tcMar>
              <w:top w:w="100" w:type="dxa"/>
              <w:start w:w="110" w:type="dxa"/>
              <w:bottom w:w="100" w:type="dxa"/>
              <w:end w:w="110" w:type="dxa"/>
            </w:tcMar>
            <w:vAlign w:val="center"/>
          </w:tcPr>
          <w:p>
            <w:pPr>
              <w:spacing w:after="0" w:line="252" w:lineRule="auto"/>
            </w:pPr>
            <w:r>
              <w:rPr>
                <w:sz w:val="18"/>
              </w:rPr>
              <w:t>Yes</w:t>
            </w:r>
          </w:p>
        </w:tc>
        <w:tc>
          <w:tcPr>
            <w:tcW w:type="dxa" w:w="2232"/>
            <w:tcMar>
              <w:top w:w="100" w:type="dxa"/>
              <w:start w:w="110" w:type="dxa"/>
              <w:bottom w:w="100" w:type="dxa"/>
              <w:end w:w="110" w:type="dxa"/>
            </w:tcMar>
            <w:vAlign w:val="center"/>
          </w:tcPr>
          <w:p>
            <w:pPr>
              <w:spacing w:after="0" w:line="252" w:lineRule="auto"/>
            </w:pPr>
            <w:r>
              <w:rPr>
                <w:sz w:val="18"/>
              </w:rPr>
              <w:t>String 1 to 100000</w:t>
            </w:r>
          </w:p>
        </w:tc>
        <w:tc>
          <w:tcPr>
            <w:tcW w:type="dxa" w:w="4968"/>
            <w:tcMar>
              <w:top w:w="100" w:type="dxa"/>
              <w:start w:w="110" w:type="dxa"/>
              <w:bottom w:w="100" w:type="dxa"/>
              <w:end w:w="110" w:type="dxa"/>
            </w:tcMar>
            <w:vAlign w:val="center"/>
          </w:tcPr>
          <w:p>
            <w:pPr>
              <w:spacing w:after="0" w:line="252" w:lineRule="auto"/>
            </w:pPr>
            <w:r>
              <w:rPr>
                <w:sz w:val="18"/>
              </w:rPr>
              <w:t>Original text without replacement</w:t>
            </w:r>
          </w:p>
        </w:tc>
      </w:tr>
      <w:tr>
        <w:tc>
          <w:tcPr>
            <w:tcW w:type="dxa" w:w="1944"/>
            <w:tcMar>
              <w:top w:w="100" w:type="dxa"/>
              <w:start w:w="110" w:type="dxa"/>
              <w:bottom w:w="100" w:type="dxa"/>
              <w:end w:w="110" w:type="dxa"/>
            </w:tcMar>
            <w:vAlign w:val="center"/>
            <w:shd w:fill="EEF4FA"/>
          </w:tcPr>
          <w:p>
            <w:pPr>
              <w:spacing w:after="0" w:line="252" w:lineRule="auto"/>
            </w:pPr>
            <w:r>
              <w:rPr>
                <w:sz w:val="18"/>
              </w:rPr>
              <w:t>language_hint</w:t>
            </w:r>
          </w:p>
        </w:tc>
        <w:tc>
          <w:tcPr>
            <w:tcW w:type="dxa" w:w="936"/>
            <w:tcMar>
              <w:top w:w="100" w:type="dxa"/>
              <w:start w:w="110" w:type="dxa"/>
              <w:bottom w:w="100" w:type="dxa"/>
              <w:end w:w="110" w:type="dxa"/>
            </w:tcMar>
            <w:vAlign w:val="center"/>
            <w:shd w:fill="EEF4FA"/>
          </w:tcPr>
          <w:p>
            <w:pPr>
              <w:spacing w:after="0" w:line="252" w:lineRule="auto"/>
            </w:pPr>
            <w:r>
              <w:rPr>
                <w:sz w:val="18"/>
              </w:rPr>
              <w:t>No</w:t>
            </w:r>
          </w:p>
        </w:tc>
        <w:tc>
          <w:tcPr>
            <w:tcW w:type="dxa" w:w="2232"/>
            <w:tcMar>
              <w:top w:w="100" w:type="dxa"/>
              <w:start w:w="110" w:type="dxa"/>
              <w:bottom w:w="100" w:type="dxa"/>
              <w:end w:w="110" w:type="dxa"/>
            </w:tcMar>
            <w:vAlign w:val="center"/>
            <w:shd w:fill="EEF4FA"/>
          </w:tcPr>
          <w:p>
            <w:pPr>
              <w:spacing w:after="0" w:line="252" w:lineRule="auto"/>
            </w:pPr>
            <w:r>
              <w:rPr>
                <w:sz w:val="18"/>
              </w:rPr>
              <w:t>String up to 16</w:t>
            </w:r>
          </w:p>
        </w:tc>
        <w:tc>
          <w:tcPr>
            <w:tcW w:type="dxa" w:w="4968"/>
            <w:tcMar>
              <w:top w:w="100" w:type="dxa"/>
              <w:start w:w="110" w:type="dxa"/>
              <w:bottom w:w="100" w:type="dxa"/>
              <w:end w:w="110" w:type="dxa"/>
            </w:tcMar>
            <w:vAlign w:val="center"/>
            <w:shd w:fill="EEF4FA"/>
          </w:tcPr>
          <w:p>
            <w:pPr>
              <w:spacing w:after="0" w:line="252" w:lineRule="auto"/>
            </w:pPr>
            <w:r>
              <w:rPr>
                <w:sz w:val="18"/>
              </w:rPr>
              <w:t>For example en, dv, latin-dv, or mixed</w:t>
            </w:r>
          </w:p>
        </w:tc>
      </w:tr>
      <w:tr>
        <w:tc>
          <w:tcPr>
            <w:tcW w:type="dxa" w:w="1944"/>
            <w:tcMar>
              <w:top w:w="100" w:type="dxa"/>
              <w:start w:w="110" w:type="dxa"/>
              <w:bottom w:w="100" w:type="dxa"/>
              <w:end w:w="110" w:type="dxa"/>
            </w:tcMar>
            <w:vAlign w:val="center"/>
          </w:tcPr>
          <w:p>
            <w:pPr>
              <w:spacing w:after="0" w:line="252" w:lineRule="auto"/>
            </w:pPr>
            <w:r>
              <w:rPr>
                <w:sz w:val="18"/>
              </w:rPr>
              <w:t>attributes</w:t>
            </w:r>
          </w:p>
        </w:tc>
        <w:tc>
          <w:tcPr>
            <w:tcW w:type="dxa" w:w="936"/>
            <w:tcMar>
              <w:top w:w="100" w:type="dxa"/>
              <w:start w:w="110" w:type="dxa"/>
              <w:bottom w:w="100" w:type="dxa"/>
              <w:end w:w="110" w:type="dxa"/>
            </w:tcMar>
            <w:vAlign w:val="center"/>
          </w:tcPr>
          <w:p>
            <w:pPr>
              <w:spacing w:after="0" w:line="252" w:lineRule="auto"/>
            </w:pPr>
            <w:r>
              <w:rPr>
                <w:sz w:val="18"/>
              </w:rPr>
              <w:t>No</w:t>
            </w:r>
          </w:p>
        </w:tc>
        <w:tc>
          <w:tcPr>
            <w:tcW w:type="dxa" w:w="2232"/>
            <w:tcMar>
              <w:top w:w="100" w:type="dxa"/>
              <w:start w:w="110" w:type="dxa"/>
              <w:bottom w:w="100" w:type="dxa"/>
              <w:end w:w="110" w:type="dxa"/>
            </w:tcMar>
            <w:vAlign w:val="center"/>
          </w:tcPr>
          <w:p>
            <w:pPr>
              <w:spacing w:after="0" w:line="252" w:lineRule="auto"/>
            </w:pPr>
            <w:r>
              <w:rPr>
                <w:sz w:val="18"/>
              </w:rPr>
              <w:t>JSON object</w:t>
            </w:r>
          </w:p>
        </w:tc>
        <w:tc>
          <w:tcPr>
            <w:tcW w:type="dxa" w:w="4968"/>
            <w:tcMar>
              <w:top w:w="100" w:type="dxa"/>
              <w:start w:w="110" w:type="dxa"/>
              <w:bottom w:w="100" w:type="dxa"/>
              <w:end w:w="110" w:type="dxa"/>
            </w:tcMar>
            <w:vAlign w:val="center"/>
          </w:tcPr>
          <w:p>
            <w:pPr>
              <w:spacing w:after="0" w:line="252" w:lineRule="auto"/>
            </w:pPr>
            <w:r>
              <w:rPr>
                <w:sz w:val="18"/>
              </w:rPr>
              <w:t>Profile, platform, case, report, or collector metadata</w:t>
            </w:r>
          </w:p>
        </w:tc>
      </w:tr>
      <w:tr>
        <w:tc>
          <w:tcPr>
            <w:tcW w:type="dxa" w:w="1944"/>
            <w:tcMar>
              <w:top w:w="100" w:type="dxa"/>
              <w:start w:w="110" w:type="dxa"/>
              <w:bottom w:w="100" w:type="dxa"/>
              <w:end w:w="110" w:type="dxa"/>
            </w:tcMar>
            <w:vAlign w:val="center"/>
            <w:shd w:fill="EEF4FA"/>
          </w:tcPr>
          <w:p>
            <w:pPr>
              <w:spacing w:after="0" w:line="252" w:lineRule="auto"/>
            </w:pPr>
            <w:r>
              <w:rPr>
                <w:sz w:val="18"/>
              </w:rPr>
              <w:t>requested_analyses</w:t>
            </w:r>
          </w:p>
        </w:tc>
        <w:tc>
          <w:tcPr>
            <w:tcW w:type="dxa" w:w="936"/>
            <w:tcMar>
              <w:top w:w="100" w:type="dxa"/>
              <w:start w:w="110" w:type="dxa"/>
              <w:bottom w:w="100" w:type="dxa"/>
              <w:end w:w="110" w:type="dxa"/>
            </w:tcMar>
            <w:vAlign w:val="center"/>
            <w:shd w:fill="EEF4FA"/>
          </w:tcPr>
          <w:p>
            <w:pPr>
              <w:spacing w:after="0" w:line="252" w:lineRule="auto"/>
            </w:pPr>
            <w:r>
              <w:rPr>
                <w:sz w:val="18"/>
              </w:rPr>
              <w:t>No</w:t>
            </w:r>
          </w:p>
        </w:tc>
        <w:tc>
          <w:tcPr>
            <w:tcW w:type="dxa" w:w="2232"/>
            <w:tcMar>
              <w:top w:w="100" w:type="dxa"/>
              <w:start w:w="110" w:type="dxa"/>
              <w:bottom w:w="100" w:type="dxa"/>
              <w:end w:w="110" w:type="dxa"/>
            </w:tcMar>
            <w:vAlign w:val="center"/>
            <w:shd w:fill="EEF4FA"/>
          </w:tcPr>
          <w:p>
            <w:pPr>
              <w:spacing w:after="0" w:line="252" w:lineRule="auto"/>
            </w:pPr>
            <w:r>
              <w:rPr>
                <w:sz w:val="18"/>
              </w:rPr>
              <w:t>Unique string array</w:t>
            </w:r>
          </w:p>
        </w:tc>
        <w:tc>
          <w:tcPr>
            <w:tcW w:type="dxa" w:w="4968"/>
            <w:tcMar>
              <w:top w:w="100" w:type="dxa"/>
              <w:start w:w="110" w:type="dxa"/>
              <w:bottom w:w="100" w:type="dxa"/>
              <w:end w:w="110" w:type="dxa"/>
            </w:tcMar>
            <w:vAlign w:val="center"/>
            <w:shd w:fill="EEF4FA"/>
          </w:tcPr>
          <w:p>
            <w:pPr>
              <w:spacing w:after="0" w:line="252" w:lineRule="auto"/>
            </w:pPr>
            <w:r>
              <w:rPr>
                <w:sz w:val="18"/>
              </w:rPr>
              <w:t>Requested processing capabilities</w:t>
            </w:r>
          </w:p>
        </w:tc>
      </w:tr>
    </w:tbl>
    <w:p>
      <w:pPr>
        <w:spacing w:after="40"/>
      </w:pPr>
    </w:p>
    <w:p>
      <w:pPr>
        <w:pStyle w:val="Heading2"/>
      </w:pPr>
      <w:r>
        <w:t>Text Request Example</w:t>
      </w:r>
    </w:p>
    <w:p>
      <w:pPr>
        <w:pStyle w:val="NoSpacing"/>
        <w:keepLines/>
        <w:spacing w:before="80" w:after="160" w:line="240" w:lineRule="auto"/>
        <w:ind w:left="259" w:right="259"/>
        <w:shd w:fill="F4F5F7"/>
      </w:pPr>
      <w:r>
        <w:rPr>
          <w:rFonts w:ascii="Courier New" w:hAnsi="Courier New"/>
          <w:sz w:val="16"/>
        </w:rPr>
        <w:t>{</w:t>
        <w:br/>
        <w:t xml:space="preserve">  "schema_version": "1.1",</w:t>
        <w:br/>
        <w:t xml:space="preserve">  "source_id": "POST-1001",</w:t>
        <w:br/>
        <w:t xml:space="preserve">  "source_type": "post",</w:t>
        <w:br/>
        <w:t xml:space="preserve">  "attributes": {</w:t>
        <w:br/>
        <w:t xml:space="preserve">    "source_system": "blackglass-prod",</w:t>
        <w:br/>
        <w:t xml:space="preserve">    "source_url": "https://blackglass.live/posts/POST-1001",</w:t>
        <w:br/>
        <w:t xml:space="preserve">    "collected_at": "2026-09-15T10:00:00Z",</w:t>
        <w:br/>
        <w:t xml:space="preserve">    "published_at": "2026-09-15T09:30:00Z",</w:t>
        <w:br/>
        <w:t xml:space="preserve">    "collector_version": "1.0",</w:t>
        <w:br/>
        <w:t xml:space="preserve">    "profile_id": "PROFILE-456",</w:t>
        <w:br/>
        <w:t xml:space="preserve">    "platform": "facebook",</w:t>
        <w:br/>
        <w:t xml:space="preserve">    "report_request_id": "REPORT-123"</w:t>
        <w:br/>
        <w:t xml:space="preserve">  },</w:t>
        <w:br/>
        <w:t xml:space="preserve">  "title": "Post title",</w:t>
        <w:br/>
        <w:t xml:space="preserve">  "text": "Original English, Thaana, Latin Dhivehi or mixed text",</w:t>
        <w:br/>
        <w:t xml:space="preserve">  "language_hint": "mixed",</w:t>
        <w:br/>
        <w:t xml:space="preserve">  "requested_analyses": [</w:t>
        <w:br/>
        <w:t xml:space="preserve">    "semantic_embedding", "translation", "transliteration"</w:t>
        <w:br/>
        <w:t xml:space="preserve">  ]</w:t>
        <w:br/>
        <w:t>}</w:t>
      </w:r>
    </w:p>
    <w:p>
      <w:pPr>
        <w:pStyle w:val="Heading1"/>
      </w:pPr>
      <w:r>
        <w:t>Media Ingestion</w:t>
      </w:r>
    </w:p>
    <w:p>
      <w:r>
        <w:t>Use multipart upload for images, audio, video, PDF documents, and post attachments. BlackGlass sends the actual bytes; a source URL is provenance and EagleEye does not fetch it.</w:t>
      </w:r>
    </w:p>
    <w:p>
      <w:pPr>
        <w:pStyle w:val="NoSpacing"/>
        <w:keepLines/>
        <w:spacing w:before="80" w:after="160" w:line="240" w:lineRule="auto"/>
        <w:ind w:left="259" w:right="259"/>
        <w:shd w:fill="F4F5F7"/>
      </w:pPr>
      <w:r>
        <w:rPr>
          <w:rFonts w:ascii="Courier New" w:hAnsi="Courier New"/>
          <w:sz w:val="16"/>
        </w:rPr>
        <w:t>POST /api/v1/integrations/blackglass/media</w:t>
        <w:br/>
        <w:t>Authorization: Bearer &lt;EAGLEEYE_SERVICE_TOKEN&gt;</w:t>
        <w:br/>
        <w:t>Content-Type: multipart/form-data</w:t>
      </w:r>
    </w:p>
    <w:p>
      <w:pPr>
        <w:pStyle w:val="Heading2"/>
      </w:pPr>
      <w:r>
        <w:t>Media Form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232"/>
            <w:shd w:fill="17365D"/>
            <w:tcMar>
              <w:top w:w="100" w:type="dxa"/>
              <w:start w:w="110" w:type="dxa"/>
              <w:bottom w:w="100" w:type="dxa"/>
              <w:end w:w="110" w:type="dxa"/>
            </w:tcMar>
            <w:vAlign w:val="center"/>
          </w:tcPr>
          <w:p>
            <w:r>
              <w:rPr>
                <w:b/>
                <w:color w:val="FFFFFF"/>
                <w:sz w:val="19"/>
              </w:rPr>
              <w:t>Field</w:t>
            </w:r>
          </w:p>
        </w:tc>
        <w:tc>
          <w:tcPr>
            <w:tcW w:type="dxa" w:w="936"/>
            <w:shd w:fill="17365D"/>
            <w:tcMar>
              <w:top w:w="100" w:type="dxa"/>
              <w:start w:w="110" w:type="dxa"/>
              <w:bottom w:w="100" w:type="dxa"/>
              <w:end w:w="110" w:type="dxa"/>
            </w:tcMar>
            <w:vAlign w:val="center"/>
          </w:tcPr>
          <w:p>
            <w:r>
              <w:rPr>
                <w:b/>
                <w:color w:val="FFFFFF"/>
                <w:sz w:val="19"/>
              </w:rPr>
              <w:t>Required</w:t>
            </w:r>
          </w:p>
        </w:tc>
        <w:tc>
          <w:tcPr>
            <w:tcW w:type="dxa" w:w="3024"/>
            <w:shd w:fill="17365D"/>
            <w:tcMar>
              <w:top w:w="100" w:type="dxa"/>
              <w:start w:w="110" w:type="dxa"/>
              <w:bottom w:w="100" w:type="dxa"/>
              <w:end w:w="110" w:type="dxa"/>
            </w:tcMar>
            <w:vAlign w:val="center"/>
          </w:tcPr>
          <w:p>
            <w:r>
              <w:rPr>
                <w:b/>
                <w:color w:val="FFFFFF"/>
                <w:sz w:val="19"/>
              </w:rPr>
              <w:t>Accepted value</w:t>
            </w:r>
          </w:p>
        </w:tc>
        <w:tc>
          <w:tcPr>
            <w:tcW w:type="dxa" w:w="4176"/>
            <w:shd w:fill="17365D"/>
            <w:tcMar>
              <w:top w:w="100" w:type="dxa"/>
              <w:start w:w="110" w:type="dxa"/>
              <w:bottom w:w="100" w:type="dxa"/>
              <w:end w:w="110" w:type="dxa"/>
            </w:tcMar>
            <w:vAlign w:val="center"/>
          </w:tcPr>
          <w:p>
            <w:r>
              <w:rPr>
                <w:b/>
                <w:color w:val="FFFFFF"/>
                <w:sz w:val="19"/>
              </w:rPr>
              <w:t>Meaning</w:t>
            </w:r>
          </w:p>
        </w:tc>
      </w:tr>
      <w:tr>
        <w:tc>
          <w:tcPr>
            <w:tcW w:type="dxa" w:w="2232"/>
            <w:tcMar>
              <w:top w:w="100" w:type="dxa"/>
              <w:start w:w="110" w:type="dxa"/>
              <w:bottom w:w="100" w:type="dxa"/>
              <w:end w:w="110" w:type="dxa"/>
            </w:tcMar>
            <w:vAlign w:val="center"/>
          </w:tcPr>
          <w:p>
            <w:pPr>
              <w:spacing w:after="0" w:line="252" w:lineRule="auto"/>
            </w:pPr>
            <w:r>
              <w:rPr>
                <w:sz w:val="18"/>
              </w:rPr>
              <w:t>file</w:t>
            </w:r>
          </w:p>
        </w:tc>
        <w:tc>
          <w:tcPr>
            <w:tcW w:type="dxa" w:w="936"/>
            <w:tcMar>
              <w:top w:w="100" w:type="dxa"/>
              <w:start w:w="110" w:type="dxa"/>
              <w:bottom w:w="100" w:type="dxa"/>
              <w:end w:w="110" w:type="dxa"/>
            </w:tcMar>
            <w:vAlign w:val="center"/>
          </w:tcPr>
          <w:p>
            <w:pPr>
              <w:spacing w:after="0" w:line="252" w:lineRule="auto"/>
            </w:pPr>
            <w:r>
              <w:rPr>
                <w:sz w:val="18"/>
              </w:rPr>
              <w:t>Yes</w:t>
            </w:r>
          </w:p>
        </w:tc>
        <w:tc>
          <w:tcPr>
            <w:tcW w:type="dxa" w:w="3024"/>
            <w:tcMar>
              <w:top w:w="100" w:type="dxa"/>
              <w:start w:w="110" w:type="dxa"/>
              <w:bottom w:w="100" w:type="dxa"/>
              <w:end w:w="110" w:type="dxa"/>
            </w:tcMar>
            <w:vAlign w:val="center"/>
          </w:tcPr>
          <w:p>
            <w:pPr>
              <w:spacing w:after="0" w:line="252" w:lineRule="auto"/>
            </w:pPr>
            <w:r>
              <w:rPr>
                <w:sz w:val="18"/>
              </w:rPr>
              <w:t>Binary upload</w:t>
            </w:r>
          </w:p>
        </w:tc>
        <w:tc>
          <w:tcPr>
            <w:tcW w:type="dxa" w:w="4176"/>
            <w:tcMar>
              <w:top w:w="100" w:type="dxa"/>
              <w:start w:w="110" w:type="dxa"/>
              <w:bottom w:w="100" w:type="dxa"/>
              <w:end w:w="110" w:type="dxa"/>
            </w:tcMar>
            <w:vAlign w:val="center"/>
          </w:tcPr>
          <w:p>
            <w:pPr>
              <w:spacing w:after="0" w:line="252" w:lineRule="auto"/>
            </w:pPr>
            <w:r>
              <w:rPr>
                <w:sz w:val="18"/>
              </w:rPr>
              <w:t>Original evidence bytes</w:t>
            </w:r>
          </w:p>
        </w:tc>
      </w:tr>
      <w:tr>
        <w:tc>
          <w:tcPr>
            <w:tcW w:type="dxa" w:w="2232"/>
            <w:tcMar>
              <w:top w:w="100" w:type="dxa"/>
              <w:start w:w="110" w:type="dxa"/>
              <w:bottom w:w="100" w:type="dxa"/>
              <w:end w:w="110" w:type="dxa"/>
            </w:tcMar>
            <w:vAlign w:val="center"/>
            <w:shd w:fill="EEF4FA"/>
          </w:tcPr>
          <w:p>
            <w:pPr>
              <w:spacing w:after="0" w:line="252" w:lineRule="auto"/>
            </w:pPr>
            <w:r>
              <w:rPr>
                <w:sz w:val="18"/>
              </w:rPr>
              <w:t>source_id</w:t>
            </w:r>
          </w:p>
        </w:tc>
        <w:tc>
          <w:tcPr>
            <w:tcW w:type="dxa" w:w="936"/>
            <w:tcMar>
              <w:top w:w="100" w:type="dxa"/>
              <w:start w:w="110" w:type="dxa"/>
              <w:bottom w:w="100" w:type="dxa"/>
              <w:end w:w="110" w:type="dxa"/>
            </w:tcMar>
            <w:vAlign w:val="center"/>
            <w:shd w:fill="EEF4FA"/>
          </w:tcPr>
          <w:p>
            <w:pPr>
              <w:spacing w:after="0" w:line="252" w:lineRule="auto"/>
            </w:pPr>
            <w:r>
              <w:rPr>
                <w:sz w:val="18"/>
              </w:rPr>
              <w:t>Yes</w:t>
            </w:r>
          </w:p>
        </w:tc>
        <w:tc>
          <w:tcPr>
            <w:tcW w:type="dxa" w:w="3024"/>
            <w:tcMar>
              <w:top w:w="100" w:type="dxa"/>
              <w:start w:w="110" w:type="dxa"/>
              <w:bottom w:w="100" w:type="dxa"/>
              <w:end w:w="110" w:type="dxa"/>
            </w:tcMar>
            <w:vAlign w:val="center"/>
            <w:shd w:fill="EEF4FA"/>
          </w:tcPr>
          <w:p>
            <w:pPr>
              <w:spacing w:after="0" w:line="252" w:lineRule="auto"/>
            </w:pPr>
            <w:r>
              <w:rPr>
                <w:sz w:val="18"/>
              </w:rPr>
              <w:t>String 1 to 256</w:t>
            </w:r>
          </w:p>
        </w:tc>
        <w:tc>
          <w:tcPr>
            <w:tcW w:type="dxa" w:w="4176"/>
            <w:tcMar>
              <w:top w:w="100" w:type="dxa"/>
              <w:start w:w="110" w:type="dxa"/>
              <w:bottom w:w="100" w:type="dxa"/>
              <w:end w:w="110" w:type="dxa"/>
            </w:tcMar>
            <w:vAlign w:val="center"/>
            <w:shd w:fill="EEF4FA"/>
          </w:tcPr>
          <w:p>
            <w:pPr>
              <w:spacing w:after="0" w:line="252" w:lineRule="auto"/>
            </w:pPr>
            <w:r>
              <w:rPr>
                <w:sz w:val="18"/>
              </w:rPr>
              <w:t>Stable BlackGlass object ID</w:t>
            </w:r>
          </w:p>
        </w:tc>
      </w:tr>
      <w:tr>
        <w:tc>
          <w:tcPr>
            <w:tcW w:type="dxa" w:w="2232"/>
            <w:tcMar>
              <w:top w:w="100" w:type="dxa"/>
              <w:start w:w="110" w:type="dxa"/>
              <w:bottom w:w="100" w:type="dxa"/>
              <w:end w:w="110" w:type="dxa"/>
            </w:tcMar>
            <w:vAlign w:val="center"/>
          </w:tcPr>
          <w:p>
            <w:pPr>
              <w:spacing w:after="0" w:line="252" w:lineRule="auto"/>
            </w:pPr>
            <w:r>
              <w:rPr>
                <w:sz w:val="18"/>
              </w:rPr>
              <w:t>source_type</w:t>
            </w:r>
          </w:p>
        </w:tc>
        <w:tc>
          <w:tcPr>
            <w:tcW w:type="dxa" w:w="936"/>
            <w:tcMar>
              <w:top w:w="100" w:type="dxa"/>
              <w:start w:w="110" w:type="dxa"/>
              <w:bottom w:w="100" w:type="dxa"/>
              <w:end w:w="110" w:type="dxa"/>
            </w:tcMar>
            <w:vAlign w:val="center"/>
          </w:tcPr>
          <w:p>
            <w:pPr>
              <w:spacing w:after="0" w:line="252" w:lineRule="auto"/>
            </w:pPr>
            <w:r>
              <w:rPr>
                <w:sz w:val="18"/>
              </w:rPr>
              <w:t>Yes</w:t>
            </w:r>
          </w:p>
        </w:tc>
        <w:tc>
          <w:tcPr>
            <w:tcW w:type="dxa" w:w="3024"/>
            <w:tcMar>
              <w:top w:w="100" w:type="dxa"/>
              <w:start w:w="110" w:type="dxa"/>
              <w:bottom w:w="100" w:type="dxa"/>
              <w:end w:w="110" w:type="dxa"/>
            </w:tcMar>
            <w:vAlign w:val="center"/>
          </w:tcPr>
          <w:p>
            <w:pPr>
              <w:spacing w:after="0" w:line="252" w:lineRule="auto"/>
            </w:pPr>
            <w:r>
              <w:rPr>
                <w:sz w:val="18"/>
              </w:rPr>
              <w:t>String 1 to 64</w:t>
            </w:r>
          </w:p>
        </w:tc>
        <w:tc>
          <w:tcPr>
            <w:tcW w:type="dxa" w:w="4176"/>
            <w:tcMar>
              <w:top w:w="100" w:type="dxa"/>
              <w:start w:w="110" w:type="dxa"/>
              <w:bottom w:w="100" w:type="dxa"/>
              <w:end w:w="110" w:type="dxa"/>
            </w:tcMar>
            <w:vAlign w:val="center"/>
          </w:tcPr>
          <w:p>
            <w:pPr>
              <w:spacing w:after="0" w:line="252" w:lineRule="auto"/>
            </w:pPr>
            <w:r>
              <w:rPr>
                <w:sz w:val="18"/>
              </w:rPr>
              <w:t>image, video, audio, document, attachment</w:t>
            </w:r>
          </w:p>
        </w:tc>
      </w:tr>
      <w:tr>
        <w:tc>
          <w:tcPr>
            <w:tcW w:type="dxa" w:w="2232"/>
            <w:tcMar>
              <w:top w:w="100" w:type="dxa"/>
              <w:start w:w="110" w:type="dxa"/>
              <w:bottom w:w="100" w:type="dxa"/>
              <w:end w:w="110" w:type="dxa"/>
            </w:tcMar>
            <w:vAlign w:val="center"/>
            <w:shd w:fill="EEF4FA"/>
          </w:tcPr>
          <w:p>
            <w:pPr>
              <w:spacing w:after="0" w:line="252" w:lineRule="auto"/>
            </w:pPr>
            <w:r>
              <w:rPr>
                <w:sz w:val="18"/>
              </w:rPr>
              <w:t>attributes</w:t>
            </w:r>
          </w:p>
        </w:tc>
        <w:tc>
          <w:tcPr>
            <w:tcW w:type="dxa" w:w="936"/>
            <w:tcMar>
              <w:top w:w="100" w:type="dxa"/>
              <w:start w:w="110" w:type="dxa"/>
              <w:bottom w:w="100" w:type="dxa"/>
              <w:end w:w="110" w:type="dxa"/>
            </w:tcMar>
            <w:vAlign w:val="center"/>
            <w:shd w:fill="EEF4FA"/>
          </w:tcPr>
          <w:p>
            <w:pPr>
              <w:spacing w:after="0" w:line="252" w:lineRule="auto"/>
            </w:pPr>
            <w:r>
              <w:rPr>
                <w:sz w:val="18"/>
              </w:rPr>
              <w:t>No</w:t>
            </w:r>
          </w:p>
        </w:tc>
        <w:tc>
          <w:tcPr>
            <w:tcW w:type="dxa" w:w="3024"/>
            <w:tcMar>
              <w:top w:w="100" w:type="dxa"/>
              <w:start w:w="110" w:type="dxa"/>
              <w:bottom w:w="100" w:type="dxa"/>
              <w:end w:w="110" w:type="dxa"/>
            </w:tcMar>
            <w:vAlign w:val="center"/>
            <w:shd w:fill="EEF4FA"/>
          </w:tcPr>
          <w:p>
            <w:pPr>
              <w:spacing w:after="0" w:line="252" w:lineRule="auto"/>
            </w:pPr>
            <w:r>
              <w:rPr>
                <w:sz w:val="18"/>
              </w:rPr>
              <w:t>JSON object</w:t>
            </w:r>
          </w:p>
        </w:tc>
        <w:tc>
          <w:tcPr>
            <w:tcW w:type="dxa" w:w="4176"/>
            <w:tcMar>
              <w:top w:w="100" w:type="dxa"/>
              <w:start w:w="110" w:type="dxa"/>
              <w:bottom w:w="100" w:type="dxa"/>
              <w:end w:w="110" w:type="dxa"/>
            </w:tcMar>
            <w:vAlign w:val="center"/>
            <w:shd w:fill="EEF4FA"/>
          </w:tcPr>
          <w:p>
            <w:pPr>
              <w:spacing w:after="0" w:line="252" w:lineRule="auto"/>
            </w:pPr>
            <w:r>
              <w:rPr>
                <w:sz w:val="18"/>
              </w:rPr>
              <w:t>Optional source metadata not used for exact lookup</w:t>
            </w:r>
          </w:p>
        </w:tc>
      </w:tr>
      <w:tr>
        <w:tc>
          <w:tcPr>
            <w:tcW w:type="dxa" w:w="2232"/>
            <w:tcMar>
              <w:top w:w="100" w:type="dxa"/>
              <w:start w:w="110" w:type="dxa"/>
              <w:bottom w:w="100" w:type="dxa"/>
              <w:end w:w="110" w:type="dxa"/>
            </w:tcMar>
            <w:vAlign w:val="center"/>
          </w:tcPr>
          <w:p>
            <w:pPr>
              <w:spacing w:after="0" w:line="252" w:lineRule="auto"/>
            </w:pPr>
            <w:r>
              <w:rPr>
                <w:sz w:val="18"/>
              </w:rPr>
              <w:t>source_system</w:t>
            </w:r>
          </w:p>
        </w:tc>
        <w:tc>
          <w:tcPr>
            <w:tcW w:type="dxa" w:w="936"/>
            <w:tcMar>
              <w:top w:w="100" w:type="dxa"/>
              <w:start w:w="110" w:type="dxa"/>
              <w:bottom w:w="100" w:type="dxa"/>
              <w:end w:w="110" w:type="dxa"/>
            </w:tcMar>
            <w:vAlign w:val="center"/>
          </w:tcPr>
          <w:p>
            <w:pPr>
              <w:spacing w:after="0" w:line="252" w:lineRule="auto"/>
            </w:pPr>
            <w:r>
              <w:rPr>
                <w:sz w:val="18"/>
              </w:rPr>
              <w:t>No</w:t>
            </w:r>
          </w:p>
        </w:tc>
        <w:tc>
          <w:tcPr>
            <w:tcW w:type="dxa" w:w="3024"/>
            <w:tcMar>
              <w:top w:w="100" w:type="dxa"/>
              <w:start w:w="110" w:type="dxa"/>
              <w:bottom w:w="100" w:type="dxa"/>
              <w:end w:w="110" w:type="dxa"/>
            </w:tcMar>
            <w:vAlign w:val="center"/>
          </w:tcPr>
          <w:p>
            <w:pPr>
              <w:spacing w:after="0" w:line="252" w:lineRule="auto"/>
            </w:pPr>
            <w:r>
              <w:rPr>
                <w:sz w:val="18"/>
              </w:rPr>
              <w:t>Default blackglass-prod</w:t>
            </w:r>
          </w:p>
        </w:tc>
        <w:tc>
          <w:tcPr>
            <w:tcW w:type="dxa" w:w="4176"/>
            <w:tcMar>
              <w:top w:w="100" w:type="dxa"/>
              <w:start w:w="110" w:type="dxa"/>
              <w:bottom w:w="100" w:type="dxa"/>
              <w:end w:w="110" w:type="dxa"/>
            </w:tcMar>
            <w:vAlign w:val="center"/>
          </w:tcPr>
          <w:p>
            <w:pPr>
              <w:spacing w:after="0" w:line="252" w:lineRule="auto"/>
            </w:pPr>
            <w:r>
              <w:rPr>
                <w:sz w:val="18"/>
              </w:rPr>
              <w:t>Source namespace</w:t>
            </w:r>
          </w:p>
        </w:tc>
      </w:tr>
      <w:tr>
        <w:tc>
          <w:tcPr>
            <w:tcW w:type="dxa" w:w="2232"/>
            <w:tcMar>
              <w:top w:w="100" w:type="dxa"/>
              <w:start w:w="110" w:type="dxa"/>
              <w:bottom w:w="100" w:type="dxa"/>
              <w:end w:w="110" w:type="dxa"/>
            </w:tcMar>
            <w:vAlign w:val="center"/>
            <w:shd w:fill="EEF4FA"/>
          </w:tcPr>
          <w:p>
            <w:pPr>
              <w:spacing w:after="0" w:line="252" w:lineRule="auto"/>
            </w:pPr>
            <w:r>
              <w:rPr>
                <w:sz w:val="18"/>
              </w:rPr>
              <w:t>classification</w:t>
            </w:r>
          </w:p>
        </w:tc>
        <w:tc>
          <w:tcPr>
            <w:tcW w:type="dxa" w:w="936"/>
            <w:tcMar>
              <w:top w:w="100" w:type="dxa"/>
              <w:start w:w="110" w:type="dxa"/>
              <w:bottom w:w="100" w:type="dxa"/>
              <w:end w:w="110" w:type="dxa"/>
            </w:tcMar>
            <w:vAlign w:val="center"/>
            <w:shd w:fill="EEF4FA"/>
          </w:tcPr>
          <w:p>
            <w:pPr>
              <w:spacing w:after="0" w:line="252" w:lineRule="auto"/>
            </w:pPr>
            <w:r>
              <w:rPr>
                <w:sz w:val="18"/>
              </w:rPr>
              <w:t>No</w:t>
            </w:r>
          </w:p>
        </w:tc>
        <w:tc>
          <w:tcPr>
            <w:tcW w:type="dxa" w:w="3024"/>
            <w:tcMar>
              <w:top w:w="100" w:type="dxa"/>
              <w:start w:w="110" w:type="dxa"/>
              <w:bottom w:w="100" w:type="dxa"/>
              <w:end w:w="110" w:type="dxa"/>
            </w:tcMar>
            <w:vAlign w:val="center"/>
            <w:shd w:fill="EEF4FA"/>
          </w:tcPr>
          <w:p>
            <w:pPr>
              <w:spacing w:after="0" w:line="252" w:lineRule="auto"/>
            </w:pPr>
            <w:r>
              <w:rPr>
                <w:sz w:val="18"/>
              </w:rPr>
              <w:t>public, internal, restricted, biometric</w:t>
            </w:r>
          </w:p>
        </w:tc>
        <w:tc>
          <w:tcPr>
            <w:tcW w:type="dxa" w:w="4176"/>
            <w:tcMar>
              <w:top w:w="100" w:type="dxa"/>
              <w:start w:w="110" w:type="dxa"/>
              <w:bottom w:w="100" w:type="dxa"/>
              <w:end w:w="110" w:type="dxa"/>
            </w:tcMar>
            <w:vAlign w:val="center"/>
            <w:shd w:fill="EEF4FA"/>
          </w:tcPr>
          <w:p>
            <w:pPr>
              <w:spacing w:after="0" w:line="252" w:lineRule="auto"/>
            </w:pPr>
            <w:r>
              <w:rPr>
                <w:sz w:val="18"/>
              </w:rPr>
              <w:t>Sensitivity class</w:t>
            </w:r>
          </w:p>
        </w:tc>
      </w:tr>
      <w:tr>
        <w:tc>
          <w:tcPr>
            <w:tcW w:type="dxa" w:w="2232"/>
            <w:tcMar>
              <w:top w:w="100" w:type="dxa"/>
              <w:start w:w="110" w:type="dxa"/>
              <w:bottom w:w="100" w:type="dxa"/>
              <w:end w:w="110" w:type="dxa"/>
            </w:tcMar>
            <w:vAlign w:val="center"/>
          </w:tcPr>
          <w:p>
            <w:pPr>
              <w:spacing w:after="0" w:line="252" w:lineRule="auto"/>
            </w:pPr>
            <w:r>
              <w:rPr>
                <w:sz w:val="18"/>
              </w:rPr>
              <w:t>source_url</w:t>
            </w:r>
          </w:p>
        </w:tc>
        <w:tc>
          <w:tcPr>
            <w:tcW w:type="dxa" w:w="936"/>
            <w:tcMar>
              <w:top w:w="100" w:type="dxa"/>
              <w:start w:w="110" w:type="dxa"/>
              <w:bottom w:w="100" w:type="dxa"/>
              <w:end w:w="110" w:type="dxa"/>
            </w:tcMar>
            <w:vAlign w:val="center"/>
          </w:tcPr>
          <w:p>
            <w:pPr>
              <w:spacing w:after="0" w:line="252" w:lineRule="auto"/>
            </w:pPr>
            <w:r>
              <w:rPr>
                <w:sz w:val="18"/>
              </w:rPr>
              <w:t>No</w:t>
            </w:r>
          </w:p>
        </w:tc>
        <w:tc>
          <w:tcPr>
            <w:tcW w:type="dxa" w:w="3024"/>
            <w:tcMar>
              <w:top w:w="100" w:type="dxa"/>
              <w:start w:w="110" w:type="dxa"/>
              <w:bottom w:w="100" w:type="dxa"/>
              <w:end w:w="110" w:type="dxa"/>
            </w:tcMar>
            <w:vAlign w:val="center"/>
          </w:tcPr>
          <w:p>
            <w:pPr>
              <w:spacing w:after="0" w:line="252" w:lineRule="auto"/>
            </w:pPr>
            <w:r>
              <w:rPr>
                <w:sz w:val="18"/>
              </w:rPr>
              <w:t>URL up to 2048</w:t>
            </w:r>
          </w:p>
        </w:tc>
        <w:tc>
          <w:tcPr>
            <w:tcW w:type="dxa" w:w="4176"/>
            <w:tcMar>
              <w:top w:w="100" w:type="dxa"/>
              <w:start w:w="110" w:type="dxa"/>
              <w:bottom w:w="100" w:type="dxa"/>
              <w:end w:w="110" w:type="dxa"/>
            </w:tcMar>
            <w:vAlign w:val="center"/>
          </w:tcPr>
          <w:p>
            <w:pPr>
              <w:spacing w:after="0" w:line="252" w:lineRule="auto"/>
            </w:pPr>
            <w:r>
              <w:rPr>
                <w:sz w:val="18"/>
              </w:rPr>
              <w:t>Original record location for provenance</w:t>
            </w:r>
          </w:p>
        </w:tc>
      </w:tr>
      <w:tr>
        <w:tc>
          <w:tcPr>
            <w:tcW w:type="dxa" w:w="2232"/>
            <w:tcMar>
              <w:top w:w="100" w:type="dxa"/>
              <w:start w:w="110" w:type="dxa"/>
              <w:bottom w:w="100" w:type="dxa"/>
              <w:end w:w="110" w:type="dxa"/>
            </w:tcMar>
            <w:vAlign w:val="center"/>
            <w:shd w:fill="EEF4FA"/>
          </w:tcPr>
          <w:p>
            <w:pPr>
              <w:spacing w:after="0" w:line="252" w:lineRule="auto"/>
            </w:pPr>
            <w:r>
              <w:rPr>
                <w:sz w:val="18"/>
              </w:rPr>
              <w:t>collected_at</w:t>
            </w:r>
          </w:p>
        </w:tc>
        <w:tc>
          <w:tcPr>
            <w:tcW w:type="dxa" w:w="936"/>
            <w:tcMar>
              <w:top w:w="100" w:type="dxa"/>
              <w:start w:w="110" w:type="dxa"/>
              <w:bottom w:w="100" w:type="dxa"/>
              <w:end w:w="110" w:type="dxa"/>
            </w:tcMar>
            <w:vAlign w:val="center"/>
            <w:shd w:fill="EEF4FA"/>
          </w:tcPr>
          <w:p>
            <w:pPr>
              <w:spacing w:after="0" w:line="252" w:lineRule="auto"/>
            </w:pPr>
            <w:r>
              <w:rPr>
                <w:sz w:val="18"/>
              </w:rPr>
              <w:t>No</w:t>
            </w:r>
          </w:p>
        </w:tc>
        <w:tc>
          <w:tcPr>
            <w:tcW w:type="dxa" w:w="3024"/>
            <w:tcMar>
              <w:top w:w="100" w:type="dxa"/>
              <w:start w:w="110" w:type="dxa"/>
              <w:bottom w:w="100" w:type="dxa"/>
              <w:end w:w="110" w:type="dxa"/>
            </w:tcMar>
            <w:vAlign w:val="center"/>
            <w:shd w:fill="EEF4FA"/>
          </w:tcPr>
          <w:p>
            <w:pPr>
              <w:spacing w:after="0" w:line="252" w:lineRule="auto"/>
            </w:pPr>
            <w:r>
              <w:rPr>
                <w:sz w:val="18"/>
              </w:rPr>
              <w:t>ISO 8601 datetime</w:t>
            </w:r>
          </w:p>
        </w:tc>
        <w:tc>
          <w:tcPr>
            <w:tcW w:type="dxa" w:w="4176"/>
            <w:tcMar>
              <w:top w:w="100" w:type="dxa"/>
              <w:start w:w="110" w:type="dxa"/>
              <w:bottom w:w="100" w:type="dxa"/>
              <w:end w:w="110" w:type="dxa"/>
            </w:tcMar>
            <w:vAlign w:val="center"/>
            <w:shd w:fill="EEF4FA"/>
          </w:tcPr>
          <w:p>
            <w:pPr>
              <w:spacing w:after="0" w:line="252" w:lineRule="auto"/>
            </w:pPr>
            <w:r>
              <w:rPr>
                <w:sz w:val="18"/>
              </w:rPr>
              <w:t>Collection time with timezone</w:t>
            </w:r>
          </w:p>
        </w:tc>
      </w:tr>
      <w:tr>
        <w:tc>
          <w:tcPr>
            <w:tcW w:type="dxa" w:w="2232"/>
            <w:tcMar>
              <w:top w:w="100" w:type="dxa"/>
              <w:start w:w="110" w:type="dxa"/>
              <w:bottom w:w="100" w:type="dxa"/>
              <w:end w:w="110" w:type="dxa"/>
            </w:tcMar>
            <w:vAlign w:val="center"/>
          </w:tcPr>
          <w:p>
            <w:pPr>
              <w:spacing w:after="0" w:line="252" w:lineRule="auto"/>
            </w:pPr>
            <w:r>
              <w:rPr>
                <w:sz w:val="18"/>
              </w:rPr>
              <w:t>published_at</w:t>
            </w:r>
          </w:p>
        </w:tc>
        <w:tc>
          <w:tcPr>
            <w:tcW w:type="dxa" w:w="936"/>
            <w:tcMar>
              <w:top w:w="100" w:type="dxa"/>
              <w:start w:w="110" w:type="dxa"/>
              <w:bottom w:w="100" w:type="dxa"/>
              <w:end w:w="110" w:type="dxa"/>
            </w:tcMar>
            <w:vAlign w:val="center"/>
          </w:tcPr>
          <w:p>
            <w:pPr>
              <w:spacing w:after="0" w:line="252" w:lineRule="auto"/>
            </w:pPr>
            <w:r>
              <w:rPr>
                <w:sz w:val="18"/>
              </w:rPr>
              <w:t>No</w:t>
            </w:r>
          </w:p>
        </w:tc>
        <w:tc>
          <w:tcPr>
            <w:tcW w:type="dxa" w:w="3024"/>
            <w:tcMar>
              <w:top w:w="100" w:type="dxa"/>
              <w:start w:w="110" w:type="dxa"/>
              <w:bottom w:w="100" w:type="dxa"/>
              <w:end w:w="110" w:type="dxa"/>
            </w:tcMar>
            <w:vAlign w:val="center"/>
          </w:tcPr>
          <w:p>
            <w:pPr>
              <w:spacing w:after="0" w:line="252" w:lineRule="auto"/>
            </w:pPr>
            <w:r>
              <w:rPr>
                <w:sz w:val="18"/>
              </w:rPr>
              <w:t>ISO 8601 datetime</w:t>
            </w:r>
          </w:p>
        </w:tc>
        <w:tc>
          <w:tcPr>
            <w:tcW w:type="dxa" w:w="4176"/>
            <w:tcMar>
              <w:top w:w="100" w:type="dxa"/>
              <w:start w:w="110" w:type="dxa"/>
              <w:bottom w:w="100" w:type="dxa"/>
              <w:end w:w="110" w:type="dxa"/>
            </w:tcMar>
            <w:vAlign w:val="center"/>
          </w:tcPr>
          <w:p>
            <w:pPr>
              <w:spacing w:after="0" w:line="252" w:lineRule="auto"/>
            </w:pPr>
            <w:r>
              <w:rPr>
                <w:sz w:val="18"/>
              </w:rPr>
              <w:t>Publication time with timezone</w:t>
            </w:r>
          </w:p>
        </w:tc>
      </w:tr>
      <w:tr>
        <w:tc>
          <w:tcPr>
            <w:tcW w:type="dxa" w:w="2232"/>
            <w:tcMar>
              <w:top w:w="100" w:type="dxa"/>
              <w:start w:w="110" w:type="dxa"/>
              <w:bottom w:w="100" w:type="dxa"/>
              <w:end w:w="110" w:type="dxa"/>
            </w:tcMar>
            <w:vAlign w:val="center"/>
            <w:shd w:fill="EEF4FA"/>
          </w:tcPr>
          <w:p>
            <w:pPr>
              <w:spacing w:after="0" w:line="252" w:lineRule="auto"/>
            </w:pPr>
            <w:r>
              <w:rPr>
                <w:sz w:val="18"/>
              </w:rPr>
              <w:t>collector_version</w:t>
            </w:r>
          </w:p>
        </w:tc>
        <w:tc>
          <w:tcPr>
            <w:tcW w:type="dxa" w:w="936"/>
            <w:tcMar>
              <w:top w:w="100" w:type="dxa"/>
              <w:start w:w="110" w:type="dxa"/>
              <w:bottom w:w="100" w:type="dxa"/>
              <w:end w:w="110" w:type="dxa"/>
            </w:tcMar>
            <w:vAlign w:val="center"/>
            <w:shd w:fill="EEF4FA"/>
          </w:tcPr>
          <w:p>
            <w:pPr>
              <w:spacing w:after="0" w:line="252" w:lineRule="auto"/>
            </w:pPr>
            <w:r>
              <w:rPr>
                <w:sz w:val="18"/>
              </w:rPr>
              <w:t>No</w:t>
            </w:r>
          </w:p>
        </w:tc>
        <w:tc>
          <w:tcPr>
            <w:tcW w:type="dxa" w:w="3024"/>
            <w:tcMar>
              <w:top w:w="100" w:type="dxa"/>
              <w:start w:w="110" w:type="dxa"/>
              <w:bottom w:w="100" w:type="dxa"/>
              <w:end w:w="110" w:type="dxa"/>
            </w:tcMar>
            <w:vAlign w:val="center"/>
            <w:shd w:fill="EEF4FA"/>
          </w:tcPr>
          <w:p>
            <w:pPr>
              <w:spacing w:after="0" w:line="252" w:lineRule="auto"/>
            </w:pPr>
            <w:r>
              <w:rPr>
                <w:sz w:val="18"/>
              </w:rPr>
              <w:t>String up to 128</w:t>
            </w:r>
          </w:p>
        </w:tc>
        <w:tc>
          <w:tcPr>
            <w:tcW w:type="dxa" w:w="4176"/>
            <w:tcMar>
              <w:top w:w="100" w:type="dxa"/>
              <w:start w:w="110" w:type="dxa"/>
              <w:bottom w:w="100" w:type="dxa"/>
              <w:end w:w="110" w:type="dxa"/>
            </w:tcMar>
            <w:vAlign w:val="center"/>
            <w:shd w:fill="EEF4FA"/>
          </w:tcPr>
          <w:p>
            <w:pPr>
              <w:spacing w:after="0" w:line="252" w:lineRule="auto"/>
            </w:pPr>
            <w:r>
              <w:rPr>
                <w:sz w:val="18"/>
              </w:rPr>
              <w:t>Collector release identifier</w:t>
            </w:r>
          </w:p>
        </w:tc>
      </w:tr>
      <w:tr>
        <w:tc>
          <w:tcPr>
            <w:tcW w:type="dxa" w:w="2232"/>
            <w:tcMar>
              <w:top w:w="100" w:type="dxa"/>
              <w:start w:w="110" w:type="dxa"/>
              <w:bottom w:w="100" w:type="dxa"/>
              <w:end w:w="110" w:type="dxa"/>
            </w:tcMar>
            <w:vAlign w:val="center"/>
          </w:tcPr>
          <w:p>
            <w:pPr>
              <w:spacing w:after="0" w:line="252" w:lineRule="auto"/>
            </w:pPr>
            <w:r>
              <w:rPr>
                <w:sz w:val="18"/>
              </w:rPr>
              <w:t>requested_analyses</w:t>
            </w:r>
          </w:p>
        </w:tc>
        <w:tc>
          <w:tcPr>
            <w:tcW w:type="dxa" w:w="936"/>
            <w:tcMar>
              <w:top w:w="100" w:type="dxa"/>
              <w:start w:w="110" w:type="dxa"/>
              <w:bottom w:w="100" w:type="dxa"/>
              <w:end w:w="110" w:type="dxa"/>
            </w:tcMar>
            <w:vAlign w:val="center"/>
          </w:tcPr>
          <w:p>
            <w:pPr>
              <w:spacing w:after="0" w:line="252" w:lineRule="auto"/>
            </w:pPr>
            <w:r>
              <w:rPr>
                <w:sz w:val="18"/>
              </w:rPr>
              <w:t>No</w:t>
            </w:r>
          </w:p>
        </w:tc>
        <w:tc>
          <w:tcPr>
            <w:tcW w:type="dxa" w:w="3024"/>
            <w:tcMar>
              <w:top w:w="100" w:type="dxa"/>
              <w:start w:w="110" w:type="dxa"/>
              <w:bottom w:w="100" w:type="dxa"/>
              <w:end w:w="110" w:type="dxa"/>
            </w:tcMar>
            <w:vAlign w:val="center"/>
          </w:tcPr>
          <w:p>
            <w:pPr>
              <w:spacing w:after="0" w:line="252" w:lineRule="auto"/>
            </w:pPr>
            <w:r>
              <w:rPr>
                <w:sz w:val="18"/>
              </w:rPr>
              <w:t>CSV or JSON array</w:t>
            </w:r>
          </w:p>
        </w:tc>
        <w:tc>
          <w:tcPr>
            <w:tcW w:type="dxa" w:w="4176"/>
            <w:tcMar>
              <w:top w:w="100" w:type="dxa"/>
              <w:start w:w="110" w:type="dxa"/>
              <w:bottom w:w="100" w:type="dxa"/>
              <w:end w:w="110" w:type="dxa"/>
            </w:tcMar>
            <w:vAlign w:val="center"/>
          </w:tcPr>
          <w:p>
            <w:pPr>
              <w:spacing w:after="0" w:line="252" w:lineRule="auto"/>
            </w:pPr>
            <w:r>
              <w:rPr>
                <w:sz w:val="18"/>
              </w:rPr>
              <w:t>Requested processing capabilities</w:t>
            </w:r>
          </w:p>
        </w:tc>
      </w:tr>
    </w:tbl>
    <w:p>
      <w:pPr>
        <w:spacing w:after="40"/>
      </w:pPr>
    </w:p>
    <w:p>
      <w:pPr>
        <w:pStyle w:val="Heading2"/>
      </w:pPr>
      <w:r>
        <w:t>Media Request Example</w:t>
      </w:r>
    </w:p>
    <w:p>
      <w:pPr>
        <w:pStyle w:val="NoSpacing"/>
        <w:keepLines/>
        <w:spacing w:before="80" w:after="160" w:line="240" w:lineRule="auto"/>
        <w:ind w:left="259" w:right="259"/>
        <w:shd w:fill="F4F5F7"/>
      </w:pPr>
      <w:r>
        <w:rPr>
          <w:rFonts w:ascii="Courier New" w:hAnsi="Courier New"/>
          <w:sz w:val="16"/>
        </w:rPr>
        <w:t>curl -X POST \</w:t>
        <w:br/>
        <w:t xml:space="preserve">  https://api.staticdev.xyz/api/v1/integrations/blackglass/media \</w:t>
        <w:br/>
        <w:t xml:space="preserve">  -H "Authorization: Bearer $EAGLEEYE_SERVICE_TOKEN" \</w:t>
        <w:br/>
        <w:t xml:space="preserve">  -F "source_id=MEDIA-1001" \</w:t>
        <w:br/>
        <w:t xml:space="preserve">  -F "source_type=image" \</w:t>
        <w:br/>
        <w:t xml:space="preserve">  -F "source_system=blackglass-prod" \</w:t>
        <w:br/>
        <w:t xml:space="preserve">  -F "classification=internal" \</w:t>
        <w:br/>
        <w:t xml:space="preserve">  -F "source_url=https://blackglass.live/media/MEDIA-1001" \</w:t>
        <w:br/>
        <w:t xml:space="preserve">  -F "collected_at=2026-09-15T10:00:00Z" \</w:t>
        <w:br/>
        <w:t xml:space="preserve">  -F "requested_analyses=object_detection,landmark_recognition,ocr" \</w:t>
        <w:br/>
        <w:t xml:space="preserve">  -F "file=@photo.jpg"</w:t>
      </w:r>
    </w:p>
    <w:p>
      <w:pPr>
        <w:pStyle w:val="Heading1"/>
      </w:pPr>
      <w:r>
        <w:t>Supported Analysis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800"/>
            <w:shd w:fill="17365D"/>
            <w:tcMar>
              <w:top w:w="100" w:type="dxa"/>
              <w:start w:w="110" w:type="dxa"/>
              <w:bottom w:w="100" w:type="dxa"/>
              <w:end w:w="110" w:type="dxa"/>
            </w:tcMar>
            <w:vAlign w:val="center"/>
          </w:tcPr>
          <w:p>
            <w:r>
              <w:rPr>
                <w:b/>
                <w:color w:val="FFFFFF"/>
                <w:sz w:val="19"/>
              </w:rPr>
              <w:t>Category</w:t>
            </w:r>
          </w:p>
        </w:tc>
        <w:tc>
          <w:tcPr>
            <w:tcW w:type="dxa" w:w="8280"/>
            <w:shd w:fill="17365D"/>
            <w:tcMar>
              <w:top w:w="100" w:type="dxa"/>
              <w:start w:w="110" w:type="dxa"/>
              <w:bottom w:w="100" w:type="dxa"/>
              <w:end w:w="110" w:type="dxa"/>
            </w:tcMar>
            <w:vAlign w:val="center"/>
          </w:tcPr>
          <w:p>
            <w:r>
              <w:rPr>
                <w:b/>
                <w:color w:val="FFFFFF"/>
                <w:sz w:val="19"/>
              </w:rPr>
              <w:t>Capabilities</w:t>
            </w:r>
          </w:p>
        </w:tc>
      </w:tr>
      <w:tr>
        <w:tc>
          <w:tcPr>
            <w:tcW w:type="dxa" w:w="1800"/>
            <w:tcMar>
              <w:top w:w="100" w:type="dxa"/>
              <w:start w:w="110" w:type="dxa"/>
              <w:bottom w:w="100" w:type="dxa"/>
              <w:end w:w="110" w:type="dxa"/>
            </w:tcMar>
            <w:vAlign w:val="center"/>
          </w:tcPr>
          <w:p>
            <w:pPr>
              <w:spacing w:after="0" w:line="252" w:lineRule="auto"/>
            </w:pPr>
            <w:r>
              <w:rPr>
                <w:sz w:val="18"/>
              </w:rPr>
              <w:t>Faces</w:t>
            </w:r>
          </w:p>
        </w:tc>
        <w:tc>
          <w:tcPr>
            <w:tcW w:type="dxa" w:w="8280"/>
            <w:tcMar>
              <w:top w:w="100" w:type="dxa"/>
              <w:start w:w="110" w:type="dxa"/>
              <w:bottom w:w="100" w:type="dxa"/>
              <w:end w:w="110" w:type="dxa"/>
            </w:tcMar>
            <w:vAlign w:val="center"/>
          </w:tcPr>
          <w:p>
            <w:pPr>
              <w:spacing w:after="0" w:line="252" w:lineRule="auto"/>
            </w:pPr>
            <w:r>
              <w:rPr>
                <w:sz w:val="18"/>
              </w:rPr>
              <w:t>face_detection, face_identification</w:t>
            </w:r>
          </w:p>
        </w:tc>
      </w:tr>
      <w:tr>
        <w:tc>
          <w:tcPr>
            <w:tcW w:type="dxa" w:w="1800"/>
            <w:tcMar>
              <w:top w:w="100" w:type="dxa"/>
              <w:start w:w="110" w:type="dxa"/>
              <w:bottom w:w="100" w:type="dxa"/>
              <w:end w:w="110" w:type="dxa"/>
            </w:tcMar>
            <w:vAlign w:val="center"/>
            <w:shd w:fill="EEF4FA"/>
          </w:tcPr>
          <w:p>
            <w:pPr>
              <w:spacing w:after="0" w:line="252" w:lineRule="auto"/>
            </w:pPr>
            <w:r>
              <w:rPr>
                <w:sz w:val="18"/>
              </w:rPr>
              <w:t>Scenes</w:t>
            </w:r>
          </w:p>
        </w:tc>
        <w:tc>
          <w:tcPr>
            <w:tcW w:type="dxa" w:w="8280"/>
            <w:tcMar>
              <w:top w:w="100" w:type="dxa"/>
              <w:start w:w="110" w:type="dxa"/>
              <w:bottom w:w="100" w:type="dxa"/>
              <w:end w:w="110" w:type="dxa"/>
            </w:tcMar>
            <w:vAlign w:val="center"/>
            <w:shd w:fill="EEF4FA"/>
          </w:tcPr>
          <w:p>
            <w:pPr>
              <w:spacing w:after="0" w:line="252" w:lineRule="auto"/>
            </w:pPr>
            <w:r>
              <w:rPr>
                <w:sz w:val="18"/>
              </w:rPr>
              <w:t>object_detection, landmark_recognition, video_tracking</w:t>
            </w:r>
          </w:p>
        </w:tc>
      </w:tr>
      <w:tr>
        <w:tc>
          <w:tcPr>
            <w:tcW w:type="dxa" w:w="1800"/>
            <w:tcMar>
              <w:top w:w="100" w:type="dxa"/>
              <w:start w:w="110" w:type="dxa"/>
              <w:bottom w:w="100" w:type="dxa"/>
              <w:end w:w="110" w:type="dxa"/>
            </w:tcMar>
            <w:vAlign w:val="center"/>
          </w:tcPr>
          <w:p>
            <w:pPr>
              <w:spacing w:after="0" w:line="252" w:lineRule="auto"/>
            </w:pPr>
            <w:r>
              <w:rPr>
                <w:sz w:val="18"/>
              </w:rPr>
              <w:t>Vehicles</w:t>
            </w:r>
          </w:p>
        </w:tc>
        <w:tc>
          <w:tcPr>
            <w:tcW w:type="dxa" w:w="8280"/>
            <w:tcMar>
              <w:top w:w="100" w:type="dxa"/>
              <w:start w:w="110" w:type="dxa"/>
              <w:bottom w:w="100" w:type="dxa"/>
              <w:end w:w="110" w:type="dxa"/>
            </w:tcMar>
            <w:vAlign w:val="center"/>
          </w:tcPr>
          <w:p>
            <w:pPr>
              <w:spacing w:after="0" w:line="252" w:lineRule="auto"/>
            </w:pPr>
            <w:r>
              <w:rPr>
                <w:sz w:val="18"/>
              </w:rPr>
              <w:t>vehicle_detection, vehicle_identification</w:t>
            </w:r>
          </w:p>
        </w:tc>
      </w:tr>
      <w:tr>
        <w:tc>
          <w:tcPr>
            <w:tcW w:type="dxa" w:w="1800"/>
            <w:tcMar>
              <w:top w:w="100" w:type="dxa"/>
              <w:start w:w="110" w:type="dxa"/>
              <w:bottom w:w="100" w:type="dxa"/>
              <w:end w:w="110" w:type="dxa"/>
            </w:tcMar>
            <w:vAlign w:val="center"/>
            <w:shd w:fill="EEF4FA"/>
          </w:tcPr>
          <w:p>
            <w:pPr>
              <w:spacing w:after="0" w:line="252" w:lineRule="auto"/>
            </w:pPr>
            <w:r>
              <w:rPr>
                <w:sz w:val="18"/>
              </w:rPr>
              <w:t>Language</w:t>
            </w:r>
          </w:p>
        </w:tc>
        <w:tc>
          <w:tcPr>
            <w:tcW w:type="dxa" w:w="8280"/>
            <w:tcMar>
              <w:top w:w="100" w:type="dxa"/>
              <w:start w:w="110" w:type="dxa"/>
              <w:bottom w:w="100" w:type="dxa"/>
              <w:end w:w="110" w:type="dxa"/>
            </w:tcMar>
            <w:vAlign w:val="center"/>
            <w:shd w:fill="EEF4FA"/>
          </w:tcPr>
          <w:p>
            <w:pPr>
              <w:spacing w:after="0" w:line="252" w:lineRule="auto"/>
            </w:pPr>
            <w:r>
              <w:rPr>
                <w:sz w:val="18"/>
              </w:rPr>
              <w:t>ocr, transcription, translation, transliteration, semantic_embedding</w:t>
            </w:r>
          </w:p>
        </w:tc>
      </w:tr>
    </w:tbl>
    <w:p>
      <w:pPr>
        <w:spacing w:after="40"/>
      </w:pPr>
    </w:p>
    <w:p>
      <w:r>
        <w:t>A capability response may report queued, available_on_demand, not_connected, or not_applicable. Installed model files do not by themselves mean that an automatic worker is connected. BlackGlass must read the returned state rather than assume completion.</w:t>
      </w:r>
    </w:p>
    <w:p>
      <w:r>
        <w:br w:type="page"/>
      </w:r>
    </w:p>
    <w:p>
      <w:pPr>
        <w:pStyle w:val="Heading1"/>
      </w:pPr>
      <w:r>
        <w:t>Ingestion Acknowledgement</w:t>
      </w:r>
    </w:p>
    <w:p>
      <w:r>
        <w:t>EagleEye returns HTTP 202 after it has accepted or recognized the submitted object. BlackGlass must store subject.id beside the original BlackGlass object ID. A repeated delivery may return already_exists and must be treated as successful deduplication.</w:t>
      </w:r>
    </w:p>
    <w:p>
      <w:pPr>
        <w:pStyle w:val="NoSpacing"/>
        <w:keepLines/>
        <w:spacing w:before="80" w:after="160" w:line="240" w:lineRule="auto"/>
        <w:ind w:left="259" w:right="259"/>
        <w:shd w:fill="F4F5F7"/>
      </w:pPr>
      <w:r>
        <w:rPr>
          <w:rFonts w:ascii="Courier New" w:hAnsi="Courier New"/>
          <w:sz w:val="16"/>
        </w:rPr>
        <w:t>{</w:t>
        <w:br/>
        <w:t xml:space="preserve">  "schema_version": "1.1",</w:t>
        <w:br/>
        <w:t xml:space="preserve">  "source_id": "MEDIA-1001",</w:t>
        <w:br/>
        <w:t xml:space="preserve">  "source_type": "image",</w:t>
        <w:br/>
        <w:t xml:space="preserve">  "attributes": {</w:t>
        <w:br/>
        <w:t xml:space="preserve">    "source_system": "blackglass-prod"</w:t>
        <w:br/>
        <w:t xml:space="preserve">  },</w:t>
        <w:br/>
        <w:t xml:space="preserve">  "subject": {</w:t>
        <w:br/>
        <w:t xml:space="preserve">    "type": "media",</w:t>
        <w:br/>
        <w:t xml:space="preserve">    "id": "8be36c1e-4d58-4d80-81f9-3adb2be86262"</w:t>
        <w:br/>
        <w:t xml:space="preserve">  },</w:t>
        <w:br/>
        <w:t xml:space="preserve">  "status": "accepted",</w:t>
        <w:br/>
        <w:t xml:space="preserve">  "created": true,</w:t>
        <w:br/>
        <w:t xml:space="preserve">  "content_type": "image/jpeg",</w:t>
        <w:br/>
        <w:t xml:space="preserve">  "analysis_routes": [</w:t>
        <w:br/>
        <w:t xml:space="preserve">    {</w:t>
        <w:br/>
        <w:t xml:space="preserve">      "capability": "object_detection",</w:t>
        <w:br/>
        <w:t xml:space="preserve">      "state": "not_connected",</w:t>
        <w:br/>
        <w:t xml:space="preserve">      "endpoint": null,</w:t>
        <w:br/>
        <w:t xml:space="preserve">      "detail": "Automatic worker is not connected."</w:t>
        <w:br/>
        <w:t xml:space="preserve">    }</w:t>
        <w:br/>
        <w:t xml:space="preserve">  ]</w:t>
        <w:br/>
        <w:t>}</w:t>
      </w:r>
    </w:p>
    <w:p>
      <w:pPr>
        <w:pStyle w:val="Heading1"/>
      </w:pPr>
      <w:r>
        <w:t>Status and Error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224"/>
            <w:shd w:fill="17365D"/>
            <w:tcMar>
              <w:top w:w="100" w:type="dxa"/>
              <w:start w:w="110" w:type="dxa"/>
              <w:bottom w:w="100" w:type="dxa"/>
              <w:end w:w="110" w:type="dxa"/>
            </w:tcMar>
            <w:vAlign w:val="center"/>
          </w:tcPr>
          <w:p>
            <w:r>
              <w:rPr>
                <w:b/>
                <w:color w:val="FFFFFF"/>
                <w:sz w:val="19"/>
              </w:rPr>
              <w:t>HTTP status</w:t>
            </w:r>
          </w:p>
        </w:tc>
        <w:tc>
          <w:tcPr>
            <w:tcW w:type="dxa" w:w="3240"/>
            <w:shd w:fill="17365D"/>
            <w:tcMar>
              <w:top w:w="100" w:type="dxa"/>
              <w:start w:w="110" w:type="dxa"/>
              <w:bottom w:w="100" w:type="dxa"/>
              <w:end w:w="110" w:type="dxa"/>
            </w:tcMar>
            <w:vAlign w:val="center"/>
          </w:tcPr>
          <w:p>
            <w:r>
              <w:rPr>
                <w:b/>
                <w:color w:val="FFFFFF"/>
                <w:sz w:val="19"/>
              </w:rPr>
              <w:t>Meaning</w:t>
            </w:r>
          </w:p>
        </w:tc>
        <w:tc>
          <w:tcPr>
            <w:tcW w:type="dxa" w:w="5616"/>
            <w:shd w:fill="17365D"/>
            <w:tcMar>
              <w:top w:w="100" w:type="dxa"/>
              <w:start w:w="110" w:type="dxa"/>
              <w:bottom w:w="100" w:type="dxa"/>
              <w:end w:w="110" w:type="dxa"/>
            </w:tcMar>
            <w:vAlign w:val="center"/>
          </w:tcPr>
          <w:p>
            <w:r>
              <w:rPr>
                <w:b/>
                <w:color w:val="FFFFFF"/>
                <w:sz w:val="19"/>
              </w:rPr>
              <w:t>BlackGlass action</w:t>
            </w:r>
          </w:p>
        </w:tc>
      </w:tr>
      <w:tr>
        <w:tc>
          <w:tcPr>
            <w:tcW w:type="dxa" w:w="1224"/>
            <w:tcMar>
              <w:top w:w="100" w:type="dxa"/>
              <w:start w:w="110" w:type="dxa"/>
              <w:bottom w:w="100" w:type="dxa"/>
              <w:end w:w="110" w:type="dxa"/>
            </w:tcMar>
            <w:vAlign w:val="center"/>
          </w:tcPr>
          <w:p>
            <w:pPr>
              <w:spacing w:after="0" w:line="252" w:lineRule="auto"/>
            </w:pPr>
            <w:r>
              <w:rPr>
                <w:sz w:val="18"/>
              </w:rPr>
              <w:t>202</w:t>
            </w:r>
          </w:p>
        </w:tc>
        <w:tc>
          <w:tcPr>
            <w:tcW w:type="dxa" w:w="3240"/>
            <w:tcMar>
              <w:top w:w="100" w:type="dxa"/>
              <w:start w:w="110" w:type="dxa"/>
              <w:bottom w:w="100" w:type="dxa"/>
              <w:end w:w="110" w:type="dxa"/>
            </w:tcMar>
            <w:vAlign w:val="center"/>
          </w:tcPr>
          <w:p>
            <w:pPr>
              <w:spacing w:after="0" w:line="252" w:lineRule="auto"/>
            </w:pPr>
            <w:r>
              <w:rPr>
                <w:sz w:val="18"/>
              </w:rPr>
              <w:t>Accepted or deduplicated</w:t>
            </w:r>
          </w:p>
        </w:tc>
        <w:tc>
          <w:tcPr>
            <w:tcW w:type="dxa" w:w="5616"/>
            <w:tcMar>
              <w:top w:w="100" w:type="dxa"/>
              <w:start w:w="110" w:type="dxa"/>
              <w:bottom w:w="100" w:type="dxa"/>
              <w:end w:w="110" w:type="dxa"/>
            </w:tcMar>
            <w:vAlign w:val="center"/>
          </w:tcPr>
          <w:p>
            <w:pPr>
              <w:spacing w:after="0" w:line="252" w:lineRule="auto"/>
            </w:pPr>
            <w:r>
              <w:rPr>
                <w:sz w:val="18"/>
              </w:rPr>
              <w:t>Persist the acknowledgement and object mapping</w:t>
            </w:r>
          </w:p>
        </w:tc>
      </w:tr>
      <w:tr>
        <w:tc>
          <w:tcPr>
            <w:tcW w:type="dxa" w:w="1224"/>
            <w:tcMar>
              <w:top w:w="100" w:type="dxa"/>
              <w:start w:w="110" w:type="dxa"/>
              <w:bottom w:w="100" w:type="dxa"/>
              <w:end w:w="110" w:type="dxa"/>
            </w:tcMar>
            <w:vAlign w:val="center"/>
            <w:shd w:fill="EEF4FA"/>
          </w:tcPr>
          <w:p>
            <w:pPr>
              <w:spacing w:after="0" w:line="252" w:lineRule="auto"/>
            </w:pPr>
            <w:r>
              <w:rPr>
                <w:sz w:val="18"/>
              </w:rPr>
              <w:t>401</w:t>
            </w:r>
          </w:p>
        </w:tc>
        <w:tc>
          <w:tcPr>
            <w:tcW w:type="dxa" w:w="3240"/>
            <w:tcMar>
              <w:top w:w="100" w:type="dxa"/>
              <w:start w:w="110" w:type="dxa"/>
              <w:bottom w:w="100" w:type="dxa"/>
              <w:end w:w="110" w:type="dxa"/>
            </w:tcMar>
            <w:vAlign w:val="center"/>
            <w:shd w:fill="EEF4FA"/>
          </w:tcPr>
          <w:p>
            <w:pPr>
              <w:spacing w:after="0" w:line="252" w:lineRule="auto"/>
            </w:pPr>
            <w:r>
              <w:rPr>
                <w:sz w:val="18"/>
              </w:rPr>
              <w:t>Token missing, invalid, or expired</w:t>
            </w:r>
          </w:p>
        </w:tc>
        <w:tc>
          <w:tcPr>
            <w:tcW w:type="dxa" w:w="5616"/>
            <w:tcMar>
              <w:top w:w="100" w:type="dxa"/>
              <w:start w:w="110" w:type="dxa"/>
              <w:bottom w:w="100" w:type="dxa"/>
              <w:end w:w="110" w:type="dxa"/>
            </w:tcMar>
            <w:vAlign w:val="center"/>
            <w:shd w:fill="EEF4FA"/>
          </w:tcPr>
          <w:p>
            <w:pPr>
              <w:spacing w:after="0" w:line="252" w:lineRule="auto"/>
            </w:pPr>
            <w:r>
              <w:rPr>
                <w:sz w:val="18"/>
              </w:rPr>
              <w:t>Stop and refresh or replace the credential</w:t>
            </w:r>
          </w:p>
        </w:tc>
      </w:tr>
      <w:tr>
        <w:tc>
          <w:tcPr>
            <w:tcW w:type="dxa" w:w="1224"/>
            <w:tcMar>
              <w:top w:w="100" w:type="dxa"/>
              <w:start w:w="110" w:type="dxa"/>
              <w:bottom w:w="100" w:type="dxa"/>
              <w:end w:w="110" w:type="dxa"/>
            </w:tcMar>
            <w:vAlign w:val="center"/>
          </w:tcPr>
          <w:p>
            <w:pPr>
              <w:spacing w:after="0" w:line="252" w:lineRule="auto"/>
            </w:pPr>
            <w:r>
              <w:rPr>
                <w:sz w:val="18"/>
              </w:rPr>
              <w:t>403</w:t>
            </w:r>
          </w:p>
        </w:tc>
        <w:tc>
          <w:tcPr>
            <w:tcW w:type="dxa" w:w="3240"/>
            <w:tcMar>
              <w:top w:w="100" w:type="dxa"/>
              <w:start w:w="110" w:type="dxa"/>
              <w:bottom w:w="100" w:type="dxa"/>
              <w:end w:w="110" w:type="dxa"/>
            </w:tcMar>
            <w:vAlign w:val="center"/>
          </w:tcPr>
          <w:p>
            <w:pPr>
              <w:spacing w:after="0" w:line="252" w:lineRule="auto"/>
            </w:pPr>
            <w:r>
              <w:rPr>
                <w:sz w:val="18"/>
              </w:rPr>
              <w:t>Token lacks the required scope</w:t>
            </w:r>
          </w:p>
        </w:tc>
        <w:tc>
          <w:tcPr>
            <w:tcW w:type="dxa" w:w="5616"/>
            <w:tcMar>
              <w:top w:w="100" w:type="dxa"/>
              <w:start w:w="110" w:type="dxa"/>
              <w:bottom w:w="100" w:type="dxa"/>
              <w:end w:w="110" w:type="dxa"/>
            </w:tcMar>
            <w:vAlign w:val="center"/>
          </w:tcPr>
          <w:p>
            <w:pPr>
              <w:spacing w:after="0" w:line="252" w:lineRule="auto"/>
            </w:pPr>
            <w:r>
              <w:rPr>
                <w:sz w:val="18"/>
              </w:rPr>
              <w:t>Request the narrow required service scope</w:t>
            </w:r>
          </w:p>
        </w:tc>
      </w:tr>
      <w:tr>
        <w:tc>
          <w:tcPr>
            <w:tcW w:type="dxa" w:w="1224"/>
            <w:tcMar>
              <w:top w:w="100" w:type="dxa"/>
              <w:start w:w="110" w:type="dxa"/>
              <w:bottom w:w="100" w:type="dxa"/>
              <w:end w:w="110" w:type="dxa"/>
            </w:tcMar>
            <w:vAlign w:val="center"/>
            <w:shd w:fill="EEF4FA"/>
          </w:tcPr>
          <w:p>
            <w:pPr>
              <w:spacing w:after="0" w:line="252" w:lineRule="auto"/>
            </w:pPr>
            <w:r>
              <w:rPr>
                <w:sz w:val="18"/>
              </w:rPr>
              <w:t>413</w:t>
            </w:r>
          </w:p>
        </w:tc>
        <w:tc>
          <w:tcPr>
            <w:tcW w:type="dxa" w:w="3240"/>
            <w:tcMar>
              <w:top w:w="100" w:type="dxa"/>
              <w:start w:w="110" w:type="dxa"/>
              <w:bottom w:w="100" w:type="dxa"/>
              <w:end w:w="110" w:type="dxa"/>
            </w:tcMar>
            <w:vAlign w:val="center"/>
            <w:shd w:fill="EEF4FA"/>
          </w:tcPr>
          <w:p>
            <w:pPr>
              <w:spacing w:after="0" w:line="252" w:lineRule="auto"/>
            </w:pPr>
            <w:r>
              <w:rPr>
                <w:sz w:val="18"/>
              </w:rPr>
              <w:t>Upload exceeds the configured limit</w:t>
            </w:r>
          </w:p>
        </w:tc>
        <w:tc>
          <w:tcPr>
            <w:tcW w:type="dxa" w:w="5616"/>
            <w:tcMar>
              <w:top w:w="100" w:type="dxa"/>
              <w:start w:w="110" w:type="dxa"/>
              <w:bottom w:w="100" w:type="dxa"/>
              <w:end w:w="110" w:type="dxa"/>
            </w:tcMar>
            <w:vAlign w:val="center"/>
            <w:shd w:fill="EEF4FA"/>
          </w:tcPr>
          <w:p>
            <w:pPr>
              <w:spacing w:after="0" w:line="252" w:lineRule="auto"/>
            </w:pPr>
            <w:r>
              <w:rPr>
                <w:sz w:val="18"/>
              </w:rPr>
              <w:t>Split supported content or use the approved bulk path</w:t>
            </w:r>
          </w:p>
        </w:tc>
      </w:tr>
      <w:tr>
        <w:tc>
          <w:tcPr>
            <w:tcW w:type="dxa" w:w="1224"/>
            <w:tcMar>
              <w:top w:w="100" w:type="dxa"/>
              <w:start w:w="110" w:type="dxa"/>
              <w:bottom w:w="100" w:type="dxa"/>
              <w:end w:w="110" w:type="dxa"/>
            </w:tcMar>
            <w:vAlign w:val="center"/>
          </w:tcPr>
          <w:p>
            <w:pPr>
              <w:spacing w:after="0" w:line="252" w:lineRule="auto"/>
            </w:pPr>
            <w:r>
              <w:rPr>
                <w:sz w:val="18"/>
              </w:rPr>
              <w:t>422</w:t>
            </w:r>
          </w:p>
        </w:tc>
        <w:tc>
          <w:tcPr>
            <w:tcW w:type="dxa" w:w="3240"/>
            <w:tcMar>
              <w:top w:w="100" w:type="dxa"/>
              <w:start w:w="110" w:type="dxa"/>
              <w:bottom w:w="100" w:type="dxa"/>
              <w:end w:w="110" w:type="dxa"/>
            </w:tcMar>
            <w:vAlign w:val="center"/>
          </w:tcPr>
          <w:p>
            <w:pPr>
              <w:spacing w:after="0" w:line="252" w:lineRule="auto"/>
            </w:pPr>
            <w:r>
              <w:rPr>
                <w:sz w:val="18"/>
              </w:rPr>
              <w:t>Invalid fields, type, or analysis name</w:t>
            </w:r>
          </w:p>
        </w:tc>
        <w:tc>
          <w:tcPr>
            <w:tcW w:type="dxa" w:w="5616"/>
            <w:tcMar>
              <w:top w:w="100" w:type="dxa"/>
              <w:start w:w="110" w:type="dxa"/>
              <w:bottom w:w="100" w:type="dxa"/>
              <w:end w:w="110" w:type="dxa"/>
            </w:tcMar>
            <w:vAlign w:val="center"/>
          </w:tcPr>
          <w:p>
            <w:pPr>
              <w:spacing w:after="0" w:line="252" w:lineRule="auto"/>
            </w:pPr>
            <w:r>
              <w:rPr>
                <w:sz w:val="18"/>
              </w:rPr>
              <w:t>Correct the record; do not retry unchanged</w:t>
            </w:r>
          </w:p>
        </w:tc>
      </w:tr>
      <w:tr>
        <w:tc>
          <w:tcPr>
            <w:tcW w:type="dxa" w:w="1224"/>
            <w:tcMar>
              <w:top w:w="100" w:type="dxa"/>
              <w:start w:w="110" w:type="dxa"/>
              <w:bottom w:w="100" w:type="dxa"/>
              <w:end w:w="110" w:type="dxa"/>
            </w:tcMar>
            <w:vAlign w:val="center"/>
            <w:shd w:fill="EEF4FA"/>
          </w:tcPr>
          <w:p>
            <w:pPr>
              <w:spacing w:after="0" w:line="252" w:lineRule="auto"/>
            </w:pPr>
            <w:r>
              <w:rPr>
                <w:sz w:val="18"/>
              </w:rPr>
              <w:t>429</w:t>
            </w:r>
          </w:p>
        </w:tc>
        <w:tc>
          <w:tcPr>
            <w:tcW w:type="dxa" w:w="3240"/>
            <w:tcMar>
              <w:top w:w="100" w:type="dxa"/>
              <w:start w:w="110" w:type="dxa"/>
              <w:bottom w:w="100" w:type="dxa"/>
              <w:end w:w="110" w:type="dxa"/>
            </w:tcMar>
            <w:vAlign w:val="center"/>
            <w:shd w:fill="EEF4FA"/>
          </w:tcPr>
          <w:p>
            <w:pPr>
              <w:spacing w:after="0" w:line="252" w:lineRule="auto"/>
            </w:pPr>
            <w:r>
              <w:rPr>
                <w:sz w:val="18"/>
              </w:rPr>
              <w:t>Owner queue is at capacity</w:t>
            </w:r>
          </w:p>
        </w:tc>
        <w:tc>
          <w:tcPr>
            <w:tcW w:type="dxa" w:w="5616"/>
            <w:tcMar>
              <w:top w:w="100" w:type="dxa"/>
              <w:start w:w="110" w:type="dxa"/>
              <w:bottom w:w="100" w:type="dxa"/>
              <w:end w:w="110" w:type="dxa"/>
            </w:tcMar>
            <w:vAlign w:val="center"/>
            <w:shd w:fill="EEF4FA"/>
          </w:tcPr>
          <w:p>
            <w:pPr>
              <w:spacing w:after="0" w:line="252" w:lineRule="auto"/>
            </w:pPr>
            <w:r>
              <w:rPr>
                <w:sz w:val="18"/>
              </w:rPr>
              <w:t>Retry with backoff and jitter</w:t>
            </w:r>
          </w:p>
        </w:tc>
      </w:tr>
      <w:tr>
        <w:tc>
          <w:tcPr>
            <w:tcW w:type="dxa" w:w="1224"/>
            <w:tcMar>
              <w:top w:w="100" w:type="dxa"/>
              <w:start w:w="110" w:type="dxa"/>
              <w:bottom w:w="100" w:type="dxa"/>
              <w:end w:w="110" w:type="dxa"/>
            </w:tcMar>
            <w:vAlign w:val="center"/>
          </w:tcPr>
          <w:p>
            <w:pPr>
              <w:spacing w:after="0" w:line="252" w:lineRule="auto"/>
            </w:pPr>
            <w:r>
              <w:rPr>
                <w:sz w:val="18"/>
              </w:rPr>
              <w:t>503</w:t>
            </w:r>
          </w:p>
        </w:tc>
        <w:tc>
          <w:tcPr>
            <w:tcW w:type="dxa" w:w="3240"/>
            <w:tcMar>
              <w:top w:w="100" w:type="dxa"/>
              <w:start w:w="110" w:type="dxa"/>
              <w:bottom w:w="100" w:type="dxa"/>
              <w:end w:w="110" w:type="dxa"/>
            </w:tcMar>
            <w:vAlign w:val="center"/>
          </w:tcPr>
          <w:p>
            <w:pPr>
              <w:spacing w:after="0" w:line="252" w:lineRule="auto"/>
            </w:pPr>
            <w:r>
              <w:rPr>
                <w:sz w:val="18"/>
              </w:rPr>
              <w:t>Required storage or processing service unavailable</w:t>
            </w:r>
          </w:p>
        </w:tc>
        <w:tc>
          <w:tcPr>
            <w:tcW w:type="dxa" w:w="5616"/>
            <w:tcMar>
              <w:top w:w="100" w:type="dxa"/>
              <w:start w:w="110" w:type="dxa"/>
              <w:bottom w:w="100" w:type="dxa"/>
              <w:end w:w="110" w:type="dxa"/>
            </w:tcMar>
            <w:vAlign w:val="center"/>
          </w:tcPr>
          <w:p>
            <w:pPr>
              <w:spacing w:after="0" w:line="252" w:lineRule="auto"/>
            </w:pPr>
            <w:r>
              <w:rPr>
                <w:sz w:val="18"/>
              </w:rPr>
              <w:t>Retry with bounded exponential backoff</w:t>
            </w:r>
          </w:p>
        </w:tc>
      </w:tr>
    </w:tbl>
    <w:p>
      <w:pPr>
        <w:spacing w:after="40"/>
      </w:pPr>
    </w:p>
    <w:p>
      <w:pPr>
        <w:pStyle w:val="Heading1"/>
      </w:pPr>
      <w:r>
        <w:t>Sender Reliability Rules</w:t>
      </w:r>
    </w:p>
    <w:p>
      <w:pPr>
        <w:pStyle w:val="ListBullet"/>
      </w:pPr>
      <w:r>
        <w:t>Persist each successful acknowledgement before advancing the BlackGlass export cursor.</w:t>
      </w:r>
    </w:p>
    <w:p>
      <w:pPr>
        <w:pStyle w:val="ListBullet"/>
      </w:pPr>
      <w:r>
        <w:t>Reuse stable source_id and source_type values on retries.</w:t>
      </w:r>
    </w:p>
    <w:p>
      <w:pPr>
        <w:pStyle w:val="ListBullet"/>
      </w:pPr>
      <w:r>
        <w:t>Treat accepted and already_exists as successful outcomes.</w:t>
      </w:r>
    </w:p>
    <w:p>
      <w:pPr>
        <w:pStyle w:val="ListBullet"/>
      </w:pPr>
      <w:r>
        <w:t>Apply bounded exponential backoff with jitter for 429, 502, 503, timeouts, and connection failures.</w:t>
      </w:r>
    </w:p>
    <w:p>
      <w:pPr>
        <w:pStyle w:val="ListBullet"/>
      </w:pPr>
      <w:r>
        <w:t>Do not retry unchanged 401, 403, 413, or 422 requests.</w:t>
      </w:r>
    </w:p>
    <w:p>
      <w:pPr>
        <w:pStyle w:val="ListBullet"/>
      </w:pPr>
      <w:r>
        <w:t>Keep the original text and timestamps. Do not replace the submitted source with a translation or normalized form.</w:t>
      </w:r>
    </w:p>
    <w:p>
      <w:pPr>
        <w:pStyle w:val="Heading1"/>
      </w:pPr>
      <w:r>
        <w:t>EagleEye Result Delivery</w:t>
      </w:r>
    </w:p>
    <w:p>
      <w:r>
        <w:t>BlackGlass must expose one HTTPS endpoint that receives complete analysis snapshots. The recommended route is shown below; BlackGlass may choose another fixed HTTPS URL and provide it to the EagleEye operator.</w:t>
      </w:r>
    </w:p>
    <w:p>
      <w:pPr>
        <w:pStyle w:val="NoSpacing"/>
        <w:keepLines/>
        <w:spacing w:before="80" w:after="160" w:line="240" w:lineRule="auto"/>
        <w:ind w:left="259" w:right="259"/>
        <w:shd w:fill="F4F5F7"/>
      </w:pPr>
      <w:r>
        <w:rPr>
          <w:rFonts w:ascii="Courier New" w:hAnsi="Courier New"/>
          <w:sz w:val="16"/>
        </w:rPr>
        <w:t>POST https://blackglass.live/api/v1/integrations/eagleeye/results</w:t>
      </w:r>
    </w:p>
    <w:p>
      <w:pPr>
        <w:pStyle w:val="Heading2"/>
      </w:pPr>
      <w:r>
        <w:t>Result Request Headers</w:t>
      </w:r>
    </w:p>
    <w:p>
      <w:pPr>
        <w:pStyle w:val="NoSpacing"/>
        <w:keepLines/>
        <w:spacing w:before="80" w:after="160" w:line="240" w:lineRule="auto"/>
        <w:ind w:left="259" w:right="259"/>
        <w:shd w:fill="F4F5F7"/>
      </w:pPr>
      <w:r>
        <w:rPr>
          <w:rFonts w:ascii="Courier New" w:hAnsi="Courier New"/>
          <w:sz w:val="16"/>
        </w:rPr>
        <w:t>Authorization: Bearer &lt;BLACKGLASS_RECEIVER_TOKEN&gt;</w:t>
        <w:br/>
        <w:t>Idempotency-Key: &lt;event_id&gt;</w:t>
        <w:br/>
        <w:t>Content-Type: application/json</w:t>
      </w:r>
    </w:p>
    <w:p>
      <w:pPr>
        <w:pStyle w:val="Heading2"/>
      </w:pPr>
      <w:r>
        <w:t>Result Event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shd w:fill="17365D"/>
            <w:tcMar>
              <w:top w:w="100" w:type="dxa"/>
              <w:start w:w="110" w:type="dxa"/>
              <w:bottom w:w="100" w:type="dxa"/>
              <w:end w:w="110" w:type="dxa"/>
            </w:tcMar>
            <w:vAlign w:val="center"/>
          </w:tcPr>
          <w:p>
            <w:r>
              <w:rPr>
                <w:b/>
                <w:color w:val="FFFFFF"/>
                <w:sz w:val="19"/>
              </w:rPr>
              <w:t>Field</w:t>
            </w:r>
          </w:p>
        </w:tc>
        <w:tc>
          <w:tcPr>
            <w:tcW w:type="dxa" w:w="7704"/>
            <w:shd w:fill="17365D"/>
            <w:tcMar>
              <w:top w:w="100" w:type="dxa"/>
              <w:start w:w="110" w:type="dxa"/>
              <w:bottom w:w="100" w:type="dxa"/>
              <w:end w:w="110" w:type="dxa"/>
            </w:tcMar>
            <w:vAlign w:val="center"/>
          </w:tcPr>
          <w:p>
            <w:r>
              <w:rPr>
                <w:b/>
                <w:color w:val="FFFFFF"/>
                <w:sz w:val="19"/>
              </w:rPr>
              <w:t>Purpose</w:t>
            </w:r>
          </w:p>
        </w:tc>
      </w:tr>
      <w:tr>
        <w:tc>
          <w:tcPr>
            <w:tcW w:type="dxa" w:w="2376"/>
            <w:tcMar>
              <w:top w:w="100" w:type="dxa"/>
              <w:start w:w="110" w:type="dxa"/>
              <w:bottom w:w="100" w:type="dxa"/>
              <w:end w:w="110" w:type="dxa"/>
            </w:tcMar>
            <w:vAlign w:val="center"/>
          </w:tcPr>
          <w:p>
            <w:pPr>
              <w:spacing w:after="0" w:line="252" w:lineRule="auto"/>
            </w:pPr>
            <w:r>
              <w:rPr>
                <w:sz w:val="18"/>
              </w:rPr>
              <w:t>event_id</w:t>
            </w:r>
          </w:p>
        </w:tc>
        <w:tc>
          <w:tcPr>
            <w:tcW w:type="dxa" w:w="7704"/>
            <w:tcMar>
              <w:top w:w="100" w:type="dxa"/>
              <w:start w:w="110" w:type="dxa"/>
              <w:bottom w:w="100" w:type="dxa"/>
              <w:end w:w="110" w:type="dxa"/>
            </w:tcMar>
            <w:vAlign w:val="center"/>
          </w:tcPr>
          <w:p>
            <w:pPr>
              <w:spacing w:after="0" w:line="252" w:lineRule="auto"/>
            </w:pPr>
            <w:r>
              <w:rPr>
                <w:sz w:val="18"/>
              </w:rPr>
              <w:t>Stable delivery ID and idempotency key</w:t>
            </w:r>
          </w:p>
        </w:tc>
      </w:tr>
      <w:tr>
        <w:tc>
          <w:tcPr>
            <w:tcW w:type="dxa" w:w="2376"/>
            <w:tcMar>
              <w:top w:w="100" w:type="dxa"/>
              <w:start w:w="110" w:type="dxa"/>
              <w:bottom w:w="100" w:type="dxa"/>
              <w:end w:w="110" w:type="dxa"/>
            </w:tcMar>
            <w:vAlign w:val="center"/>
            <w:shd w:fill="EEF4FA"/>
          </w:tcPr>
          <w:p>
            <w:pPr>
              <w:spacing w:after="0" w:line="252" w:lineRule="auto"/>
            </w:pPr>
            <w:r>
              <w:rPr>
                <w:sz w:val="18"/>
              </w:rPr>
              <w:t>event_type</w:t>
            </w:r>
          </w:p>
        </w:tc>
        <w:tc>
          <w:tcPr>
            <w:tcW w:type="dxa" w:w="7704"/>
            <w:tcMar>
              <w:top w:w="100" w:type="dxa"/>
              <w:start w:w="110" w:type="dxa"/>
              <w:bottom w:w="100" w:type="dxa"/>
              <w:end w:w="110" w:type="dxa"/>
            </w:tcMar>
            <w:vAlign w:val="center"/>
            <w:shd w:fill="EEF4FA"/>
          </w:tcPr>
          <w:p>
            <w:pPr>
              <w:spacing w:after="0" w:line="252" w:lineRule="auto"/>
            </w:pPr>
            <w:r>
              <w:rPr>
                <w:sz w:val="18"/>
              </w:rPr>
              <w:t>analysis.updated</w:t>
            </w:r>
          </w:p>
        </w:tc>
      </w:tr>
      <w:tr>
        <w:tc>
          <w:tcPr>
            <w:tcW w:type="dxa" w:w="2376"/>
            <w:tcMar>
              <w:top w:w="100" w:type="dxa"/>
              <w:start w:w="110" w:type="dxa"/>
              <w:bottom w:w="100" w:type="dxa"/>
              <w:end w:w="110" w:type="dxa"/>
            </w:tcMar>
            <w:vAlign w:val="center"/>
          </w:tcPr>
          <w:p>
            <w:pPr>
              <w:spacing w:after="0" w:line="252" w:lineRule="auto"/>
            </w:pPr>
            <w:r>
              <w:rPr>
                <w:sz w:val="18"/>
              </w:rPr>
              <w:t>analysis_id</w:t>
            </w:r>
          </w:p>
        </w:tc>
        <w:tc>
          <w:tcPr>
            <w:tcW w:type="dxa" w:w="7704"/>
            <w:tcMar>
              <w:top w:w="100" w:type="dxa"/>
              <w:start w:w="110" w:type="dxa"/>
              <w:bottom w:w="100" w:type="dxa"/>
              <w:end w:w="110" w:type="dxa"/>
            </w:tcMar>
            <w:vAlign w:val="center"/>
          </w:tcPr>
          <w:p>
            <w:pPr>
              <w:spacing w:after="0" w:line="252" w:lineRule="auto"/>
            </w:pPr>
            <w:r>
              <w:rPr>
                <w:sz w:val="18"/>
              </w:rPr>
              <w:t>Stable EagleEye analysis ID</w:t>
            </w:r>
          </w:p>
        </w:tc>
      </w:tr>
      <w:tr>
        <w:tc>
          <w:tcPr>
            <w:tcW w:type="dxa" w:w="2376"/>
            <w:tcMar>
              <w:top w:w="100" w:type="dxa"/>
              <w:start w:w="110" w:type="dxa"/>
              <w:bottom w:w="100" w:type="dxa"/>
              <w:end w:w="110" w:type="dxa"/>
            </w:tcMar>
            <w:vAlign w:val="center"/>
            <w:shd w:fill="EEF4FA"/>
          </w:tcPr>
          <w:p>
            <w:pPr>
              <w:spacing w:after="0" w:line="252" w:lineRule="auto"/>
            </w:pPr>
            <w:r>
              <w:rPr>
                <w:sz w:val="18"/>
              </w:rPr>
              <w:t>report_request_id</w:t>
            </w:r>
          </w:p>
        </w:tc>
        <w:tc>
          <w:tcPr>
            <w:tcW w:type="dxa" w:w="7704"/>
            <w:tcMar>
              <w:top w:w="100" w:type="dxa"/>
              <w:start w:w="110" w:type="dxa"/>
              <w:bottom w:w="100" w:type="dxa"/>
              <w:end w:w="110" w:type="dxa"/>
            </w:tcMar>
            <w:vAlign w:val="center"/>
            <w:shd w:fill="EEF4FA"/>
          </w:tcPr>
          <w:p>
            <w:pPr>
              <w:spacing w:after="0" w:line="252" w:lineRule="auto"/>
            </w:pPr>
            <w:r>
              <w:rPr>
                <w:sz w:val="18"/>
              </w:rPr>
              <w:t>BlackGlass report correlation ID</w:t>
            </w:r>
          </w:p>
        </w:tc>
      </w:tr>
      <w:tr>
        <w:tc>
          <w:tcPr>
            <w:tcW w:type="dxa" w:w="2376"/>
            <w:tcMar>
              <w:top w:w="100" w:type="dxa"/>
              <w:start w:w="110" w:type="dxa"/>
              <w:bottom w:w="100" w:type="dxa"/>
              <w:end w:w="110" w:type="dxa"/>
            </w:tcMar>
            <w:vAlign w:val="center"/>
          </w:tcPr>
          <w:p>
            <w:pPr>
              <w:spacing w:after="0" w:line="252" w:lineRule="auto"/>
            </w:pPr>
            <w:r>
              <w:rPr>
                <w:sz w:val="18"/>
              </w:rPr>
              <w:t>subject</w:t>
            </w:r>
          </w:p>
        </w:tc>
        <w:tc>
          <w:tcPr>
            <w:tcW w:type="dxa" w:w="7704"/>
            <w:tcMar>
              <w:top w:w="100" w:type="dxa"/>
              <w:start w:w="110" w:type="dxa"/>
              <w:bottom w:w="100" w:type="dxa"/>
              <w:end w:w="110" w:type="dxa"/>
            </w:tcMar>
            <w:vAlign w:val="center"/>
          </w:tcPr>
          <w:p>
            <w:pPr>
              <w:spacing w:after="0" w:line="252" w:lineRule="auto"/>
            </w:pPr>
            <w:r>
              <w:rPr>
                <w:sz w:val="18"/>
              </w:rPr>
              <w:t>Profile, person, vehicle, case, or other report subject</w:t>
            </w:r>
          </w:p>
        </w:tc>
      </w:tr>
      <w:tr>
        <w:tc>
          <w:tcPr>
            <w:tcW w:type="dxa" w:w="2376"/>
            <w:tcMar>
              <w:top w:w="100" w:type="dxa"/>
              <w:start w:w="110" w:type="dxa"/>
              <w:bottom w:w="100" w:type="dxa"/>
              <w:end w:w="110" w:type="dxa"/>
            </w:tcMar>
            <w:vAlign w:val="center"/>
            <w:shd w:fill="EEF4FA"/>
          </w:tcPr>
          <w:p>
            <w:pPr>
              <w:spacing w:after="0" w:line="252" w:lineRule="auto"/>
            </w:pPr>
            <w:r>
              <w:rPr>
                <w:sz w:val="18"/>
              </w:rPr>
              <w:t>revision</w:t>
            </w:r>
          </w:p>
        </w:tc>
        <w:tc>
          <w:tcPr>
            <w:tcW w:type="dxa" w:w="7704"/>
            <w:tcMar>
              <w:top w:w="100" w:type="dxa"/>
              <w:start w:w="110" w:type="dxa"/>
              <w:bottom w:w="100" w:type="dxa"/>
              <w:end w:w="110" w:type="dxa"/>
            </w:tcMar>
            <w:vAlign w:val="center"/>
            <w:shd w:fill="EEF4FA"/>
          </w:tcPr>
          <w:p>
            <w:pPr>
              <w:spacing w:after="0" w:line="252" w:lineRule="auto"/>
            </w:pPr>
            <w:r>
              <w:rPr>
                <w:sz w:val="18"/>
              </w:rPr>
              <w:t>Monotonic revision for the analysis</w:t>
            </w:r>
          </w:p>
        </w:tc>
      </w:tr>
      <w:tr>
        <w:tc>
          <w:tcPr>
            <w:tcW w:type="dxa" w:w="2376"/>
            <w:tcMar>
              <w:top w:w="100" w:type="dxa"/>
              <w:start w:w="110" w:type="dxa"/>
              <w:bottom w:w="100" w:type="dxa"/>
              <w:end w:w="110" w:type="dxa"/>
            </w:tcMar>
            <w:vAlign w:val="center"/>
          </w:tcPr>
          <w:p>
            <w:pPr>
              <w:spacing w:after="0" w:line="252" w:lineRule="auto"/>
            </w:pPr>
            <w:r>
              <w:rPr>
                <w:sz w:val="18"/>
              </w:rPr>
              <w:t>status</w:t>
            </w:r>
          </w:p>
        </w:tc>
        <w:tc>
          <w:tcPr>
            <w:tcW w:type="dxa" w:w="7704"/>
            <w:tcMar>
              <w:top w:w="100" w:type="dxa"/>
              <w:start w:w="110" w:type="dxa"/>
              <w:bottom w:w="100" w:type="dxa"/>
              <w:end w:w="110" w:type="dxa"/>
            </w:tcMar>
            <w:vAlign w:val="center"/>
          </w:tcPr>
          <w:p>
            <w:pPr>
              <w:spacing w:after="0" w:line="252" w:lineRule="auto"/>
            </w:pPr>
            <w:r>
              <w:rPr>
                <w:sz w:val="18"/>
              </w:rPr>
              <w:t>queued, running, retry, completed, partial, or failed</w:t>
            </w:r>
          </w:p>
        </w:tc>
      </w:tr>
      <w:tr>
        <w:tc>
          <w:tcPr>
            <w:tcW w:type="dxa" w:w="2376"/>
            <w:tcMar>
              <w:top w:w="100" w:type="dxa"/>
              <w:start w:w="110" w:type="dxa"/>
              <w:bottom w:w="100" w:type="dxa"/>
              <w:end w:w="110" w:type="dxa"/>
            </w:tcMar>
            <w:vAlign w:val="center"/>
            <w:shd w:fill="EEF4FA"/>
          </w:tcPr>
          <w:p>
            <w:pPr>
              <w:spacing w:after="0" w:line="252" w:lineRule="auto"/>
            </w:pPr>
            <w:r>
              <w:rPr>
                <w:sz w:val="18"/>
              </w:rPr>
              <w:t>source_id</w:t>
            </w:r>
          </w:p>
        </w:tc>
        <w:tc>
          <w:tcPr>
            <w:tcW w:type="dxa" w:w="7704"/>
            <w:tcMar>
              <w:top w:w="100" w:type="dxa"/>
              <w:start w:w="110" w:type="dxa"/>
              <w:bottom w:w="100" w:type="dxa"/>
              <w:end w:w="110" w:type="dxa"/>
            </w:tcMar>
            <w:vAlign w:val="center"/>
            <w:shd w:fill="EEF4FA"/>
          </w:tcPr>
          <w:p>
            <w:pPr>
              <w:spacing w:after="0" w:line="252" w:lineRule="auto"/>
            </w:pPr>
            <w:r>
              <w:rPr>
                <w:sz w:val="18"/>
              </w:rPr>
              <w:t>Original BlackGlass record ID, indexed for exact lookup</w:t>
            </w:r>
          </w:p>
        </w:tc>
      </w:tr>
      <w:tr>
        <w:tc>
          <w:tcPr>
            <w:tcW w:type="dxa" w:w="2376"/>
            <w:tcMar>
              <w:top w:w="100" w:type="dxa"/>
              <w:start w:w="110" w:type="dxa"/>
              <w:bottom w:w="100" w:type="dxa"/>
              <w:end w:w="110" w:type="dxa"/>
            </w:tcMar>
            <w:vAlign w:val="center"/>
          </w:tcPr>
          <w:p>
            <w:pPr>
              <w:spacing w:after="0" w:line="252" w:lineRule="auto"/>
            </w:pPr>
            <w:r>
              <w:rPr>
                <w:sz w:val="18"/>
              </w:rPr>
              <w:t>source_type</w:t>
            </w:r>
          </w:p>
        </w:tc>
        <w:tc>
          <w:tcPr>
            <w:tcW w:type="dxa" w:w="7704"/>
            <w:tcMar>
              <w:top w:w="100" w:type="dxa"/>
              <w:start w:w="110" w:type="dxa"/>
              <w:bottom w:w="100" w:type="dxa"/>
              <w:end w:w="110" w:type="dxa"/>
            </w:tcMar>
            <w:vAlign w:val="center"/>
          </w:tcPr>
          <w:p>
            <w:pPr>
              <w:spacing w:after="0" w:line="252" w:lineRule="auto"/>
            </w:pPr>
            <w:r>
              <w:rPr>
                <w:sz w:val="18"/>
              </w:rPr>
              <w:t>Original BlackGlass record type, indexed with source_id</w:t>
            </w:r>
          </w:p>
        </w:tc>
      </w:tr>
      <w:tr>
        <w:tc>
          <w:tcPr>
            <w:tcW w:type="dxa" w:w="2376"/>
            <w:tcMar>
              <w:top w:w="100" w:type="dxa"/>
              <w:start w:w="110" w:type="dxa"/>
              <w:bottom w:w="100" w:type="dxa"/>
              <w:end w:w="110" w:type="dxa"/>
            </w:tcMar>
            <w:vAlign w:val="center"/>
            <w:shd w:fill="EEF4FA"/>
          </w:tcPr>
          <w:p>
            <w:pPr>
              <w:spacing w:after="0" w:line="252" w:lineRule="auto"/>
            </w:pPr>
            <w:r>
              <w:rPr>
                <w:sz w:val="18"/>
              </w:rPr>
              <w:t>attributes</w:t>
            </w:r>
          </w:p>
        </w:tc>
        <w:tc>
          <w:tcPr>
            <w:tcW w:type="dxa" w:w="7704"/>
            <w:tcMar>
              <w:top w:w="100" w:type="dxa"/>
              <w:start w:w="110" w:type="dxa"/>
              <w:bottom w:w="100" w:type="dxa"/>
              <w:end w:w="110" w:type="dxa"/>
            </w:tcMar>
            <w:vAlign w:val="center"/>
            <w:shd w:fill="EEF4FA"/>
          </w:tcPr>
          <w:p>
            <w:pPr>
              <w:spacing w:after="0" w:line="252" w:lineRule="auto"/>
            </w:pPr>
            <w:r>
              <w:rPr>
                <w:sz w:val="18"/>
              </w:rPr>
              <w:t>Optional source URL, system, collection time, and other metadata</w:t>
            </w:r>
          </w:p>
        </w:tc>
      </w:tr>
      <w:tr>
        <w:tc>
          <w:tcPr>
            <w:tcW w:type="dxa" w:w="2376"/>
            <w:tcMar>
              <w:top w:w="100" w:type="dxa"/>
              <w:start w:w="110" w:type="dxa"/>
              <w:bottom w:w="100" w:type="dxa"/>
              <w:end w:w="110" w:type="dxa"/>
            </w:tcMar>
            <w:vAlign w:val="center"/>
          </w:tcPr>
          <w:p>
            <w:pPr>
              <w:spacing w:after="0" w:line="252" w:lineRule="auto"/>
            </w:pPr>
            <w:r>
              <w:rPr>
                <w:sz w:val="18"/>
              </w:rPr>
              <w:t>stream</w:t>
            </w:r>
          </w:p>
        </w:tc>
        <w:tc>
          <w:tcPr>
            <w:tcW w:type="dxa" w:w="7704"/>
            <w:tcMar>
              <w:top w:w="100" w:type="dxa"/>
              <w:start w:w="110" w:type="dxa"/>
              <w:bottom w:w="100" w:type="dxa"/>
              <w:end w:w="110" w:type="dxa"/>
            </w:tcMar>
            <w:vAlign w:val="center"/>
          </w:tcPr>
          <w:p>
            <w:pPr>
              <w:spacing w:after="0" w:line="252" w:lineRule="auto"/>
            </w:pPr>
            <w:r>
              <w:rPr>
                <w:sz w:val="18"/>
              </w:rPr>
              <w:t>Optional finite live segment identity and timing</w:t>
            </w:r>
          </w:p>
        </w:tc>
      </w:tr>
      <w:tr>
        <w:tc>
          <w:tcPr>
            <w:tcW w:type="dxa" w:w="2376"/>
            <w:tcMar>
              <w:top w:w="100" w:type="dxa"/>
              <w:start w:w="110" w:type="dxa"/>
              <w:bottom w:w="100" w:type="dxa"/>
              <w:end w:w="110" w:type="dxa"/>
            </w:tcMar>
            <w:vAlign w:val="center"/>
            <w:shd w:fill="EEF4FA"/>
          </w:tcPr>
          <w:p>
            <w:pPr>
              <w:spacing w:after="0" w:line="252" w:lineRule="auto"/>
            </w:pPr>
            <w:r>
              <w:rPr>
                <w:sz w:val="18"/>
              </w:rPr>
              <w:t>source_sha256</w:t>
            </w:r>
          </w:p>
        </w:tc>
        <w:tc>
          <w:tcPr>
            <w:tcW w:type="dxa" w:w="7704"/>
            <w:tcMar>
              <w:top w:w="100" w:type="dxa"/>
              <w:start w:w="110" w:type="dxa"/>
              <w:bottom w:w="100" w:type="dxa"/>
              <w:end w:w="110" w:type="dxa"/>
            </w:tcMar>
            <w:vAlign w:val="center"/>
            <w:shd w:fill="EEF4FA"/>
          </w:tcPr>
          <w:p>
            <w:pPr>
              <w:spacing w:after="0" w:line="252" w:lineRule="auto"/>
            </w:pPr>
            <w:r>
              <w:rPr>
                <w:sz w:val="18"/>
              </w:rPr>
              <w:t>Checksum of the submitted original</w:t>
            </w:r>
          </w:p>
        </w:tc>
      </w:tr>
      <w:tr>
        <w:tc>
          <w:tcPr>
            <w:tcW w:type="dxa" w:w="2376"/>
            <w:tcMar>
              <w:top w:w="100" w:type="dxa"/>
              <w:start w:w="110" w:type="dxa"/>
              <w:bottom w:w="100" w:type="dxa"/>
              <w:end w:w="110" w:type="dxa"/>
            </w:tcMar>
            <w:vAlign w:val="center"/>
          </w:tcPr>
          <w:p>
            <w:pPr>
              <w:spacing w:after="0" w:line="252" w:lineRule="auto"/>
            </w:pPr>
            <w:r>
              <w:rPr>
                <w:sz w:val="18"/>
              </w:rPr>
              <w:t>evidence</w:t>
            </w:r>
          </w:p>
        </w:tc>
        <w:tc>
          <w:tcPr>
            <w:tcW w:type="dxa" w:w="7704"/>
            <w:tcMar>
              <w:top w:w="100" w:type="dxa"/>
              <w:start w:w="110" w:type="dxa"/>
              <w:bottom w:w="100" w:type="dxa"/>
              <w:end w:w="110" w:type="dxa"/>
            </w:tcMar>
            <w:vAlign w:val="center"/>
          </w:tcPr>
          <w:p>
            <w:pPr>
              <w:spacing w:after="0" w:line="252" w:lineRule="auto"/>
            </w:pPr>
            <w:r>
              <w:rPr>
                <w:sz w:val="18"/>
              </w:rPr>
              <w:t>Extracted text and observations with exact source locators</w:t>
            </w:r>
          </w:p>
        </w:tc>
      </w:tr>
      <w:tr>
        <w:tc>
          <w:tcPr>
            <w:tcW w:type="dxa" w:w="2376"/>
            <w:tcMar>
              <w:top w:w="100" w:type="dxa"/>
              <w:start w:w="110" w:type="dxa"/>
              <w:bottom w:w="100" w:type="dxa"/>
              <w:end w:w="110" w:type="dxa"/>
            </w:tcMar>
            <w:vAlign w:val="center"/>
            <w:shd w:fill="EEF4FA"/>
          </w:tcPr>
          <w:p>
            <w:pPr>
              <w:spacing w:after="0" w:line="252" w:lineRule="auto"/>
            </w:pPr>
            <w:r>
              <w:rPr>
                <w:sz w:val="18"/>
              </w:rPr>
              <w:t>findings</w:t>
            </w:r>
          </w:p>
        </w:tc>
        <w:tc>
          <w:tcPr>
            <w:tcW w:type="dxa" w:w="7704"/>
            <w:tcMar>
              <w:top w:w="100" w:type="dxa"/>
              <w:start w:w="110" w:type="dxa"/>
              <w:bottom w:w="100" w:type="dxa"/>
              <w:end w:w="110" w:type="dxa"/>
            </w:tcMar>
            <w:vAlign w:val="center"/>
            <w:shd w:fill="EEF4FA"/>
          </w:tcPr>
          <w:p>
            <w:pPr>
              <w:spacing w:after="0" w:line="252" w:lineRule="auto"/>
            </w:pPr>
            <w:r>
              <w:rPr>
                <w:sz w:val="18"/>
              </w:rPr>
              <w:t>Unreviewed findings that cite evidence IDs</w:t>
            </w:r>
          </w:p>
        </w:tc>
      </w:tr>
      <w:tr>
        <w:tc>
          <w:tcPr>
            <w:tcW w:type="dxa" w:w="2376"/>
            <w:tcMar>
              <w:top w:w="100" w:type="dxa"/>
              <w:start w:w="110" w:type="dxa"/>
              <w:bottom w:w="100" w:type="dxa"/>
              <w:end w:w="110" w:type="dxa"/>
            </w:tcMar>
            <w:vAlign w:val="center"/>
          </w:tcPr>
          <w:p>
            <w:pPr>
              <w:spacing w:after="0" w:line="252" w:lineRule="auto"/>
            </w:pPr>
            <w:r>
              <w:rPr>
                <w:sz w:val="18"/>
              </w:rPr>
              <w:t>contradictions</w:t>
            </w:r>
          </w:p>
        </w:tc>
        <w:tc>
          <w:tcPr>
            <w:tcW w:type="dxa" w:w="7704"/>
            <w:tcMar>
              <w:top w:w="100" w:type="dxa"/>
              <w:start w:w="110" w:type="dxa"/>
              <w:bottom w:w="100" w:type="dxa"/>
              <w:end w:w="110" w:type="dxa"/>
            </w:tcMar>
            <w:vAlign w:val="center"/>
          </w:tcPr>
          <w:p>
            <w:pPr>
              <w:spacing w:after="0" w:line="252" w:lineRule="auto"/>
            </w:pPr>
            <w:r>
              <w:rPr>
                <w:sz w:val="18"/>
              </w:rPr>
              <w:t>Conflicts found in the analyzed evidence</w:t>
            </w:r>
          </w:p>
        </w:tc>
      </w:tr>
      <w:tr>
        <w:tc>
          <w:tcPr>
            <w:tcW w:type="dxa" w:w="2376"/>
            <w:tcMar>
              <w:top w:w="100" w:type="dxa"/>
              <w:start w:w="110" w:type="dxa"/>
              <w:bottom w:w="100" w:type="dxa"/>
              <w:end w:w="110" w:type="dxa"/>
            </w:tcMar>
            <w:vAlign w:val="center"/>
            <w:shd w:fill="EEF4FA"/>
          </w:tcPr>
          <w:p>
            <w:pPr>
              <w:spacing w:after="0" w:line="252" w:lineRule="auto"/>
            </w:pPr>
            <w:r>
              <w:rPr>
                <w:sz w:val="18"/>
              </w:rPr>
              <w:t>warnings</w:t>
            </w:r>
          </w:p>
        </w:tc>
        <w:tc>
          <w:tcPr>
            <w:tcW w:type="dxa" w:w="7704"/>
            <w:tcMar>
              <w:top w:w="100" w:type="dxa"/>
              <w:start w:w="110" w:type="dxa"/>
              <w:bottom w:w="100" w:type="dxa"/>
              <w:end w:w="110" w:type="dxa"/>
            </w:tcMar>
            <w:vAlign w:val="center"/>
            <w:shd w:fill="EEF4FA"/>
          </w:tcPr>
          <w:p>
            <w:pPr>
              <w:spacing w:after="0" w:line="252" w:lineRule="auto"/>
            </w:pPr>
            <w:r>
              <w:rPr>
                <w:sz w:val="18"/>
              </w:rPr>
              <w:t>Unsupported, partial, truncated, or uncertain processing notes</w:t>
            </w:r>
          </w:p>
        </w:tc>
      </w:tr>
      <w:tr>
        <w:tc>
          <w:tcPr>
            <w:tcW w:type="dxa" w:w="2376"/>
            <w:tcMar>
              <w:top w:w="100" w:type="dxa"/>
              <w:start w:w="110" w:type="dxa"/>
              <w:bottom w:w="100" w:type="dxa"/>
              <w:end w:w="110" w:type="dxa"/>
            </w:tcMar>
            <w:vAlign w:val="center"/>
          </w:tcPr>
          <w:p>
            <w:pPr>
              <w:spacing w:after="0" w:line="252" w:lineRule="auto"/>
            </w:pPr>
            <w:r>
              <w:rPr>
                <w:sz w:val="18"/>
              </w:rPr>
              <w:t>report</w:t>
            </w:r>
          </w:p>
        </w:tc>
        <w:tc>
          <w:tcPr>
            <w:tcW w:type="dxa" w:w="7704"/>
            <w:tcMar>
              <w:top w:w="100" w:type="dxa"/>
              <w:start w:w="110" w:type="dxa"/>
              <w:bottom w:w="100" w:type="dxa"/>
              <w:end w:w="110" w:type="dxa"/>
            </w:tcMar>
            <w:vAlign w:val="center"/>
          </w:tcPr>
          <w:p>
            <w:pPr>
              <w:spacing w:after="0" w:line="252" w:lineRule="auto"/>
            </w:pPr>
            <w:r>
              <w:rPr>
                <w:sz w:val="18"/>
              </w:rPr>
              <w:t>BlackGlass compatible schema 2 report derived from cited evidence</w:t>
            </w:r>
          </w:p>
        </w:tc>
      </w:tr>
    </w:tbl>
    <w:p>
      <w:pPr>
        <w:spacing w:after="40"/>
      </w:pPr>
    </w:p>
    <w:p>
      <w:pPr>
        <w:pStyle w:val="Heading2"/>
      </w:pPr>
      <w:r>
        <w:t>Result Event Example</w:t>
      </w:r>
    </w:p>
    <w:p>
      <w:pPr>
        <w:pStyle w:val="NoSpacing"/>
        <w:keepLines/>
        <w:spacing w:before="80" w:after="160" w:line="240" w:lineRule="auto"/>
        <w:ind w:left="259" w:right="259"/>
        <w:shd w:fill="F4F5F7"/>
      </w:pPr>
      <w:r>
        <w:rPr>
          <w:rFonts w:ascii="Courier New" w:hAnsi="Courier New"/>
          <w:sz w:val="16"/>
        </w:rPr>
        <w:t>{</w:t>
        <w:br/>
        <w:t xml:space="preserve">  "schema_version": "1.1",</w:t>
        <w:br/>
        <w:t xml:space="preserve">  "event_id": "0bb91572-c924-43fa-a935-b2222688435c",</w:t>
        <w:br/>
        <w:t xml:space="preserve">  "event_type": "analysis.updated",</w:t>
        <w:br/>
        <w:t xml:space="preserve">  "emitted_at": "2026-09-15T10:05:00Z",</w:t>
        <w:br/>
        <w:t xml:space="preserve">  "analysis_id": "1a151bcb-d139-4dba-b36a-99bf268794ef",</w:t>
        <w:br/>
        <w:t xml:space="preserve">  "report_request_id": "REPORT-123",</w:t>
        <w:br/>
        <w:t xml:space="preserve">  "subject": {</w:t>
        <w:br/>
        <w:t xml:space="preserve">    "subject_type": "social_profile",</w:t>
        <w:br/>
        <w:t xml:space="preserve">    "subject_id": "PROFILE-456",</w:t>
        <w:br/>
        <w:t xml:space="preserve">    "display_label": "Profile under review"</w:t>
        <w:br/>
        <w:t xml:space="preserve">  },</w:t>
        <w:br/>
        <w:t xml:space="preserve">  "revision": 1,</w:t>
        <w:br/>
        <w:t xml:space="preserve">  "status": "completed",</w:t>
        <w:br/>
        <w:t xml:space="preserve">  "source_id": "POST-1001",</w:t>
        <w:br/>
        <w:t xml:space="preserve">  "source_type": "post",</w:t>
        <w:br/>
        <w:t xml:space="preserve">  "attributes": {</w:t>
        <w:br/>
        <w:t xml:space="preserve">    "source_system": "blackglass-prod",</w:t>
        <w:br/>
        <w:t xml:space="preserve">    "source_url": "https://blackglass.live/posts/POST-1001"</w:t>
        <w:br/>
        <w:t xml:space="preserve">  },</w:t>
        <w:br/>
        <w:t xml:space="preserve">  "source_sha256": "&lt;64 lowercase hexadecimal characters&gt;",</w:t>
        <w:br/>
        <w:t xml:space="preserve">  "evidence": [</w:t>
        <w:br/>
        <w:t xml:space="preserve">    {</w:t>
        <w:br/>
        <w:t xml:space="preserve">      "evidence_id": "571539dd-6626-464b-803d-c659b23aad69",</w:t>
        <w:br/>
        <w:t xml:space="preserve">      "kind": "ocr",</w:t>
        <w:br/>
        <w:t xml:space="preserve">      "original_text": "Original extracted text",</w:t>
        <w:br/>
        <w:t xml:space="preserve">      "normalized_text": "Normalized text",</w:t>
        <w:br/>
        <w:t xml:space="preserve">      "locator": {"page": 1, "precision": "source"},</w:t>
        <w:br/>
        <w:t xml:space="preserve">      "provenance": {"model": "model-name", "version": "model-version"},</w:t>
        <w:br/>
        <w:t xml:space="preserve">      "translations": [],</w:t>
        <w:br/>
        <w:t xml:space="preserve">      "review_status": "unreviewed"</w:t>
        <w:br/>
        <w:t xml:space="preserve">    }</w:t>
        <w:br/>
        <w:t xml:space="preserve">  ],</w:t>
        <w:br/>
        <w:t xml:space="preserve">  "findings": [],</w:t>
        <w:br/>
        <w:t xml:space="preserve">  "contradictions": [],</w:t>
        <w:br/>
        <w:t xml:space="preserve">  "warnings": [],</w:t>
        <w:br/>
        <w:t xml:space="preserve">  "report": {"schemaVersion": "2.0", "document": {}}</w:t>
        <w:br/>
        <w:t>}</w:t>
      </w:r>
    </w:p>
    <w:p>
      <w:r>
        <w:br w:type="page"/>
      </w:r>
    </w:p>
    <w:p>
      <w:pPr>
        <w:pStyle w:val="Heading1"/>
      </w:pPr>
      <w:r>
        <w:t>BlackGlass Result Acknowledgement</w:t>
      </w:r>
    </w:p>
    <w:p>
      <w:r>
        <w:t>BlackGlass must durably store the event before returning success. The response event_id must exactly match the request. EagleEye does not follow redirects and treats a wrong or missing acknowledgement as a failed delivery.</w:t>
      </w:r>
    </w:p>
    <w:p>
      <w:pPr>
        <w:pStyle w:val="Heading2"/>
      </w:pPr>
      <w:r>
        <w:t>First Delivery</w:t>
      </w:r>
    </w:p>
    <w:p>
      <w:pPr>
        <w:pStyle w:val="NoSpacing"/>
        <w:keepLines/>
        <w:spacing w:before="80" w:after="160" w:line="240" w:lineRule="auto"/>
        <w:ind w:left="259" w:right="259"/>
        <w:shd w:fill="F4F5F7"/>
      </w:pPr>
      <w:r>
        <w:rPr>
          <w:rFonts w:ascii="Courier New" w:hAnsi="Courier New"/>
          <w:sz w:val="16"/>
        </w:rPr>
        <w:t>{"event_id":"&lt;same-event-uuid&gt;","status":"accepted"}</w:t>
      </w:r>
    </w:p>
    <w:p>
      <w:pPr>
        <w:pStyle w:val="Heading2"/>
      </w:pPr>
      <w:r>
        <w:t>Replay Already Stored</w:t>
      </w:r>
    </w:p>
    <w:p>
      <w:pPr>
        <w:pStyle w:val="NoSpacing"/>
        <w:keepLines/>
        <w:spacing w:before="80" w:after="160" w:line="240" w:lineRule="auto"/>
        <w:ind w:left="259" w:right="259"/>
        <w:shd w:fill="F4F5F7"/>
      </w:pPr>
      <w:r>
        <w:rPr>
          <w:rFonts w:ascii="Courier New" w:hAnsi="Courier New"/>
          <w:sz w:val="16"/>
        </w:rPr>
        <w:t>{"event_id":"&lt;same-event-uuid&gt;","status":"duplicate"}</w:t>
      </w:r>
    </w:p>
    <w:p>
      <w:r>
        <w:t>EagleEye retries the same event ID after network or acknowledgement failures. BlackGlass must process each event ID once and return duplicate for an already stored event.</w:t>
      </w:r>
    </w:p>
    <w:p>
      <w:pPr>
        <w:pStyle w:val="Heading1"/>
      </w:pPr>
      <w:r>
        <w:t>Source and Citation Rules</w:t>
      </w:r>
    </w:p>
    <w:p>
      <w:pPr>
        <w:pStyle w:val="ListBullet"/>
      </w:pPr>
      <w:r>
        <w:t>Join results using source_id and source_type. Do not scan attributes or rely only on labels.</w:t>
      </w:r>
    </w:p>
    <w:p>
      <w:pPr>
        <w:pStyle w:val="ListBullet"/>
      </w:pPr>
      <w:r>
        <w:t>Display findings as unreviewed until an authorized reviewer confirms them.</w:t>
      </w:r>
    </w:p>
    <w:p>
      <w:pPr>
        <w:pStyle w:val="ListBullet"/>
      </w:pPr>
      <w:r>
        <w:t>Every finding must cite evidence IDs contained in the same committed analysis revision.</w:t>
      </w:r>
    </w:p>
    <w:p>
      <w:pPr>
        <w:pStyle w:val="ListBullet"/>
      </w:pPr>
      <w:r>
        <w:t>Keep original text separate from normalized text, translations, and transliterations.</w:t>
      </w:r>
    </w:p>
    <w:p>
      <w:pPr>
        <w:pStyle w:val="ListBullet"/>
      </w:pPr>
      <w:r>
        <w:t>Use evidence locators to open the relevant page, character range, audio interval, video interval, or sampled frame.</w:t>
      </w:r>
    </w:p>
    <w:p>
      <w:pPr>
        <w:pStyle w:val="ListBullet"/>
      </w:pPr>
      <w:r>
        <w:t>A citation proves traceability to an extraction. It does not prove that the extraction or model interpretation is factually correct.</w:t>
      </w:r>
    </w:p>
    <w:p>
      <w:pPr>
        <w:pStyle w:val="ListBullet"/>
      </w:pPr>
      <w:r>
        <w:t>Do not automatically publish alerts or identity claims from unreviewed findings.</w:t>
      </w:r>
    </w:p>
    <w:p>
      <w:pPr>
        <w:pStyle w:val="Heading1"/>
      </w:pPr>
      <w:r>
        <w:t>Live Data</w:t>
      </w:r>
    </w:p>
    <w:p>
      <w:r>
        <w:t>The live API analyzes one submitted frame at a time. Continuous sources must be segmented by the capture system. Each segment or frame needs a stable stream ID, segment ID, sequence, and timezone-aware start time when the newer evidence workflow is enabled. This supports incremental processing; it is not a direct RTSP or WebRTC capture server.</w:t>
      </w:r>
    </w:p>
    <w:p>
      <w:pPr>
        <w:pStyle w:val="NoSpacing"/>
        <w:keepLines/>
        <w:spacing w:before="80" w:after="160" w:line="240" w:lineRule="auto"/>
        <w:ind w:left="259" w:right="259"/>
        <w:shd w:fill="F4F5F7"/>
      </w:pPr>
      <w:r>
        <w:rPr>
          <w:rFonts w:ascii="Courier New" w:hAnsi="Courier New"/>
          <w:sz w:val="16"/>
        </w:rPr>
        <w:t>{</w:t>
        <w:br/>
        <w:t xml:space="preserve">  "stream_id": "CAMERA-01",</w:t>
        <w:br/>
        <w:t xml:space="preserve">  "segment_id": "CAMERA-01-000042",</w:t>
        <w:br/>
        <w:t xml:space="preserve">  "sequence": 42,</w:t>
        <w:br/>
        <w:t xml:space="preserve">  "started_at": "2026-09-15T10:04:30Z"</w:t>
        <w:br/>
        <w:t>}</w:t>
      </w:r>
    </w:p>
    <w:p>
      <w:r>
        <w:br w:type="page"/>
      </w:r>
    </w:p>
    <w:p>
      <w:pPr>
        <w:pStyle w:val="Heading1"/>
      </w:pPr>
      <w:r>
        <w:t>Activation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952"/>
            <w:shd w:fill="17365D"/>
            <w:tcMar>
              <w:top w:w="100" w:type="dxa"/>
              <w:start w:w="110" w:type="dxa"/>
              <w:bottom w:w="100" w:type="dxa"/>
              <w:end w:w="110" w:type="dxa"/>
            </w:tcMar>
            <w:vAlign w:val="center"/>
          </w:tcPr>
          <w:p>
            <w:r>
              <w:rPr>
                <w:b/>
                <w:color w:val="FFFFFF"/>
                <w:sz w:val="19"/>
              </w:rPr>
              <w:t>Component</w:t>
            </w:r>
          </w:p>
        </w:tc>
        <w:tc>
          <w:tcPr>
            <w:tcW w:type="dxa" w:w="1728"/>
            <w:shd w:fill="17365D"/>
            <w:tcMar>
              <w:top w:w="100" w:type="dxa"/>
              <w:start w:w="110" w:type="dxa"/>
              <w:bottom w:w="100" w:type="dxa"/>
              <w:end w:w="110" w:type="dxa"/>
            </w:tcMar>
            <w:vAlign w:val="center"/>
          </w:tcPr>
          <w:p>
            <w:r>
              <w:rPr>
                <w:b/>
                <w:color w:val="FFFFFF"/>
                <w:sz w:val="19"/>
              </w:rPr>
              <w:t>Status</w:t>
            </w:r>
          </w:p>
        </w:tc>
        <w:tc>
          <w:tcPr>
            <w:tcW w:type="dxa" w:w="5400"/>
            <w:shd w:fill="17365D"/>
            <w:tcMar>
              <w:top w:w="100" w:type="dxa"/>
              <w:start w:w="110" w:type="dxa"/>
              <w:bottom w:w="100" w:type="dxa"/>
              <w:end w:w="110" w:type="dxa"/>
            </w:tcMar>
            <w:vAlign w:val="center"/>
          </w:tcPr>
          <w:p>
            <w:r>
              <w:rPr>
                <w:b/>
                <w:color w:val="FFFFFF"/>
                <w:sz w:val="19"/>
              </w:rPr>
              <w:t>Action before production</w:t>
            </w:r>
          </w:p>
        </w:tc>
      </w:tr>
      <w:tr>
        <w:tc>
          <w:tcPr>
            <w:tcW w:type="dxa" w:w="2952"/>
            <w:tcMar>
              <w:top w:w="100" w:type="dxa"/>
              <w:start w:w="110" w:type="dxa"/>
              <w:bottom w:w="100" w:type="dxa"/>
              <w:end w:w="110" w:type="dxa"/>
            </w:tcMar>
            <w:vAlign w:val="center"/>
          </w:tcPr>
          <w:p>
            <w:pPr>
              <w:spacing w:after="0" w:line="252" w:lineRule="auto"/>
            </w:pPr>
            <w:r>
              <w:rPr>
                <w:sz w:val="18"/>
              </w:rPr>
              <w:t>Cloudflare tunnel</w:t>
            </w:r>
          </w:p>
        </w:tc>
        <w:tc>
          <w:tcPr>
            <w:tcW w:type="dxa" w:w="1728"/>
            <w:tcMar>
              <w:top w:w="100" w:type="dxa"/>
              <w:start w:w="110" w:type="dxa"/>
              <w:bottom w:w="100" w:type="dxa"/>
              <w:end w:w="110" w:type="dxa"/>
            </w:tcMar>
            <w:vAlign w:val="center"/>
          </w:tcPr>
          <w:p>
            <w:pPr>
              <w:spacing w:after="0" w:line="252" w:lineRule="auto"/>
            </w:pPr>
            <w:r>
              <w:rPr>
                <w:sz w:val="18"/>
              </w:rPr>
              <w:t>Online</w:t>
            </w:r>
          </w:p>
        </w:tc>
        <w:tc>
          <w:tcPr>
            <w:tcW w:type="dxa" w:w="5400"/>
            <w:tcMar>
              <w:top w:w="100" w:type="dxa"/>
              <w:start w:w="110" w:type="dxa"/>
              <w:bottom w:w="100" w:type="dxa"/>
              <w:end w:w="110" w:type="dxa"/>
            </w:tcMar>
            <w:vAlign w:val="center"/>
          </w:tcPr>
          <w:p>
            <w:pPr>
              <w:spacing w:after="0" w:line="252" w:lineRule="auto"/>
            </w:pPr>
            <w:r>
              <w:rPr>
                <w:sz w:val="18"/>
              </w:rPr>
              <w:t>Monitor connector health and certificate routing</w:t>
            </w:r>
          </w:p>
        </w:tc>
      </w:tr>
      <w:tr>
        <w:tc>
          <w:tcPr>
            <w:tcW w:type="dxa" w:w="2952"/>
            <w:tcMar>
              <w:top w:w="100" w:type="dxa"/>
              <w:start w:w="110" w:type="dxa"/>
              <w:bottom w:w="100" w:type="dxa"/>
              <w:end w:w="110" w:type="dxa"/>
            </w:tcMar>
            <w:vAlign w:val="center"/>
            <w:shd w:fill="EEF4FA"/>
          </w:tcPr>
          <w:p>
            <w:pPr>
              <w:spacing w:after="0" w:line="252" w:lineRule="auto"/>
            </w:pPr>
            <w:r>
              <w:rPr>
                <w:sz w:val="18"/>
              </w:rPr>
              <w:t>Text ingestion</w:t>
            </w:r>
          </w:p>
        </w:tc>
        <w:tc>
          <w:tcPr>
            <w:tcW w:type="dxa" w:w="1728"/>
            <w:tcMar>
              <w:top w:w="100" w:type="dxa"/>
              <w:start w:w="110" w:type="dxa"/>
              <w:bottom w:w="100" w:type="dxa"/>
              <w:end w:w="110" w:type="dxa"/>
            </w:tcMar>
            <w:vAlign w:val="center"/>
            <w:shd w:fill="EEF4FA"/>
          </w:tcPr>
          <w:p>
            <w:pPr>
              <w:spacing w:after="0" w:line="252" w:lineRule="auto"/>
            </w:pPr>
            <w:r>
              <w:rPr>
                <w:sz w:val="18"/>
              </w:rPr>
              <w:t>Online</w:t>
            </w:r>
          </w:p>
        </w:tc>
        <w:tc>
          <w:tcPr>
            <w:tcW w:type="dxa" w:w="5400"/>
            <w:tcMar>
              <w:top w:w="100" w:type="dxa"/>
              <w:start w:w="110" w:type="dxa"/>
              <w:bottom w:w="100" w:type="dxa"/>
              <w:end w:w="110" w:type="dxa"/>
            </w:tcMar>
            <w:vAlign w:val="center"/>
            <w:shd w:fill="EEF4FA"/>
          </w:tcPr>
          <w:p>
            <w:pPr>
              <w:spacing w:after="0" w:line="252" w:lineRule="auto"/>
            </w:pPr>
            <w:r>
              <w:rPr>
                <w:sz w:val="18"/>
              </w:rPr>
              <w:t>Issue a scoped BlackGlass service token</w:t>
            </w:r>
          </w:p>
        </w:tc>
      </w:tr>
      <w:tr>
        <w:tc>
          <w:tcPr>
            <w:tcW w:type="dxa" w:w="2952"/>
            <w:tcMar>
              <w:top w:w="100" w:type="dxa"/>
              <w:start w:w="110" w:type="dxa"/>
              <w:bottom w:w="100" w:type="dxa"/>
              <w:end w:w="110" w:type="dxa"/>
            </w:tcMar>
            <w:vAlign w:val="center"/>
          </w:tcPr>
          <w:p>
            <w:pPr>
              <w:spacing w:after="0" w:line="252" w:lineRule="auto"/>
            </w:pPr>
            <w:r>
              <w:rPr>
                <w:sz w:val="18"/>
              </w:rPr>
              <w:t>Media ingestion</w:t>
            </w:r>
          </w:p>
        </w:tc>
        <w:tc>
          <w:tcPr>
            <w:tcW w:type="dxa" w:w="1728"/>
            <w:tcMar>
              <w:top w:w="100" w:type="dxa"/>
              <w:start w:w="110" w:type="dxa"/>
              <w:bottom w:w="100" w:type="dxa"/>
              <w:end w:w="110" w:type="dxa"/>
            </w:tcMar>
            <w:vAlign w:val="center"/>
          </w:tcPr>
          <w:p>
            <w:pPr>
              <w:spacing w:after="0" w:line="252" w:lineRule="auto"/>
            </w:pPr>
            <w:r>
              <w:rPr>
                <w:sz w:val="18"/>
              </w:rPr>
              <w:t>Online</w:t>
            </w:r>
          </w:p>
        </w:tc>
        <w:tc>
          <w:tcPr>
            <w:tcW w:type="dxa" w:w="5400"/>
            <w:tcMar>
              <w:top w:w="100" w:type="dxa"/>
              <w:start w:w="110" w:type="dxa"/>
              <w:bottom w:w="100" w:type="dxa"/>
              <w:end w:w="110" w:type="dxa"/>
            </w:tcMar>
            <w:vAlign w:val="center"/>
          </w:tcPr>
          <w:p>
            <w:pPr>
              <w:spacing w:after="0" w:line="252" w:lineRule="auto"/>
            </w:pPr>
            <w:r>
              <w:rPr>
                <w:sz w:val="18"/>
              </w:rPr>
              <w:t>Issue a scoped BlackGlass service token and test size limits</w:t>
            </w:r>
          </w:p>
        </w:tc>
      </w:tr>
      <w:tr>
        <w:tc>
          <w:tcPr>
            <w:tcW w:type="dxa" w:w="2952"/>
            <w:tcMar>
              <w:top w:w="100" w:type="dxa"/>
              <w:start w:w="110" w:type="dxa"/>
              <w:bottom w:w="100" w:type="dxa"/>
              <w:end w:w="110" w:type="dxa"/>
            </w:tcMar>
            <w:vAlign w:val="center"/>
            <w:shd w:fill="EEF4FA"/>
          </w:tcPr>
          <w:p>
            <w:pPr>
              <w:spacing w:after="0" w:line="252" w:lineRule="auto"/>
            </w:pPr>
            <w:r>
              <w:rPr>
                <w:sz w:val="18"/>
              </w:rPr>
              <w:t>Live frame route</w:t>
            </w:r>
          </w:p>
        </w:tc>
        <w:tc>
          <w:tcPr>
            <w:tcW w:type="dxa" w:w="1728"/>
            <w:tcMar>
              <w:top w:w="100" w:type="dxa"/>
              <w:start w:w="110" w:type="dxa"/>
              <w:bottom w:w="100" w:type="dxa"/>
              <w:end w:w="110" w:type="dxa"/>
            </w:tcMar>
            <w:vAlign w:val="center"/>
            <w:shd w:fill="EEF4FA"/>
          </w:tcPr>
          <w:p>
            <w:pPr>
              <w:spacing w:after="0" w:line="252" w:lineRule="auto"/>
            </w:pPr>
            <w:r>
              <w:rPr>
                <w:sz w:val="18"/>
              </w:rPr>
              <w:t>Online</w:t>
            </w:r>
          </w:p>
        </w:tc>
        <w:tc>
          <w:tcPr>
            <w:tcW w:type="dxa" w:w="5400"/>
            <w:tcMar>
              <w:top w:w="100" w:type="dxa"/>
              <w:start w:w="110" w:type="dxa"/>
              <w:bottom w:w="100" w:type="dxa"/>
              <w:end w:w="110" w:type="dxa"/>
            </w:tcMar>
            <w:vAlign w:val="center"/>
            <w:shd w:fill="EEF4FA"/>
          </w:tcPr>
          <w:p>
            <w:pPr>
              <w:spacing w:after="0" w:line="252" w:lineRule="auto"/>
            </w:pPr>
            <w:r>
              <w:rPr>
                <w:sz w:val="18"/>
              </w:rPr>
              <w:t>Test with representative camera frames and authorization</w:t>
            </w:r>
          </w:p>
        </w:tc>
      </w:tr>
      <w:tr>
        <w:tc>
          <w:tcPr>
            <w:tcW w:type="dxa" w:w="2952"/>
            <w:tcMar>
              <w:top w:w="100" w:type="dxa"/>
              <w:start w:w="110" w:type="dxa"/>
              <w:bottom w:w="100" w:type="dxa"/>
              <w:end w:w="110" w:type="dxa"/>
            </w:tcMar>
            <w:vAlign w:val="center"/>
          </w:tcPr>
          <w:p>
            <w:pPr>
              <w:spacing w:after="0" w:line="252" w:lineRule="auto"/>
            </w:pPr>
            <w:r>
              <w:rPr>
                <w:sz w:val="18"/>
              </w:rPr>
              <w:t>Unified evidence ingestion</w:t>
            </w:r>
          </w:p>
        </w:tc>
        <w:tc>
          <w:tcPr>
            <w:tcW w:type="dxa" w:w="1728"/>
            <w:tcMar>
              <w:top w:w="100" w:type="dxa"/>
              <w:start w:w="110" w:type="dxa"/>
              <w:bottom w:w="100" w:type="dxa"/>
              <w:end w:w="110" w:type="dxa"/>
            </w:tcMar>
            <w:vAlign w:val="center"/>
          </w:tcPr>
          <w:p>
            <w:pPr>
              <w:spacing w:after="0" w:line="252" w:lineRule="auto"/>
            </w:pPr>
            <w:r>
              <w:rPr>
                <w:sz w:val="18"/>
              </w:rPr>
              <w:t>Ready locally</w:t>
            </w:r>
          </w:p>
        </w:tc>
        <w:tc>
          <w:tcPr>
            <w:tcW w:type="dxa" w:w="5400"/>
            <w:tcMar>
              <w:top w:w="100" w:type="dxa"/>
              <w:start w:w="110" w:type="dxa"/>
              <w:bottom w:w="100" w:type="dxa"/>
              <w:end w:w="110" w:type="dxa"/>
            </w:tcMar>
            <w:vAlign w:val="center"/>
          </w:tcPr>
          <w:p>
            <w:pPr>
              <w:spacing w:after="0" w:line="252" w:lineRule="auto"/>
            </w:pPr>
            <w:r>
              <w:rPr>
                <w:sz w:val="18"/>
              </w:rPr>
              <w:t>Deploy the newer evidence API and database migration</w:t>
            </w:r>
          </w:p>
        </w:tc>
      </w:tr>
      <w:tr>
        <w:tc>
          <w:tcPr>
            <w:tcW w:type="dxa" w:w="2952"/>
            <w:tcMar>
              <w:top w:w="100" w:type="dxa"/>
              <w:start w:w="110" w:type="dxa"/>
              <w:bottom w:w="100" w:type="dxa"/>
              <w:end w:w="110" w:type="dxa"/>
            </w:tcMar>
            <w:vAlign w:val="center"/>
            <w:shd w:fill="EEF4FA"/>
          </w:tcPr>
          <w:p>
            <w:pPr>
              <w:spacing w:after="0" w:line="252" w:lineRule="auto"/>
            </w:pPr>
            <w:r>
              <w:rPr>
                <w:sz w:val="18"/>
              </w:rPr>
              <w:t>Evidence analysis worker</w:t>
            </w:r>
          </w:p>
        </w:tc>
        <w:tc>
          <w:tcPr>
            <w:tcW w:type="dxa" w:w="1728"/>
            <w:tcMar>
              <w:top w:w="100" w:type="dxa"/>
              <w:start w:w="110" w:type="dxa"/>
              <w:bottom w:w="100" w:type="dxa"/>
              <w:end w:w="110" w:type="dxa"/>
            </w:tcMar>
            <w:vAlign w:val="center"/>
            <w:shd w:fill="EEF4FA"/>
          </w:tcPr>
          <w:p>
            <w:pPr>
              <w:spacing w:after="0" w:line="252" w:lineRule="auto"/>
            </w:pPr>
            <w:r>
              <w:rPr>
                <w:sz w:val="18"/>
              </w:rPr>
              <w:t>Ready locally</w:t>
            </w:r>
          </w:p>
        </w:tc>
        <w:tc>
          <w:tcPr>
            <w:tcW w:type="dxa" w:w="5400"/>
            <w:tcMar>
              <w:top w:w="100" w:type="dxa"/>
              <w:start w:w="110" w:type="dxa"/>
              <w:bottom w:w="100" w:type="dxa"/>
              <w:end w:w="110" w:type="dxa"/>
            </w:tcMar>
            <w:vAlign w:val="center"/>
            <w:shd w:fill="EEF4FA"/>
          </w:tcPr>
          <w:p>
            <w:pPr>
              <w:spacing w:after="0" w:line="252" w:lineRule="auto"/>
            </w:pPr>
            <w:r>
              <w:rPr>
                <w:sz w:val="18"/>
              </w:rPr>
              <w:t>Deploy and start the explicit evidence worker profile</w:t>
            </w:r>
          </w:p>
        </w:tc>
      </w:tr>
      <w:tr>
        <w:tc>
          <w:tcPr>
            <w:tcW w:type="dxa" w:w="2952"/>
            <w:tcMar>
              <w:top w:w="100" w:type="dxa"/>
              <w:start w:w="110" w:type="dxa"/>
              <w:bottom w:w="100" w:type="dxa"/>
              <w:end w:w="110" w:type="dxa"/>
            </w:tcMar>
            <w:vAlign w:val="center"/>
          </w:tcPr>
          <w:p>
            <w:pPr>
              <w:spacing w:after="0" w:line="252" w:lineRule="auto"/>
            </w:pPr>
            <w:r>
              <w:rPr>
                <w:sz w:val="18"/>
              </w:rPr>
              <w:t>Result replay API</w:t>
            </w:r>
          </w:p>
        </w:tc>
        <w:tc>
          <w:tcPr>
            <w:tcW w:type="dxa" w:w="1728"/>
            <w:tcMar>
              <w:top w:w="100" w:type="dxa"/>
              <w:start w:w="110" w:type="dxa"/>
              <w:bottom w:w="100" w:type="dxa"/>
              <w:end w:w="110" w:type="dxa"/>
            </w:tcMar>
            <w:vAlign w:val="center"/>
          </w:tcPr>
          <w:p>
            <w:pPr>
              <w:spacing w:after="0" w:line="252" w:lineRule="auto"/>
            </w:pPr>
            <w:r>
              <w:rPr>
                <w:sz w:val="18"/>
              </w:rPr>
              <w:t>Ready locally</w:t>
            </w:r>
          </w:p>
        </w:tc>
        <w:tc>
          <w:tcPr>
            <w:tcW w:type="dxa" w:w="5400"/>
            <w:tcMar>
              <w:top w:w="100" w:type="dxa"/>
              <w:start w:w="110" w:type="dxa"/>
              <w:bottom w:w="100" w:type="dxa"/>
              <w:end w:w="110" w:type="dxa"/>
            </w:tcMar>
            <w:vAlign w:val="center"/>
          </w:tcPr>
          <w:p>
            <w:pPr>
              <w:spacing w:after="0" w:line="252" w:lineRule="auto"/>
            </w:pPr>
            <w:r>
              <w:rPr>
                <w:sz w:val="18"/>
              </w:rPr>
              <w:t>Deploy and expose only the exact owner-scoped routes</w:t>
            </w:r>
          </w:p>
        </w:tc>
      </w:tr>
      <w:tr>
        <w:tc>
          <w:tcPr>
            <w:tcW w:type="dxa" w:w="2952"/>
            <w:tcMar>
              <w:top w:w="100" w:type="dxa"/>
              <w:start w:w="110" w:type="dxa"/>
              <w:bottom w:w="100" w:type="dxa"/>
              <w:end w:w="110" w:type="dxa"/>
            </w:tcMar>
            <w:vAlign w:val="center"/>
            <w:shd w:fill="EEF4FA"/>
          </w:tcPr>
          <w:p>
            <w:pPr>
              <w:spacing w:after="0" w:line="252" w:lineRule="auto"/>
            </w:pPr>
            <w:r>
              <w:rPr>
                <w:sz w:val="18"/>
              </w:rPr>
              <w:t>Automatic webhook delivery</w:t>
            </w:r>
          </w:p>
        </w:tc>
        <w:tc>
          <w:tcPr>
            <w:tcW w:type="dxa" w:w="1728"/>
            <w:tcMar>
              <w:top w:w="100" w:type="dxa"/>
              <w:start w:w="110" w:type="dxa"/>
              <w:bottom w:w="100" w:type="dxa"/>
              <w:end w:w="110" w:type="dxa"/>
            </w:tcMar>
            <w:vAlign w:val="center"/>
            <w:shd w:fill="EEF4FA"/>
          </w:tcPr>
          <w:p>
            <w:pPr>
              <w:spacing w:after="0" w:line="252" w:lineRule="auto"/>
            </w:pPr>
            <w:r>
              <w:rPr>
                <w:sz w:val="18"/>
              </w:rPr>
              <w:t>Not active</w:t>
            </w:r>
          </w:p>
        </w:tc>
        <w:tc>
          <w:tcPr>
            <w:tcW w:type="dxa" w:w="5400"/>
            <w:tcMar>
              <w:top w:w="100" w:type="dxa"/>
              <w:start w:w="110" w:type="dxa"/>
              <w:bottom w:w="100" w:type="dxa"/>
              <w:end w:w="110" w:type="dxa"/>
            </w:tcMar>
            <w:vAlign w:val="center"/>
            <w:shd w:fill="EEF4FA"/>
          </w:tcPr>
          <w:p>
            <w:pPr>
              <w:spacing w:after="0" w:line="252" w:lineRule="auto"/>
            </w:pPr>
            <w:r>
              <w:rPr>
                <w:sz w:val="18"/>
              </w:rPr>
              <w:t>Obtain BlackGlass receiver URL and token, then enable delivery</w:t>
            </w:r>
          </w:p>
        </w:tc>
      </w:tr>
      <w:tr>
        <w:tc>
          <w:tcPr>
            <w:tcW w:type="dxa" w:w="2952"/>
            <w:tcMar>
              <w:top w:w="100" w:type="dxa"/>
              <w:start w:w="110" w:type="dxa"/>
              <w:bottom w:w="100" w:type="dxa"/>
              <w:end w:w="110" w:type="dxa"/>
            </w:tcMar>
            <w:vAlign w:val="center"/>
          </w:tcPr>
          <w:p>
            <w:pPr>
              <w:spacing w:after="0" w:line="252" w:lineRule="auto"/>
            </w:pPr>
            <w:r>
              <w:rPr>
                <w:sz w:val="18"/>
              </w:rPr>
              <w:t>Cloudflare Access</w:t>
            </w:r>
          </w:p>
        </w:tc>
        <w:tc>
          <w:tcPr>
            <w:tcW w:type="dxa" w:w="1728"/>
            <w:tcMar>
              <w:top w:w="100" w:type="dxa"/>
              <w:start w:w="110" w:type="dxa"/>
              <w:bottom w:w="100" w:type="dxa"/>
              <w:end w:w="110" w:type="dxa"/>
            </w:tcMar>
            <w:vAlign w:val="center"/>
          </w:tcPr>
          <w:p>
            <w:pPr>
              <w:spacing w:after="0" w:line="252" w:lineRule="auto"/>
            </w:pPr>
            <w:r>
              <w:rPr>
                <w:sz w:val="18"/>
              </w:rPr>
              <w:t>Not active</w:t>
            </w:r>
          </w:p>
        </w:tc>
        <w:tc>
          <w:tcPr>
            <w:tcW w:type="dxa" w:w="5400"/>
            <w:tcMar>
              <w:top w:w="100" w:type="dxa"/>
              <w:start w:w="110" w:type="dxa"/>
              <w:bottom w:w="100" w:type="dxa"/>
              <w:end w:w="110" w:type="dxa"/>
            </w:tcMar>
            <w:vAlign w:val="center"/>
          </w:tcPr>
          <w:p>
            <w:pPr>
              <w:spacing w:after="0" w:line="252" w:lineRule="auto"/>
            </w:pPr>
            <w:r>
              <w:rPr>
                <w:sz w:val="18"/>
              </w:rPr>
              <w:t>Optional second machine-authentication layer requires Cloudflare Access write permission</w:t>
            </w:r>
          </w:p>
        </w:tc>
      </w:tr>
      <w:tr>
        <w:tc>
          <w:tcPr>
            <w:tcW w:type="dxa" w:w="2952"/>
            <w:tcMar>
              <w:top w:w="100" w:type="dxa"/>
              <w:start w:w="110" w:type="dxa"/>
              <w:bottom w:w="100" w:type="dxa"/>
              <w:end w:w="110" w:type="dxa"/>
            </w:tcMar>
            <w:vAlign w:val="center"/>
            <w:shd w:fill="EEF4FA"/>
          </w:tcPr>
          <w:p>
            <w:pPr>
              <w:spacing w:after="0" w:line="252" w:lineRule="auto"/>
            </w:pPr>
            <w:r>
              <w:rPr>
                <w:sz w:val="18"/>
              </w:rPr>
              <w:t>Language quality release</w:t>
            </w:r>
          </w:p>
        </w:tc>
        <w:tc>
          <w:tcPr>
            <w:tcW w:type="dxa" w:w="1728"/>
            <w:tcMar>
              <w:top w:w="100" w:type="dxa"/>
              <w:start w:w="110" w:type="dxa"/>
              <w:bottom w:w="100" w:type="dxa"/>
              <w:end w:w="110" w:type="dxa"/>
            </w:tcMar>
            <w:vAlign w:val="center"/>
            <w:shd w:fill="EEF4FA"/>
          </w:tcPr>
          <w:p>
            <w:pPr>
              <w:spacing w:after="0" w:line="252" w:lineRule="auto"/>
            </w:pPr>
            <w:r>
              <w:rPr>
                <w:sz w:val="18"/>
              </w:rPr>
              <w:t>Not signed off</w:t>
            </w:r>
          </w:p>
        </w:tc>
        <w:tc>
          <w:tcPr>
            <w:tcW w:type="dxa" w:w="5400"/>
            <w:tcMar>
              <w:top w:w="100" w:type="dxa"/>
              <w:start w:w="110" w:type="dxa"/>
              <w:bottom w:w="100" w:type="dxa"/>
              <w:end w:w="110" w:type="dxa"/>
            </w:tcMar>
            <w:vAlign w:val="center"/>
            <w:shd w:fill="EEF4FA"/>
          </w:tcPr>
          <w:p>
            <w:pPr>
              <w:spacing w:after="0" w:line="252" w:lineRule="auto"/>
            </w:pPr>
            <w:r>
              <w:rPr>
                <w:sz w:val="18"/>
              </w:rPr>
              <w:t>Validate reviewed Dhivehi, English, Latin Dhivehi, and mixed samples</w:t>
            </w:r>
          </w:p>
        </w:tc>
      </w:tr>
    </w:tbl>
    <w:p>
      <w:pPr>
        <w:spacing w:after="40"/>
      </w:pPr>
    </w:p>
    <w:p>
      <w:pPr>
        <w:pStyle w:val="Heading1"/>
      </w:pPr>
      <w:r>
        <w:t>Information BlackGlass Must Provide</w:t>
      </w:r>
    </w:p>
    <w:p>
      <w:pPr>
        <w:pStyle w:val="ListBullet"/>
      </w:pPr>
      <w:r>
        <w:t>The exact HTTPS result receiver URL.</w:t>
      </w:r>
    </w:p>
    <w:p>
      <w:pPr>
        <w:pStyle w:val="ListBullet"/>
      </w:pPr>
      <w:r>
        <w:t>A receiver bearer token stored as a server secret.</w:t>
      </w:r>
    </w:p>
    <w:p>
      <w:pPr>
        <w:pStyle w:val="ListBullet"/>
      </w:pPr>
      <w:r>
        <w:t>Confirmation that the receiver validates Idempotency-Key and returns the required JSON acknowledgement.</w:t>
      </w:r>
    </w:p>
    <w:p>
      <w:pPr>
        <w:pStyle w:val="ListBullet"/>
      </w:pPr>
      <w:r>
        <w:t>The stable BlackGlass service identity that will own submitted analyses.</w:t>
      </w:r>
    </w:p>
    <w:p>
      <w:pPr>
        <w:pStyle w:val="ListBullet"/>
      </w:pPr>
      <w:r>
        <w:t>Expected source object types, maximum file sizes, volume, and delivery concurrency.</w:t>
      </w:r>
    </w:p>
    <w:p>
      <w:pPr>
        <w:pStyle w:val="ListBullet"/>
      </w:pPr>
      <w:r>
        <w:t>The mapping from report_request_id and subject IDs to BlackGlass reports and profiles.</w:t>
      </w:r>
    </w:p>
    <w:p>
      <w:pPr>
        <w:pStyle w:val="ListBullet"/>
      </w:pPr>
      <w:r>
        <w:t>Representative authorized test records for Dhivehi, English, mixed text, images, audio, and video.</w:t>
      </w:r>
    </w:p>
    <w:p>
      <w:pPr>
        <w:pStyle w:val="Heading1"/>
      </w:pPr>
      <w:r>
        <w:t>Production Acceptance Checklist</w:t>
      </w:r>
    </w:p>
    <w:p>
      <w:pPr>
        <w:pStyle w:val="ListBullet"/>
      </w:pPr>
      <w:r>
        <w:t>Confirm the service token has language, media:write, and media:read only as required.</w:t>
      </w:r>
    </w:p>
    <w:p>
      <w:pPr>
        <w:pStyle w:val="ListBullet"/>
      </w:pPr>
      <w:r>
        <w:t>Test text, image, audio, video, and document ingestion with real BlackGlass identifiers.</w:t>
      </w:r>
    </w:p>
    <w:p>
      <w:pPr>
        <w:pStyle w:val="ListBullet"/>
      </w:pPr>
      <w:r>
        <w:t>Verify accepted and already_exists handling and durable sender cursor updates.</w:t>
      </w:r>
    </w:p>
    <w:p>
      <w:pPr>
        <w:pStyle w:val="ListBullet"/>
      </w:pPr>
      <w:r>
        <w:t>Deploy the newer evidence migration, API, analysis worker, and result replay route.</w:t>
      </w:r>
    </w:p>
    <w:p>
      <w:pPr>
        <w:pStyle w:val="ListBullet"/>
      </w:pPr>
      <w:r>
        <w:t>Complete an end-to-end result webhook test, including lost acknowledgement and duplicate replay.</w:t>
      </w:r>
    </w:p>
    <w:p>
      <w:pPr>
        <w:pStyle w:val="ListBullet"/>
      </w:pPr>
      <w:r>
        <w:t>Verify that BlackGlass links every finding to the correct source object and evidence locator.</w:t>
      </w:r>
    </w:p>
    <w:p>
      <w:pPr>
        <w:pStyle w:val="ListBullet"/>
      </w:pPr>
      <w:r>
        <w:t>Measure queue capacity, processing latency, storage growth, and retry behavior at the intended load.</w:t>
      </w:r>
    </w:p>
    <w:p>
      <w:pPr>
        <w:pStyle w:val="ListBullet"/>
      </w:pPr>
      <w:r>
        <w:t>Evaluate false identity matches and representative language accuracy before enabling unattended alerts.</w:t>
      </w:r>
    </w:p>
    <w:p>
      <w:pPr>
        <w:pStyle w:val="ListBullet"/>
      </w:pPr>
      <w:r>
        <w:t>Back up PostgreSQL and retained originals together and test restoration.</w:t>
      </w:r>
    </w:p>
    <w:p>
      <w:pPr>
        <w:pStyle w:val="Heading1"/>
      </w:pPr>
      <w:r>
        <w:t>Contact Values for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384"/>
            <w:shd w:fill="17365D"/>
            <w:tcMar>
              <w:top w:w="100" w:type="dxa"/>
              <w:start w:w="110" w:type="dxa"/>
              <w:bottom w:w="100" w:type="dxa"/>
              <w:end w:w="110" w:type="dxa"/>
            </w:tcMar>
            <w:vAlign w:val="center"/>
          </w:tcPr>
          <w:p>
            <w:r>
              <w:rPr>
                <w:b/>
                <w:color w:val="FFFFFF"/>
                <w:sz w:val="19"/>
              </w:rPr>
              <w:t>Setting</w:t>
            </w:r>
          </w:p>
        </w:tc>
        <w:tc>
          <w:tcPr>
            <w:tcW w:type="dxa" w:w="6696"/>
            <w:shd w:fill="17365D"/>
            <w:tcMar>
              <w:top w:w="100" w:type="dxa"/>
              <w:start w:w="110" w:type="dxa"/>
              <w:bottom w:w="100" w:type="dxa"/>
              <w:end w:w="110" w:type="dxa"/>
            </w:tcMar>
            <w:vAlign w:val="center"/>
          </w:tcPr>
          <w:p>
            <w:r>
              <w:rPr>
                <w:b/>
                <w:color w:val="FFFFFF"/>
                <w:sz w:val="19"/>
              </w:rPr>
              <w:t>Value</w:t>
            </w:r>
          </w:p>
        </w:tc>
      </w:tr>
      <w:tr>
        <w:tc>
          <w:tcPr>
            <w:tcW w:type="dxa" w:w="3384"/>
            <w:tcMar>
              <w:top w:w="100" w:type="dxa"/>
              <w:start w:w="110" w:type="dxa"/>
              <w:bottom w:w="100" w:type="dxa"/>
              <w:end w:w="110" w:type="dxa"/>
            </w:tcMar>
            <w:vAlign w:val="center"/>
          </w:tcPr>
          <w:p>
            <w:pPr>
              <w:spacing w:after="0" w:line="252" w:lineRule="auto"/>
            </w:pPr>
            <w:r>
              <w:rPr>
                <w:sz w:val="18"/>
              </w:rPr>
              <w:t>EagleEye public base URL</w:t>
            </w:r>
          </w:p>
        </w:tc>
        <w:tc>
          <w:tcPr>
            <w:tcW w:type="dxa" w:w="6696"/>
            <w:tcMar>
              <w:top w:w="100" w:type="dxa"/>
              <w:start w:w="110" w:type="dxa"/>
              <w:bottom w:w="100" w:type="dxa"/>
              <w:end w:w="110" w:type="dxa"/>
            </w:tcMar>
            <w:vAlign w:val="center"/>
          </w:tcPr>
          <w:p>
            <w:pPr>
              <w:spacing w:after="0" w:line="252" w:lineRule="auto"/>
            </w:pPr>
            <w:r>
              <w:rPr>
                <w:sz w:val="18"/>
              </w:rPr>
              <w:t>https://api.staticdev.xyz</w:t>
            </w:r>
          </w:p>
        </w:tc>
      </w:tr>
      <w:tr>
        <w:tc>
          <w:tcPr>
            <w:tcW w:type="dxa" w:w="3384"/>
            <w:tcMar>
              <w:top w:w="100" w:type="dxa"/>
              <w:start w:w="110" w:type="dxa"/>
              <w:bottom w:w="100" w:type="dxa"/>
              <w:end w:w="110" w:type="dxa"/>
            </w:tcMar>
            <w:vAlign w:val="center"/>
            <w:shd w:fill="EEF4FA"/>
          </w:tcPr>
          <w:p>
            <w:pPr>
              <w:spacing w:after="0" w:line="252" w:lineRule="auto"/>
            </w:pPr>
            <w:r>
              <w:rPr>
                <w:sz w:val="18"/>
              </w:rPr>
              <w:t>EagleEye service token</w:t>
            </w:r>
          </w:p>
        </w:tc>
        <w:tc>
          <w:tcPr>
            <w:tcW w:type="dxa" w:w="6696"/>
            <w:tcMar>
              <w:top w:w="100" w:type="dxa"/>
              <w:start w:w="110" w:type="dxa"/>
              <w:bottom w:w="100" w:type="dxa"/>
              <w:end w:w="110" w:type="dxa"/>
            </w:tcMar>
            <w:vAlign w:val="center"/>
            <w:shd w:fill="EEF4FA"/>
          </w:tcPr>
          <w:p>
            <w:pPr>
              <w:spacing w:after="0" w:line="252" w:lineRule="auto"/>
            </w:pPr>
            <w:r>
              <w:rPr>
                <w:sz w:val="18"/>
              </w:rPr>
              <w:t>Exchange securely outside this document</w:t>
            </w:r>
          </w:p>
        </w:tc>
      </w:tr>
      <w:tr>
        <w:tc>
          <w:tcPr>
            <w:tcW w:type="dxa" w:w="3384"/>
            <w:tcMar>
              <w:top w:w="100" w:type="dxa"/>
              <w:start w:w="110" w:type="dxa"/>
              <w:bottom w:w="100" w:type="dxa"/>
              <w:end w:w="110" w:type="dxa"/>
            </w:tcMar>
            <w:vAlign w:val="center"/>
          </w:tcPr>
          <w:p>
            <w:pPr>
              <w:spacing w:after="0" w:line="252" w:lineRule="auto"/>
            </w:pPr>
            <w:r>
              <w:rPr>
                <w:sz w:val="18"/>
              </w:rPr>
              <w:t>BlackGlass result receiver URL</w:t>
            </w:r>
          </w:p>
        </w:tc>
        <w:tc>
          <w:tcPr>
            <w:tcW w:type="dxa" w:w="6696"/>
            <w:tcMar>
              <w:top w:w="100" w:type="dxa"/>
              <w:start w:w="110" w:type="dxa"/>
              <w:bottom w:w="100" w:type="dxa"/>
              <w:end w:w="110" w:type="dxa"/>
            </w:tcMar>
            <w:vAlign w:val="center"/>
          </w:tcPr>
          <w:p>
            <w:pPr>
              <w:spacing w:after="0" w:line="252" w:lineRule="auto"/>
            </w:pPr>
            <w:r>
              <w:rPr>
                <w:sz w:val="18"/>
              </w:rPr>
              <w:t>To be provided by BlackGlass</w:t>
            </w:r>
          </w:p>
        </w:tc>
      </w:tr>
      <w:tr>
        <w:tc>
          <w:tcPr>
            <w:tcW w:type="dxa" w:w="3384"/>
            <w:tcMar>
              <w:top w:w="100" w:type="dxa"/>
              <w:start w:w="110" w:type="dxa"/>
              <w:bottom w:w="100" w:type="dxa"/>
              <w:end w:w="110" w:type="dxa"/>
            </w:tcMar>
            <w:vAlign w:val="center"/>
            <w:shd w:fill="EEF4FA"/>
          </w:tcPr>
          <w:p>
            <w:pPr>
              <w:spacing w:after="0" w:line="252" w:lineRule="auto"/>
            </w:pPr>
            <w:r>
              <w:rPr>
                <w:sz w:val="18"/>
              </w:rPr>
              <w:t>BlackGlass receiver token</w:t>
            </w:r>
          </w:p>
        </w:tc>
        <w:tc>
          <w:tcPr>
            <w:tcW w:type="dxa" w:w="6696"/>
            <w:tcMar>
              <w:top w:w="100" w:type="dxa"/>
              <w:start w:w="110" w:type="dxa"/>
              <w:bottom w:w="100" w:type="dxa"/>
              <w:end w:w="110" w:type="dxa"/>
            </w:tcMar>
            <w:vAlign w:val="center"/>
            <w:shd w:fill="EEF4FA"/>
          </w:tcPr>
          <w:p>
            <w:pPr>
              <w:spacing w:after="0" w:line="252" w:lineRule="auto"/>
            </w:pPr>
            <w:r>
              <w:rPr>
                <w:sz w:val="18"/>
              </w:rPr>
              <w:t>Exchange securely outside this document</w:t>
            </w:r>
          </w:p>
        </w:tc>
      </w:tr>
      <w:tr>
        <w:tc>
          <w:tcPr>
            <w:tcW w:type="dxa" w:w="3384"/>
            <w:tcMar>
              <w:top w:w="100" w:type="dxa"/>
              <w:start w:w="110" w:type="dxa"/>
              <w:bottom w:w="100" w:type="dxa"/>
              <w:end w:w="110" w:type="dxa"/>
            </w:tcMar>
            <w:vAlign w:val="center"/>
          </w:tcPr>
          <w:p>
            <w:pPr>
              <w:spacing w:after="0" w:line="252" w:lineRule="auto"/>
            </w:pPr>
            <w:r>
              <w:rPr>
                <w:sz w:val="18"/>
              </w:rPr>
              <w:t>Contract version</w:t>
            </w:r>
          </w:p>
        </w:tc>
        <w:tc>
          <w:tcPr>
            <w:tcW w:type="dxa" w:w="6696"/>
            <w:tcMar>
              <w:top w:w="100" w:type="dxa"/>
              <w:start w:w="110" w:type="dxa"/>
              <w:bottom w:w="100" w:type="dxa"/>
              <w:end w:w="110" w:type="dxa"/>
            </w:tcMar>
            <w:vAlign w:val="center"/>
          </w:tcPr>
          <w:p>
            <w:pPr>
              <w:spacing w:after="0" w:line="252" w:lineRule="auto"/>
            </w:pPr>
            <w:r>
              <w:rPr>
                <w:sz w:val="18"/>
              </w:rPr>
              <w:t>1.1</w:t>
            </w:r>
          </w:p>
        </w:tc>
      </w:tr>
    </w:tbl>
    <w:p>
      <w:pPr>
        <w:spacing w:after="40"/>
      </w:pP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EagleEye and BlackGlass API Integration Guide   |   16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EagleEye and BlackGlass API Integration Guide</dc:title>
  <dc:subject>Two way ingestion and cited analysis result delivery</dc:subject>
  <dc:creator>EagleEye Project</dc:creator>
  <cp:keywords>EagleEye, BlackGlass, API, ingestion, evidence, webhook</cp:keywords>
  <dc:description>generated by python-docx</dc:description>
  <cp:lastModifiedBy/>
  <cp:revision>1</cp:revision>
  <dcterms:created xsi:type="dcterms:W3CDTF">2013-12-23T23:15:00Z</dcterms:created>
  <dcterms:modified xsi:type="dcterms:W3CDTF">2013-12-23T23:15:00Z</dcterms:modified>
  <cp:category/>
</cp:coreProperties>
</file>