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C2D7A"/>
          <w:sz w:val="30"/>
          <w:szCs w:val="30"/>
        </w:rPr>
        <w:t xml:space="preserve">PAKISTAN CLIMATE PROJECT PIPELINE</w:t>
      </w:r>
    </w:p>
    <w:p>
      <w:pPr>
        <w:spacing w:after="60" w:before="100"/>
        <w:jc w:val="center"/>
      </w:pPr>
      <w:r>
        <w:rPr>
          <w:b/>
          <w:bCs/>
          <w:color w:val="17A4C2"/>
          <w:sz w:val="24"/>
          <w:szCs w:val="24"/>
        </w:rPr>
        <w:t xml:space="preserve">(PCPP) Digital Platform</w:t>
      </w:r>
    </w:p>
    <w:p>
      <w:pPr>
        <w:spacing w:after="500"/>
        <w:jc w:val="center"/>
      </w:pPr>
      <w:r>
        <w:rPr>
          <w:i/>
          <w:iCs/>
          <w:color w:val="64748B"/>
          <w:sz w:val="21"/>
          <w:szCs w:val="21"/>
        </w:rPr>
        <w:t xml:space="preserve">UI/UX Design &amp; End-to-End Workflow — Project Delivery Report</w:t>
      </w:r>
    </w:p>
    <w:p>
      <w:pPr>
        <w:spacing w:after="60" w:before="900"/>
        <w:jc w:val="center"/>
      </w:pPr>
      <w:r>
        <w:rPr>
          <w:color w:val="1F2937"/>
          <w:sz w:val="20"/>
          <w:szCs w:val="20"/>
        </w:rPr>
        <w:t xml:space="preserve">Prepared for: Client / Ministry Stakeholders</w:t>
      </w:r>
    </w:p>
    <w:p>
      <w:pPr>
        <w:spacing w:after="60"/>
        <w:jc w:val="center"/>
      </w:pPr>
      <w:r>
        <w:rPr>
          <w:color w:val="1F2937"/>
          <w:sz w:val="20"/>
          <w:szCs w:val="20"/>
        </w:rPr>
        <w:t xml:space="preserve">Prepared by: Project Design &amp; Development Team</w:t>
      </w:r>
    </w:p>
    <w:p>
      <w:pPr>
        <w:spacing w:after="60"/>
        <w:jc w:val="center"/>
      </w:pPr>
      <w:r>
        <w:rPr>
          <w:color w:val="1F2937"/>
          <w:sz w:val="20"/>
          <w:szCs w:val="20"/>
        </w:rPr>
        <w:t xml:space="preserve">Document type: Final UI/UX &amp; Workflow Report</w:t>
      </w:r>
    </w:p>
    <w:p>
      <w:pPr>
        <w:spacing w:after="900"/>
        <w:jc w:val="center"/>
      </w:pPr>
      <w:r>
        <w:rPr>
          <w:color w:val="1F2937"/>
          <w:sz w:val="20"/>
          <w:szCs w:val="20"/>
        </w:rPr>
        <w:t xml:space="preserve">Date: August 2026</w:t>
      </w:r>
    </w:p>
    <w:p>
      <w:r>
        <w:br w:type="page"/>
      </w:r>
    </w:p>
    <w:p>
      <w:pPr>
        <w:pStyle w:val="Heading1"/>
        <w:spacing w:after="200" w:before="400"/>
      </w:pPr>
      <w:r>
        <w:t xml:space="preserve">Table of Contents</w:t>
      </w:r>
    </w:p>
    <w:p>
      <w:pPr>
        <w:spacing w:after="160"/>
      </w:pPr>
      <w:r>
        <w:rPr>
          <w:b/>
          <w:bCs/>
          <w:color w:val="1C2D7A"/>
          <w:sz w:val="21"/>
          <w:szCs w:val="21"/>
        </w:rPr>
        <w:t xml:space="preserve">1. Executive Summary</w:t>
      </w:r>
    </w:p>
    <w:p>
      <w:pPr>
        <w:spacing w:after="160"/>
      </w:pPr>
      <w:r>
        <w:rPr>
          <w:b/>
          <w:bCs/>
          <w:color w:val="1C2D7A"/>
          <w:sz w:val="21"/>
          <w:szCs w:val="21"/>
        </w:rPr>
        <w:t xml:space="preserve">2. Project Overview</w:t>
      </w:r>
    </w:p>
    <w:p>
      <w:pPr>
        <w:spacing w:after="160"/>
      </w:pPr>
      <w:r>
        <w:rPr>
          <w:b/>
          <w:bCs/>
          <w:color w:val="1C2D7A"/>
          <w:sz w:val="21"/>
          <w:szCs w:val="21"/>
        </w:rPr>
        <w:t xml:space="preserve">3. User Roles &amp; Permissions</w:t>
      </w:r>
    </w:p>
    <w:p>
      <w:pPr>
        <w:spacing w:after="160"/>
      </w:pPr>
      <w:r>
        <w:rPr>
          <w:b/>
          <w:bCs/>
          <w:color w:val="1C2D7A"/>
          <w:sz w:val="21"/>
          <w:szCs w:val="21"/>
        </w:rPr>
        <w:t xml:space="preserve">4. Platform Information Architecture</w:t>
      </w:r>
    </w:p>
    <w:p>
      <w:pPr>
        <w:spacing w:after="160"/>
      </w:pPr>
      <w:r>
        <w:rPr>
          <w:b/>
          <w:bCs/>
          <w:color w:val="1C2D7A"/>
          <w:sz w:val="21"/>
          <w:szCs w:val="21"/>
        </w:rPr>
        <w:t xml:space="preserve">5. Core Workflow 1 — Authentication &amp; Role Routing</w:t>
      </w:r>
    </w:p>
    <w:p>
      <w:pPr>
        <w:spacing w:after="160"/>
      </w:pPr>
      <w:r>
        <w:rPr>
          <w:b/>
          <w:bCs/>
          <w:color w:val="1C2D7A"/>
          <w:sz w:val="21"/>
          <w:szCs w:val="21"/>
        </w:rPr>
        <w:t xml:space="preserve">6. Core Workflow 2 — Project Submission (Provincial Focal Point)</w:t>
      </w:r>
    </w:p>
    <w:p>
      <w:pPr>
        <w:spacing w:after="160"/>
      </w:pPr>
      <w:r>
        <w:rPr>
          <w:b/>
          <w:bCs/>
          <w:color w:val="1C2D7A"/>
          <w:sz w:val="21"/>
          <w:szCs w:val="21"/>
        </w:rPr>
        <w:t xml:space="preserve">7. Core Workflow 3 — Ministry Review &amp; Decision</w:t>
      </w:r>
    </w:p>
    <w:p>
      <w:pPr>
        <w:spacing w:after="160"/>
      </w:pPr>
      <w:r>
        <w:rPr>
          <w:b/>
          <w:bCs/>
          <w:color w:val="1C2D7A"/>
          <w:sz w:val="21"/>
          <w:szCs w:val="21"/>
        </w:rPr>
        <w:t xml:space="preserve">8. Core Workflow 4 — Investor Engagement</w:t>
      </w:r>
    </w:p>
    <w:p>
      <w:pPr>
        <w:spacing w:after="160"/>
      </w:pPr>
      <w:r>
        <w:rPr>
          <w:b/>
          <w:bCs/>
          <w:color w:val="1C2D7A"/>
          <w:sz w:val="21"/>
          <w:szCs w:val="21"/>
        </w:rPr>
        <w:t xml:space="preserve">9. Core Workflow 5 — Progress Reporting After Approval</w:t>
      </w:r>
    </w:p>
    <w:p>
      <w:pPr>
        <w:spacing w:after="160"/>
      </w:pPr>
      <w:r>
        <w:rPr>
          <w:b/>
          <w:bCs/>
          <w:color w:val="1C2D7A"/>
          <w:sz w:val="21"/>
          <w:szCs w:val="21"/>
        </w:rPr>
        <w:t xml:space="preserve">10. Core Workflow 6 — Notifications</w:t>
      </w:r>
    </w:p>
    <w:p>
      <w:pPr>
        <w:spacing w:after="160"/>
      </w:pPr>
      <w:r>
        <w:rPr>
          <w:b/>
          <w:bCs/>
          <w:color w:val="1C2D7A"/>
          <w:sz w:val="21"/>
          <w:szCs w:val="21"/>
        </w:rPr>
        <w:t xml:space="preserve">11. Document &amp; Attachment Management</w:t>
      </w:r>
    </w:p>
    <w:p>
      <w:pPr>
        <w:spacing w:after="160"/>
      </w:pPr>
      <w:r>
        <w:rPr>
          <w:b/>
          <w:bCs/>
          <w:color w:val="1C2D7A"/>
          <w:sz w:val="21"/>
          <w:szCs w:val="21"/>
        </w:rPr>
        <w:t xml:space="preserve">12. Project Status Lifecycle</w:t>
      </w:r>
    </w:p>
    <w:p>
      <w:pPr>
        <w:spacing w:after="160"/>
      </w:pPr>
      <w:r>
        <w:rPr>
          <w:b/>
          <w:bCs/>
          <w:color w:val="1C2D7A"/>
          <w:sz w:val="21"/>
          <w:szCs w:val="21"/>
        </w:rPr>
        <w:t xml:space="preserve">13. Dashboard-by-Dashboard Feature Summary</w:t>
      </w:r>
    </w:p>
    <w:p>
      <w:pPr>
        <w:spacing w:after="160"/>
      </w:pPr>
      <w:r>
        <w:rPr>
          <w:b/>
          <w:bCs/>
          <w:color w:val="1C2D7A"/>
          <w:sz w:val="21"/>
          <w:szCs w:val="21"/>
        </w:rPr>
        <w:t xml:space="preserve">14. Data Captured Per Project</w:t>
      </w:r>
    </w:p>
    <w:p>
      <w:pPr>
        <w:spacing w:after="160"/>
      </w:pPr>
      <w:r>
        <w:rPr>
          <w:b/>
          <w:bCs/>
          <w:color w:val="1C2D7A"/>
          <w:sz w:val="21"/>
          <w:szCs w:val="21"/>
        </w:rPr>
        <w:t xml:space="preserve">15. UI/UX Design Principles Applied</w:t>
      </w:r>
    </w:p>
    <w:p>
      <w:pPr>
        <w:spacing w:after="160"/>
      </w:pPr>
      <w:r>
        <w:rPr>
          <w:b/>
          <w:bCs/>
          <w:color w:val="1C2D7A"/>
          <w:sz w:val="21"/>
          <w:szCs w:val="21"/>
        </w:rPr>
        <w:t xml:space="preserve">16. Conclusion &amp; Next Steps</w:t>
      </w:r>
    </w:p>
    <w:p>
      <w:r>
        <w:br w:type="page"/>
      </w:r>
    </w:p>
    <w:p>
      <w:pPr>
        <w:pStyle w:val="Heading1"/>
        <w:spacing w:after="200" w:before="400"/>
      </w:pPr>
      <w:r>
        <w:t xml:space="preserve">1. Executive Summary</w:t>
      </w:r>
    </w:p>
    <w:p>
      <w:pPr>
        <w:spacing w:after="160"/>
      </w:pPr>
      <w:r>
        <w:rPr>
          <w:color w:val="1F2937"/>
          <w:sz w:val="21"/>
          <w:szCs w:val="21"/>
        </w:rPr>
        <w:t xml:space="preserve">The Pakistan Climate Project Pipeline (PCPP) platform is a role-based web application that digitizes the full lifecycle of a provincial climate-resilience project — from initial drafting by a provincial focal point, through ministry review and approval, to publication in an investor-facing catalogue and ongoing progress reporting. This report documents the complete UI/UX design and the operational workflow implemented for the platform, including every user role, every screen-level interaction, the data captured at each stage, and the decision flows that move a project between statuses.</w:t>
      </w:r>
    </w:p>
    <w:p>
      <w:pPr>
        <w:spacing w:after="160"/>
      </w:pPr>
      <w:r>
        <w:rPr>
          <w:color w:val="1F2937"/>
          <w:sz w:val="21"/>
          <w:szCs w:val="21"/>
        </w:rPr>
        <w:t xml:space="preserve">The platform is built around four distinct role-based dashboards (Administrator, Reviewer, Provincial Focal Point, Investor), a shared project data model, a notification system, and a document/attachment trail that keeps every decision, comment, and piece of evidence auditable and downloadable.</w:t>
      </w:r>
    </w:p>
    <w:p>
      <w:pPr>
        <w:pStyle w:val="Heading1"/>
        <w:spacing w:after="200" w:before="400"/>
      </w:pPr>
      <w:r>
        <w:t xml:space="preserve">2. Project Overview</w:t>
      </w:r>
    </w:p>
    <w:p>
      <w:pPr>
        <w:spacing w:after="160"/>
      </w:pPr>
      <w:r>
        <w:rPr>
          <w:color w:val="1F2937"/>
          <w:sz w:val="21"/>
          <w:szCs w:val="21"/>
        </w:rPr>
        <w:t xml:space="preserve">The platform exists to close the gap between provinces that identify climate-resilience needs and the ministry/investor stakeholders who fund and approve them. Key capabilities include:</w:t>
      </w:r>
    </w:p>
    <w:p>
      <w:pPr>
        <w:pStyle w:val="ListParagraph"/>
        <w:numPr>
          <w:ilvl w:val="0"/>
          <w:numId w:val="1"/>
        </w:numPr>
        <w:spacing w:after="90"/>
      </w:pPr>
      <w:r>
        <w:rPr>
          <w:color w:val="1F2937"/>
          <w:sz w:val="21"/>
          <w:szCs w:val="21"/>
        </w:rPr>
        <w:t xml:space="preserve">A national pipeline of climate-resilience projects, organized by province, sector, and Water-Energy-Food (WEF) Nexus dimensions.</w:t>
      </w:r>
    </w:p>
    <w:p>
      <w:pPr>
        <w:pStyle w:val="ListParagraph"/>
        <w:numPr>
          <w:ilvl w:val="0"/>
          <w:numId w:val="1"/>
        </w:numPr>
        <w:spacing w:after="90"/>
      </w:pPr>
      <w:r>
        <w:rPr>
          <w:color w:val="1F2937"/>
          <w:sz w:val="21"/>
          <w:szCs w:val="21"/>
        </w:rPr>
        <w:t xml:space="preserve">A guided, save-anywhere submission wizard for provincial focal points to draft and submit projects.</w:t>
      </w:r>
    </w:p>
    <w:p>
      <w:pPr>
        <w:pStyle w:val="ListParagraph"/>
        <w:numPr>
          <w:ilvl w:val="0"/>
          <w:numId w:val="1"/>
        </w:numPr>
        <w:spacing w:after="90"/>
      </w:pPr>
      <w:r>
        <w:rPr>
          <w:color w:val="1F2937"/>
          <w:sz w:val="21"/>
          <w:szCs w:val="21"/>
        </w:rPr>
        <w:t xml:space="preserve">A ministry review queue where projects are approved, returned for revision, or commented on.</w:t>
      </w:r>
    </w:p>
    <w:p>
      <w:pPr>
        <w:pStyle w:val="ListParagraph"/>
        <w:numPr>
          <w:ilvl w:val="0"/>
          <w:numId w:val="1"/>
        </w:numPr>
        <w:spacing w:after="90"/>
      </w:pPr>
      <w:r>
        <w:rPr>
          <w:color w:val="1F2937"/>
          <w:sz w:val="21"/>
          <w:szCs w:val="21"/>
        </w:rPr>
        <w:t xml:space="preserve">An investor-facing catalogue of approved projects with save/interest/analytics features.</w:t>
      </w:r>
    </w:p>
    <w:p>
      <w:pPr>
        <w:pStyle w:val="ListParagraph"/>
        <w:numPr>
          <w:ilvl w:val="0"/>
          <w:numId w:val="1"/>
        </w:numPr>
        <w:spacing w:after="90"/>
      </w:pPr>
      <w:r>
        <w:rPr>
          <w:color w:val="1F2937"/>
          <w:sz w:val="21"/>
          <w:szCs w:val="21"/>
        </w:rPr>
        <w:t xml:space="preserve">A shared, role-agnostic project detail view showing full history, evidence, and attachments.</w:t>
      </w:r>
    </w:p>
    <w:p>
      <w:pPr>
        <w:pStyle w:val="ListParagraph"/>
        <w:numPr>
          <w:ilvl w:val="0"/>
          <w:numId w:val="1"/>
        </w:numPr>
        <w:spacing w:after="90"/>
      </w:pPr>
      <w:r>
        <w:rPr>
          <w:color w:val="1F2937"/>
          <w:sz w:val="21"/>
          <w:szCs w:val="21"/>
        </w:rPr>
        <w:t xml:space="preserve">A localized notification system that alerts the right role at the right time.</w:t>
      </w:r>
    </w:p>
    <w:p>
      <w:pPr>
        <w:pStyle w:val="Heading1"/>
        <w:spacing w:after="200" w:before="400"/>
      </w:pPr>
      <w:r>
        <w:t xml:space="preserve">3. User Roles &amp; Permissions</w:t>
      </w:r>
    </w:p>
    <w:p>
      <w:pPr>
        <w:spacing w:after="160"/>
      </w:pPr>
      <w:r>
        <w:rPr>
          <w:color w:val="1F2937"/>
          <w:sz w:val="21"/>
          <w:szCs w:val="21"/>
        </w:rPr>
        <w:t xml:space="preserve">Four roles share one data model but see different views and different actions, enforced both in navigation and in the available buttons/actions per screen.</w:t>
      </w:r>
    </w:p>
    <w:tbl>
      <w:tblPr>
        <w:tblW w:type="pct" w:w="100%"/>
        <w:tblBorders>
          <w:top w:val="single" w:color="D6DBE6" w:sz="4"/>
          <w:left w:val="single" w:color="D6DBE6" w:sz="4"/>
          <w:bottom w:val="single" w:color="D6DBE6" w:sz="4"/>
          <w:right w:val="single" w:color="D6DBE6" w:sz="4"/>
          <w:insideH w:val="single" w:color="D6DBE6" w:sz="4"/>
          <w:insideV w:val="single" w:color="D6DBE6" w:sz="4"/>
        </w:tblBorders>
      </w:tblPr>
      <w:tblGrid>
        <w:gridCol w:w="100"/>
        <w:gridCol w:w="100"/>
        <w:gridCol w:w="100"/>
        <w:gridCol w:w="100"/>
      </w:tblGrid>
      <w:tr>
        <w:trPr>
          <w:tblHeader/>
        </w:trPr>
        <w:tc>
          <w:tcPr>
            <w:shd w:fill="1C2D7A" w:color="auto" w:val="clear"/>
            <w:tcMar>
              <w:top w:type="dxa" w:w="100"/>
              <w:left w:type="dxa" w:w="120"/>
              <w:bottom w:type="dxa" w:w="100"/>
              <w:right w:type="dxa" w:w="120"/>
            </w:tcMar>
          </w:tcPr>
          <w:p>
            <w:r>
              <w:rPr>
                <w:b/>
                <w:bCs/>
                <w:color w:val="FFFFFF"/>
                <w:sz w:val="19"/>
                <w:szCs w:val="19"/>
              </w:rPr>
              <w:t xml:space="preserve">Role</w:t>
            </w:r>
          </w:p>
        </w:tc>
        <w:tc>
          <w:tcPr>
            <w:shd w:fill="1C2D7A" w:color="auto" w:val="clear"/>
            <w:tcMar>
              <w:top w:type="dxa" w:w="100"/>
              <w:left w:type="dxa" w:w="120"/>
              <w:bottom w:type="dxa" w:w="100"/>
              <w:right w:type="dxa" w:w="120"/>
            </w:tcMar>
          </w:tcPr>
          <w:p>
            <w:r>
              <w:rPr>
                <w:b/>
                <w:bCs/>
                <w:color w:val="FFFFFF"/>
                <w:sz w:val="19"/>
                <w:szCs w:val="19"/>
              </w:rPr>
              <w:t xml:space="preserve">Who they represent</w:t>
            </w:r>
          </w:p>
        </w:tc>
        <w:tc>
          <w:tcPr>
            <w:shd w:fill="1C2D7A" w:color="auto" w:val="clear"/>
            <w:tcMar>
              <w:top w:type="dxa" w:w="100"/>
              <w:left w:type="dxa" w:w="120"/>
              <w:bottom w:type="dxa" w:w="100"/>
              <w:right w:type="dxa" w:w="120"/>
            </w:tcMar>
          </w:tcPr>
          <w:p>
            <w:r>
              <w:rPr>
                <w:b/>
                <w:bCs/>
                <w:color w:val="FFFFFF"/>
                <w:sz w:val="19"/>
                <w:szCs w:val="19"/>
              </w:rPr>
              <w:t xml:space="preserve">Primary responsibilities</w:t>
            </w:r>
          </w:p>
        </w:tc>
        <w:tc>
          <w:tcPr>
            <w:shd w:fill="1C2D7A" w:color="auto" w:val="clear"/>
            <w:tcMar>
              <w:top w:type="dxa" w:w="100"/>
              <w:left w:type="dxa" w:w="120"/>
              <w:bottom w:type="dxa" w:w="100"/>
              <w:right w:type="dxa" w:w="120"/>
            </w:tcMar>
          </w:tcPr>
          <w:p>
            <w:r>
              <w:rPr>
                <w:b/>
                <w:bCs/>
                <w:color w:val="FFFFFF"/>
                <w:sz w:val="19"/>
                <w:szCs w:val="19"/>
              </w:rPr>
              <w:t xml:space="preserve">Access scope</w:t>
            </w:r>
          </w:p>
        </w:tc>
      </w:tr>
      <w:tr>
        <w:tc>
          <w:tcPr>
            <w:shd w:fill="FFFFFF" w:color="auto" w:val="clear"/>
            <w:tcMar>
              <w:top w:type="dxa" w:w="100"/>
              <w:left w:type="dxa" w:w="120"/>
              <w:bottom w:type="dxa" w:w="100"/>
              <w:right w:type="dxa" w:w="120"/>
            </w:tcMar>
          </w:tcPr>
          <w:p>
            <w:r>
              <w:rPr>
                <w:b/>
                <w:bCs/>
                <w:color w:val="1C2D7A"/>
                <w:sz w:val="19"/>
                <w:szCs w:val="19"/>
              </w:rPr>
              <w:t xml:space="preserve">Central Ministry Administrator (Admin)</w:t>
            </w:r>
          </w:p>
        </w:tc>
        <w:tc>
          <w:tcPr>
            <w:shd w:fill="FFFFFF" w:color="auto" w:val="clear"/>
            <w:tcMar>
              <w:top w:type="dxa" w:w="100"/>
              <w:left w:type="dxa" w:w="120"/>
              <w:bottom w:type="dxa" w:w="100"/>
              <w:right w:type="dxa" w:w="120"/>
            </w:tcMar>
          </w:tcPr>
          <w:p>
            <w:r>
              <w:rPr>
                <w:b w:val="false"/>
                <w:bCs w:val="false"/>
                <w:color w:val="1F2937"/>
                <w:sz w:val="19"/>
                <w:szCs w:val="19"/>
              </w:rPr>
              <w:t xml:space="preserve">Federal ministry staff with full authority</w:t>
            </w:r>
          </w:p>
        </w:tc>
        <w:tc>
          <w:tcPr>
            <w:shd w:fill="FFFFFF" w:color="auto" w:val="clear"/>
            <w:tcMar>
              <w:top w:type="dxa" w:w="100"/>
              <w:left w:type="dxa" w:w="120"/>
              <w:bottom w:type="dxa" w:w="100"/>
              <w:right w:type="dxa" w:w="120"/>
            </w:tcMar>
          </w:tcPr>
          <w:p>
            <w:r>
              <w:rPr>
                <w:b w:val="false"/>
                <w:bCs w:val="false"/>
                <w:color w:val="1F2937"/>
                <w:sz w:val="19"/>
                <w:szCs w:val="19"/>
              </w:rPr>
              <w:t xml:space="preserve">Reviews submitted projects; approves or returns them with comments; manages user accounts and roles; views national analytics and reports.</w:t>
            </w:r>
          </w:p>
        </w:tc>
        <w:tc>
          <w:tcPr>
            <w:shd w:fill="FFFFFF" w:color="auto" w:val="clear"/>
            <w:tcMar>
              <w:top w:type="dxa" w:w="100"/>
              <w:left w:type="dxa" w:w="120"/>
              <w:bottom w:type="dxa" w:w="100"/>
              <w:right w:type="dxa" w:w="120"/>
            </w:tcMar>
          </w:tcPr>
          <w:p>
            <w:r>
              <w:rPr>
                <w:b w:val="false"/>
                <w:bCs w:val="false"/>
                <w:color w:val="1F2937"/>
                <w:sz w:val="19"/>
                <w:szCs w:val="19"/>
              </w:rPr>
              <w:t xml:space="preserve">Full, national — all provinces and all projects</w:t>
            </w:r>
          </w:p>
        </w:tc>
      </w:tr>
      <w:tr>
        <w:tc>
          <w:tcPr>
            <w:shd w:fill="F7F9FC" w:color="auto" w:val="clear"/>
            <w:tcMar>
              <w:top w:type="dxa" w:w="100"/>
              <w:left w:type="dxa" w:w="120"/>
              <w:bottom w:type="dxa" w:w="100"/>
              <w:right w:type="dxa" w:w="120"/>
            </w:tcMar>
          </w:tcPr>
          <w:p>
            <w:r>
              <w:rPr>
                <w:b/>
                <w:bCs/>
                <w:color w:val="1C2D7A"/>
                <w:sz w:val="19"/>
                <w:szCs w:val="19"/>
              </w:rPr>
              <w:t xml:space="preserve">Reviewer / Analyst</w:t>
            </w:r>
          </w:p>
        </w:tc>
        <w:tc>
          <w:tcPr>
            <w:shd w:fill="F7F9FC" w:color="auto" w:val="clear"/>
            <w:tcMar>
              <w:top w:type="dxa" w:w="100"/>
              <w:left w:type="dxa" w:w="120"/>
              <w:bottom w:type="dxa" w:w="100"/>
              <w:right w:type="dxa" w:w="120"/>
            </w:tcMar>
          </w:tcPr>
          <w:p>
            <w:r>
              <w:rPr>
                <w:b w:val="false"/>
                <w:bCs w:val="false"/>
                <w:color w:val="1F2937"/>
                <w:sz w:val="19"/>
                <w:szCs w:val="19"/>
              </w:rPr>
              <w:t xml:space="preserve">Ministry technical reviewer</w:t>
            </w:r>
          </w:p>
        </w:tc>
        <w:tc>
          <w:tcPr>
            <w:shd w:fill="F7F9FC" w:color="auto" w:val="clear"/>
            <w:tcMar>
              <w:top w:type="dxa" w:w="100"/>
              <w:left w:type="dxa" w:w="120"/>
              <w:bottom w:type="dxa" w:w="100"/>
              <w:right w:type="dxa" w:w="120"/>
            </w:tcMar>
          </w:tcPr>
          <w:p>
            <w:r>
              <w:rPr>
                <w:b w:val="false"/>
                <w:bCs w:val="false"/>
                <w:color w:val="1F2937"/>
                <w:sz w:val="19"/>
                <w:szCs w:val="19"/>
              </w:rPr>
              <w:t xml:space="preserve">Examines submissions in detail and leaves comments/attachments for the administrator. Cannot approve or return projects — read &amp; comment only.</w:t>
            </w:r>
          </w:p>
        </w:tc>
        <w:tc>
          <w:tcPr>
            <w:shd w:fill="F7F9FC" w:color="auto" w:val="clear"/>
            <w:tcMar>
              <w:top w:type="dxa" w:w="100"/>
              <w:left w:type="dxa" w:w="120"/>
              <w:bottom w:type="dxa" w:w="100"/>
              <w:right w:type="dxa" w:w="120"/>
            </w:tcMar>
          </w:tcPr>
          <w:p>
            <w:r>
              <w:rPr>
                <w:b w:val="false"/>
                <w:bCs w:val="false"/>
                <w:color w:val="1F2937"/>
                <w:sz w:val="19"/>
                <w:szCs w:val="19"/>
              </w:rPr>
              <w:t xml:space="preserve">Read/comment — national</w:t>
            </w:r>
          </w:p>
        </w:tc>
      </w:tr>
      <w:tr>
        <w:tc>
          <w:tcPr>
            <w:shd w:fill="FFFFFF" w:color="auto" w:val="clear"/>
            <w:tcMar>
              <w:top w:type="dxa" w:w="100"/>
              <w:left w:type="dxa" w:w="120"/>
              <w:bottom w:type="dxa" w:w="100"/>
              <w:right w:type="dxa" w:w="120"/>
            </w:tcMar>
          </w:tcPr>
          <w:p>
            <w:r>
              <w:rPr>
                <w:b/>
                <w:bCs/>
                <w:color w:val="1C2D7A"/>
                <w:sz w:val="19"/>
                <w:szCs w:val="19"/>
              </w:rPr>
              <w:t xml:space="preserve">Provincial Focal Point</w:t>
            </w:r>
          </w:p>
        </w:tc>
        <w:tc>
          <w:tcPr>
            <w:shd w:fill="FFFFFF" w:color="auto" w:val="clear"/>
            <w:tcMar>
              <w:top w:type="dxa" w:w="100"/>
              <w:left w:type="dxa" w:w="120"/>
              <w:bottom w:type="dxa" w:w="100"/>
              <w:right w:type="dxa" w:w="120"/>
            </w:tcMar>
          </w:tcPr>
          <w:p>
            <w:r>
              <w:rPr>
                <w:b w:val="false"/>
                <w:bCs w:val="false"/>
                <w:color w:val="1F2937"/>
                <w:sz w:val="19"/>
                <w:szCs w:val="19"/>
              </w:rPr>
              <w:t xml:space="preserve">Provincial government representative</w:t>
            </w:r>
          </w:p>
        </w:tc>
        <w:tc>
          <w:tcPr>
            <w:shd w:fill="FFFFFF" w:color="auto" w:val="clear"/>
            <w:tcMar>
              <w:top w:type="dxa" w:w="100"/>
              <w:left w:type="dxa" w:w="120"/>
              <w:bottom w:type="dxa" w:w="100"/>
              <w:right w:type="dxa" w:w="120"/>
            </w:tcMar>
          </w:tcPr>
          <w:p>
            <w:r>
              <w:rPr>
                <w:b w:val="false"/>
                <w:bCs w:val="false"/>
                <w:color w:val="1F2937"/>
                <w:sz w:val="19"/>
                <w:szCs w:val="19"/>
              </w:rPr>
              <w:t xml:space="preserve">Creates and edits project submissions (multi-step wizard), saves drafts at any stage, submits for ministry review, responds to investor interest, posts progress updates with evidence once approved.</w:t>
            </w:r>
          </w:p>
        </w:tc>
        <w:tc>
          <w:tcPr>
            <w:shd w:fill="FFFFFF" w:color="auto" w:val="clear"/>
            <w:tcMar>
              <w:top w:type="dxa" w:w="100"/>
              <w:left w:type="dxa" w:w="120"/>
              <w:bottom w:type="dxa" w:w="100"/>
              <w:right w:type="dxa" w:w="120"/>
            </w:tcMar>
          </w:tcPr>
          <w:p>
            <w:r>
              <w:rPr>
                <w:b w:val="false"/>
                <w:bCs w:val="false"/>
                <w:color w:val="1F2937"/>
                <w:sz w:val="19"/>
                <w:szCs w:val="19"/>
              </w:rPr>
              <w:t xml:space="preserve">Own province only</w:t>
            </w:r>
          </w:p>
        </w:tc>
      </w:tr>
      <w:tr>
        <w:tc>
          <w:tcPr>
            <w:shd w:fill="F7F9FC" w:color="auto" w:val="clear"/>
            <w:tcMar>
              <w:top w:type="dxa" w:w="100"/>
              <w:left w:type="dxa" w:w="120"/>
              <w:bottom w:type="dxa" w:w="100"/>
              <w:right w:type="dxa" w:w="120"/>
            </w:tcMar>
          </w:tcPr>
          <w:p>
            <w:r>
              <w:rPr>
                <w:b/>
                <w:bCs/>
                <w:color w:val="1C2D7A"/>
                <w:sz w:val="19"/>
                <w:szCs w:val="19"/>
              </w:rPr>
              <w:t xml:space="preserve">Investor</w:t>
            </w:r>
          </w:p>
        </w:tc>
        <w:tc>
          <w:tcPr>
            <w:shd w:fill="F7F9FC" w:color="auto" w:val="clear"/>
            <w:tcMar>
              <w:top w:type="dxa" w:w="100"/>
              <w:left w:type="dxa" w:w="120"/>
              <w:bottom w:type="dxa" w:w="100"/>
              <w:right w:type="dxa" w:w="120"/>
            </w:tcMar>
          </w:tcPr>
          <w:p>
            <w:r>
              <w:rPr>
                <w:b w:val="false"/>
                <w:bCs w:val="false"/>
                <w:color w:val="1F2937"/>
                <w:sz w:val="19"/>
                <w:szCs w:val="19"/>
              </w:rPr>
              <w:t xml:space="preserve">Private-sector or development investor</w:t>
            </w:r>
          </w:p>
        </w:tc>
        <w:tc>
          <w:tcPr>
            <w:shd w:fill="F7F9FC" w:color="auto" w:val="clear"/>
            <w:tcMar>
              <w:top w:type="dxa" w:w="100"/>
              <w:left w:type="dxa" w:w="120"/>
              <w:bottom w:type="dxa" w:w="100"/>
              <w:right w:type="dxa" w:w="120"/>
            </w:tcMar>
          </w:tcPr>
          <w:p>
            <w:r>
              <w:rPr>
                <w:b w:val="false"/>
                <w:bCs w:val="false"/>
                <w:color w:val="1F2937"/>
                <w:sz w:val="19"/>
                <w:szCs w:val="19"/>
              </w:rPr>
              <w:t xml:space="preserve">Browses the approved project catalogue, filters/searches projects, saves projects of interest, expresses interest with a message, tracks response status.</w:t>
            </w:r>
          </w:p>
        </w:tc>
        <w:tc>
          <w:tcPr>
            <w:shd w:fill="F7F9FC" w:color="auto" w:val="clear"/>
            <w:tcMar>
              <w:top w:type="dxa" w:w="100"/>
              <w:left w:type="dxa" w:w="120"/>
              <w:bottom w:type="dxa" w:w="100"/>
              <w:right w:type="dxa" w:w="120"/>
            </w:tcMar>
          </w:tcPr>
          <w:p>
            <w:r>
              <w:rPr>
                <w:b w:val="false"/>
                <w:bCs w:val="false"/>
                <w:color w:val="1F2937"/>
                <w:sz w:val="19"/>
                <w:szCs w:val="19"/>
              </w:rPr>
              <w:t xml:space="preserve">Approved catalogue only</w:t>
            </w:r>
          </w:p>
        </w:tc>
      </w:tr>
    </w:tbl>
    <w:p>
      <w:pPr>
        <w:spacing w:after="120"/>
      </w:pPr>
    </w:p>
    <w:p>
      <w:pPr>
        <w:pStyle w:val="Heading2"/>
        <w:spacing w:after="150" w:before="300"/>
      </w:pPr>
      <w:r>
        <w:t xml:space="preserve">3.1 Role relationship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17A4C2" w:sz="6"/>
              <w:left w:val="single" w:color="17A4C2" w:sz="6"/>
              <w:bottom w:val="single" w:color="17A4C2" w:sz="6"/>
              <w:right w:val="single" w:color="17A4C2"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PROVINCIAL FOCAL POINT
drafts &amp; submits projects</w:t>
            </w:r>
          </w:p>
        </w:tc>
        <w:tc>
          <w:tcPr>
            <w:tcW w:type="pct" w:w="17%"/>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submits for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1%"/>
            <w:tcBorders>
              <w:top w:val="single" w:color="FFFFFF" w:sz="6"/>
              <w:left w:val="single" w:color="FFFFFF" w:sz="6"/>
              <w:bottom w:val="single" w:color="FFFFFF" w:sz="6"/>
              <w:right w:val="single" w:color="FFFFFF" w:sz="6"/>
            </w:tcBorders>
          </w:tcPr>
          <w:p>
            <w:r>
              <w:t xml:space="preserve"/>
            </w:r>
          </w:p>
        </w:tc>
        <w:tc>
          <w:tcPr>
            <w:tcW w:type="pct" w:w="78%"/>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REVIEWER (comments)  +  ADMINISTRATOR (decides)
examine, comment, approve or return</w:t>
            </w:r>
          </w:p>
        </w:tc>
        <w:tc>
          <w:tcPr>
            <w:tcW w:type="pct" w:w="11%"/>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on approval, published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2F9E6D" w:sz="6"/>
              <w:left w:val="single" w:color="2F9E6D" w:sz="6"/>
              <w:bottom w:val="single" w:color="2F9E6D" w:sz="6"/>
              <w:right w:val="single" w:color="2F9E6D"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INVESTOR CATALOGUE
investors browse, save &amp; express interest</w:t>
            </w:r>
          </w:p>
        </w:tc>
        <w:tc>
          <w:tcPr>
            <w:tcW w:type="pct" w:w="17%"/>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interest routed back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17A4C2" w:sz="6"/>
              <w:left w:val="single" w:color="17A4C2" w:sz="6"/>
              <w:bottom w:val="single" w:color="17A4C2" w:sz="6"/>
              <w:right w:val="single" w:color="17A4C2"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PROVINCIAL FOCAL POINT
responds to interest &amp; posts progress updates</w:t>
            </w:r>
          </w:p>
        </w:tc>
        <w:tc>
          <w:tcPr>
            <w:tcW w:type="pct" w:w="17%"/>
            <w:tcBorders>
              <w:top w:val="single" w:color="FFFFFF" w:sz="6"/>
              <w:left w:val="single" w:color="FFFFFF" w:sz="6"/>
              <w:bottom w:val="single" w:color="FFFFFF" w:sz="6"/>
              <w:right w:val="single" w:color="FFFFFF" w:sz="6"/>
            </w:tcBorders>
          </w:tcPr>
          <w:p>
            <w:r>
              <w:t xml:space="preserve"/>
            </w:r>
          </w:p>
        </w:tc>
      </w:tr>
    </w:tbl>
    <w:p>
      <w:r>
        <w:br w:type="page"/>
      </w:r>
    </w:p>
    <w:p>
      <w:pPr>
        <w:pStyle w:val="Heading1"/>
        <w:spacing w:after="200" w:before="400"/>
      </w:pPr>
      <w:r>
        <w:t xml:space="preserve">4. Platform Information Architecture</w:t>
      </w:r>
    </w:p>
    <w:p>
      <w:pPr>
        <w:spacing w:after="160"/>
      </w:pPr>
      <w:r>
        <w:rPr>
          <w:color w:val="1F2937"/>
          <w:sz w:val="21"/>
          <w:szCs w:val="21"/>
        </w:rPr>
        <w:t xml:space="preserve">Each role lands on a dedicated dashboard shell with a persistent sidebar, top bar (notifications, logout, reset demo data) and role-specific navigation:</w:t>
      </w:r>
    </w:p>
    <w:p>
      <w:pPr>
        <w:pStyle w:val="Heading3"/>
        <w:spacing w:after="100" w:before="200"/>
      </w:pPr>
      <w:r>
        <w:t xml:space="preserve">Administrator / Reviewer navigation</w:t>
      </w:r>
    </w:p>
    <w:p>
      <w:pPr>
        <w:pStyle w:val="ListParagraph"/>
        <w:numPr>
          <w:ilvl w:val="0"/>
          <w:numId w:val="1"/>
        </w:numPr>
        <w:spacing w:after="90"/>
      </w:pPr>
      <w:r>
        <w:rPr>
          <w:color w:val="1F2937"/>
          <w:sz w:val="21"/>
          <w:szCs w:val="21"/>
        </w:rPr>
        <w:t xml:space="preserve">Executive Overview</w:t>
      </w:r>
    </w:p>
    <w:p>
      <w:pPr>
        <w:pStyle w:val="ListParagraph"/>
        <w:numPr>
          <w:ilvl w:val="0"/>
          <w:numId w:val="1"/>
        </w:numPr>
        <w:spacing w:after="90"/>
      </w:pPr>
      <w:r>
        <w:rPr>
          <w:color w:val="1F2937"/>
          <w:sz w:val="21"/>
          <w:szCs w:val="21"/>
        </w:rPr>
        <w:t xml:space="preserve">Project Review Queue (Review &amp; Comment for reviewers)</w:t>
      </w:r>
    </w:p>
    <w:p>
      <w:pPr>
        <w:pStyle w:val="ListParagraph"/>
        <w:numPr>
          <w:ilvl w:val="0"/>
          <w:numId w:val="1"/>
        </w:numPr>
        <w:spacing w:after="90"/>
      </w:pPr>
      <w:r>
        <w:rPr>
          <w:color w:val="1F2937"/>
          <w:sz w:val="21"/>
          <w:szCs w:val="21"/>
        </w:rPr>
        <w:t xml:space="preserve">Geography &amp; Provinces</w:t>
      </w:r>
    </w:p>
    <w:p>
      <w:pPr>
        <w:pStyle w:val="ListParagraph"/>
        <w:numPr>
          <w:ilvl w:val="0"/>
          <w:numId w:val="1"/>
        </w:numPr>
        <w:spacing w:after="90"/>
      </w:pPr>
      <w:r>
        <w:rPr>
          <w:color w:val="1F2937"/>
          <w:sz w:val="21"/>
          <w:szCs w:val="21"/>
        </w:rPr>
        <w:t xml:space="preserve">WEF Nexus</w:t>
      </w:r>
    </w:p>
    <w:p>
      <w:pPr>
        <w:pStyle w:val="ListParagraph"/>
        <w:numPr>
          <w:ilvl w:val="0"/>
          <w:numId w:val="1"/>
        </w:numPr>
        <w:spacing w:after="90"/>
      </w:pPr>
      <w:r>
        <w:rPr>
          <w:color w:val="1F2937"/>
          <w:sz w:val="21"/>
          <w:szCs w:val="21"/>
        </w:rPr>
        <w:t xml:space="preserve">Users &amp; Roles (Administrator only)</w:t>
      </w:r>
    </w:p>
    <w:p>
      <w:pPr>
        <w:pStyle w:val="ListParagraph"/>
        <w:numPr>
          <w:ilvl w:val="0"/>
          <w:numId w:val="1"/>
        </w:numPr>
        <w:spacing w:after="90"/>
      </w:pPr>
      <w:r>
        <w:rPr>
          <w:color w:val="1F2937"/>
          <w:sz w:val="21"/>
          <w:szCs w:val="21"/>
        </w:rPr>
        <w:t xml:space="preserve">Reports</w:t>
      </w:r>
    </w:p>
    <w:p>
      <w:pPr>
        <w:pStyle w:val="Heading3"/>
        <w:spacing w:after="100" w:before="200"/>
      </w:pPr>
      <w:r>
        <w:t xml:space="preserve">Provincial Focal Point navigation</w:t>
      </w:r>
    </w:p>
    <w:p>
      <w:pPr>
        <w:pStyle w:val="ListParagraph"/>
        <w:numPr>
          <w:ilvl w:val="0"/>
          <w:numId w:val="1"/>
        </w:numPr>
        <w:spacing w:after="90"/>
      </w:pPr>
      <w:r>
        <w:rPr>
          <w:color w:val="1F2937"/>
          <w:sz w:val="21"/>
          <w:szCs w:val="21"/>
        </w:rPr>
        <w:t xml:space="preserve">Overview</w:t>
      </w:r>
    </w:p>
    <w:p>
      <w:pPr>
        <w:pStyle w:val="ListParagraph"/>
        <w:numPr>
          <w:ilvl w:val="0"/>
          <w:numId w:val="1"/>
        </w:numPr>
        <w:spacing w:after="90"/>
      </w:pPr>
      <w:r>
        <w:rPr>
          <w:color w:val="1F2937"/>
          <w:sz w:val="21"/>
          <w:szCs w:val="21"/>
        </w:rPr>
        <w:t xml:space="preserve">My Projects</w:t>
      </w:r>
    </w:p>
    <w:p>
      <w:pPr>
        <w:pStyle w:val="ListParagraph"/>
        <w:numPr>
          <w:ilvl w:val="0"/>
          <w:numId w:val="1"/>
        </w:numPr>
        <w:spacing w:after="90"/>
      </w:pPr>
      <w:r>
        <w:rPr>
          <w:color w:val="1F2937"/>
          <w:sz w:val="21"/>
          <w:szCs w:val="21"/>
        </w:rPr>
        <w:t xml:space="preserve">New Submission</w:t>
      </w:r>
    </w:p>
    <w:p>
      <w:pPr>
        <w:pStyle w:val="ListParagraph"/>
        <w:numPr>
          <w:ilvl w:val="0"/>
          <w:numId w:val="1"/>
        </w:numPr>
        <w:spacing w:after="90"/>
      </w:pPr>
      <w:r>
        <w:rPr>
          <w:color w:val="1F2937"/>
          <w:sz w:val="21"/>
          <w:szCs w:val="21"/>
        </w:rPr>
        <w:t xml:space="preserve">Investor Interests</w:t>
      </w:r>
    </w:p>
    <w:p>
      <w:pPr>
        <w:pStyle w:val="Heading3"/>
        <w:spacing w:after="100" w:before="200"/>
      </w:pPr>
      <w:r>
        <w:t xml:space="preserve">Investor navigation</w:t>
      </w:r>
    </w:p>
    <w:p>
      <w:pPr>
        <w:pStyle w:val="ListParagraph"/>
        <w:numPr>
          <w:ilvl w:val="0"/>
          <w:numId w:val="1"/>
        </w:numPr>
        <w:spacing w:after="90"/>
      </w:pPr>
      <w:r>
        <w:rPr>
          <w:color w:val="1F2937"/>
          <w:sz w:val="21"/>
          <w:szCs w:val="21"/>
        </w:rPr>
        <w:t xml:space="preserve">Catalogue browsing with filters</w:t>
      </w:r>
    </w:p>
    <w:p>
      <w:pPr>
        <w:pStyle w:val="ListParagraph"/>
        <w:numPr>
          <w:ilvl w:val="0"/>
          <w:numId w:val="1"/>
        </w:numPr>
        <w:spacing w:after="90"/>
      </w:pPr>
      <w:r>
        <w:rPr>
          <w:color w:val="1F2937"/>
          <w:sz w:val="21"/>
          <w:szCs w:val="21"/>
        </w:rPr>
        <w:t xml:space="preserve">Saved projects</w:t>
      </w:r>
    </w:p>
    <w:p>
      <w:pPr>
        <w:pStyle w:val="ListParagraph"/>
        <w:numPr>
          <w:ilvl w:val="0"/>
          <w:numId w:val="1"/>
        </w:numPr>
        <w:spacing w:after="90"/>
      </w:pPr>
      <w:r>
        <w:rPr>
          <w:color w:val="1F2937"/>
          <w:sz w:val="21"/>
          <w:szCs w:val="21"/>
        </w:rPr>
        <w:t xml:space="preserve">Interest tracking</w:t>
      </w:r>
    </w:p>
    <w:p>
      <w:pPr>
        <w:pStyle w:val="ListParagraph"/>
        <w:numPr>
          <w:ilvl w:val="0"/>
          <w:numId w:val="1"/>
        </w:numPr>
        <w:spacing w:after="90"/>
      </w:pPr>
      <w:r>
        <w:rPr>
          <w:color w:val="1F2937"/>
          <w:sz w:val="21"/>
          <w:szCs w:val="21"/>
        </w:rPr>
        <w:t xml:space="preserve">Analytics</w:t>
      </w:r>
    </w:p>
    <w:p>
      <w:r>
        <w:br w:type="page"/>
      </w:r>
    </w:p>
    <w:p>
      <w:pPr>
        <w:pStyle w:val="Heading1"/>
        <w:spacing w:after="200" w:before="400"/>
      </w:pPr>
      <w:r>
        <w:t xml:space="preserve">5. Core Workflow 1 — Authentication &amp; Role Routing</w:t>
      </w:r>
    </w:p>
    <w:p>
      <w:pPr>
        <w:spacing w:after="160"/>
      </w:pPr>
      <w:r>
        <w:rPr>
          <w:color w:val="1F2937"/>
          <w:sz w:val="21"/>
          <w:szCs w:val="21"/>
        </w:rPr>
        <w:t xml:space="preserve">Every session starts at a single login screen. The system authenticates the user and routes them to the correct dashboard based on their assigned role — there is no manual role selection, removing a common source of user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5%"/>
            <w:tcBorders>
              <w:top w:val="single" w:color="FFFFFF" w:sz="6"/>
              <w:left w:val="single" w:color="FFFFFF" w:sz="6"/>
              <w:bottom w:val="single" w:color="FFFFFF" w:sz="6"/>
              <w:right w:val="single" w:color="FFFFFF" w:sz="6"/>
            </w:tcBorders>
          </w:tcPr>
          <w:p>
            <w:r>
              <w:t xml:space="preserve"/>
            </w:r>
          </w:p>
        </w:tc>
        <w:tc>
          <w:tcPr>
            <w:tcW w:type="pct" w:w="55%"/>
            <w:tcBorders>
              <w:top w:val="single" w:color="64748B" w:sz="6"/>
              <w:left w:val="single" w:color="64748B" w:sz="6"/>
              <w:bottom w:val="single" w:color="64748B" w:sz="6"/>
              <w:right w:val="single" w:color="64748B"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User opens the platform</w:t>
            </w:r>
          </w:p>
        </w:tc>
        <w:tc>
          <w:tcPr>
            <w:tcW w:type="pct" w:w="2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
            <w:tcBorders>
              <w:top w:val="single" w:color="FFFFFF" w:sz="6"/>
              <w:left w:val="single" w:color="FFFFFF" w:sz="6"/>
              <w:bottom w:val="single" w:color="FFFFFF" w:sz="6"/>
              <w:right w:val="single" w:color="FFFFFF" w:sz="6"/>
            </w:tcBorders>
          </w:tcPr>
          <w:p>
            <w:r>
              <w:t xml:space="preserve"/>
            </w:r>
          </w:p>
        </w:tc>
        <w:tc>
          <w:tcPr>
            <w:tcW w:type="pct" w:w="68%"/>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Login screen (email + password)
Demo quick-fill credentials available for each role</w:t>
            </w:r>
          </w:p>
        </w:tc>
        <w:tc>
          <w:tcPr>
            <w:tcW w:type="pct" w:w="16%"/>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credentials validated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
            <w:tcBorders>
              <w:top w:val="single" w:color="FFFFFF" w:sz="6"/>
              <w:left w:val="single" w:color="FFFFFF" w:sz="6"/>
              <w:bottom w:val="single" w:color="FFFFFF" w:sz="6"/>
              <w:right w:val="single" w:color="FFFFFF" w:sz="6"/>
            </w:tcBorders>
          </w:tcPr>
          <w:p>
            <w:r>
              <w:t xml:space="preserve"/>
            </w:r>
          </w:p>
        </w:tc>
        <w:tc>
          <w:tcPr>
            <w:tcW w:type="pct" w:w="68%"/>
            <w:tcBorders>
              <w:top w:val="single" w:color="17A4C2" w:sz="6"/>
              <w:left w:val="single" w:color="17A4C2" w:sz="6"/>
              <w:bottom w:val="single" w:color="17A4C2" w:sz="6"/>
              <w:right w:val="single" w:color="17A4C2"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Role detected: Admin / Reviewer / Focal Point / Investor</w:t>
            </w:r>
          </w:p>
        </w:tc>
        <w:tc>
          <w:tcPr>
            <w:tcW w:type="pct" w:w="16%"/>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auto-routed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1C2D7A" w:sz="6"/>
              <w:left w:val="single" w:color="1C2D7A" w:sz="6"/>
              <w:bottom w:val="single" w:color="1C2D7A" w:sz="6"/>
              <w:right w:val="single" w:color="1C2D7A" w:sz="6"/>
            </w:tcBorders>
            <w:shd w:fill="EEF0F9" w:color="auto" w:val="clear"/>
            <w:tcMar>
              <w:top w:type="dxa" w:w="140"/>
              <w:left w:type="dxa" w:w="160"/>
              <w:bottom w:type="dxa" w:w="140"/>
              <w:right w:type="dxa" w:w="160"/>
            </w:tcMar>
            <w:vAlign w:val="center"/>
          </w:tcPr>
          <w:p>
            <w:pPr>
              <w:jc w:val="center"/>
            </w:pPr>
            <w:r>
              <w:rPr>
                <w:b/>
                <w:bCs/>
                <w:color w:val="0F172A"/>
                <w:sz w:val="20"/>
                <w:szCs w:val="20"/>
              </w:rPr>
              <w:t xml:space="preserve">Admin / Reviewer Dashboard</w:t>
            </w:r>
          </w:p>
        </w:tc>
        <w:tc>
          <w:tcPr>
            <w:tcW w:type="pct" w:w="33%"/>
            <w:tcBorders>
              <w:top w:val="single" w:color="17A4C2" w:sz="6"/>
              <w:left w:val="single" w:color="17A4C2" w:sz="6"/>
              <w:bottom w:val="single" w:color="17A4C2" w:sz="6"/>
              <w:right w:val="single" w:color="17A4C2" w:sz="6"/>
            </w:tcBorders>
            <w:shd w:fill="EEF0F9" w:color="auto" w:val="clear"/>
            <w:tcMar>
              <w:top w:type="dxa" w:w="140"/>
              <w:left w:type="dxa" w:w="160"/>
              <w:bottom w:type="dxa" w:w="140"/>
              <w:right w:type="dxa" w:w="160"/>
            </w:tcMar>
            <w:vAlign w:val="center"/>
          </w:tcPr>
          <w:p>
            <w:pPr>
              <w:jc w:val="center"/>
            </w:pPr>
            <w:r>
              <w:rPr>
                <w:b/>
                <w:bCs/>
                <w:color w:val="0F172A"/>
                <w:sz w:val="20"/>
                <w:szCs w:val="20"/>
              </w:rPr>
              <w:t xml:space="preserve">Focal Point Dashboard</w:t>
            </w:r>
          </w:p>
        </w:tc>
        <w:tc>
          <w:tcPr>
            <w:tcW w:type="pct" w:w="33%"/>
            <w:tcBorders>
              <w:top w:val="single" w:color="2F9E6D" w:sz="6"/>
              <w:left w:val="single" w:color="2F9E6D" w:sz="6"/>
              <w:bottom w:val="single" w:color="2F9E6D" w:sz="6"/>
              <w:right w:val="single" w:color="2F9E6D" w:sz="6"/>
            </w:tcBorders>
            <w:shd w:fill="EEF0F9" w:color="auto" w:val="clear"/>
            <w:tcMar>
              <w:top w:type="dxa" w:w="140"/>
              <w:left w:type="dxa" w:w="160"/>
              <w:bottom w:type="dxa" w:w="140"/>
              <w:right w:type="dxa" w:w="160"/>
            </w:tcMar>
            <w:vAlign w:val="center"/>
          </w:tcPr>
          <w:p>
            <w:pPr>
              <w:jc w:val="center"/>
            </w:pPr>
            <w:r>
              <w:rPr>
                <w:b/>
                <w:bCs/>
                <w:color w:val="0F172A"/>
                <w:sz w:val="20"/>
                <w:szCs w:val="20"/>
              </w:rPr>
              <w:t xml:space="preserve">Investor Dashboard</w:t>
            </w:r>
          </w:p>
        </w:tc>
      </w:tr>
    </w:tbl>
    <w:p>
      <w:r>
        <w:br w:type="page"/>
      </w:r>
    </w:p>
    <w:p>
      <w:pPr>
        <w:pStyle w:val="Heading1"/>
        <w:spacing w:after="200" w:before="400"/>
      </w:pPr>
      <w:r>
        <w:t xml:space="preserve">6. Core Workflow 2 — Project Submission (Provincial Focal Point)</w:t>
      </w:r>
    </w:p>
    <w:p>
      <w:pPr>
        <w:spacing w:after="160"/>
      </w:pPr>
      <w:r>
        <w:rPr>
          <w:color w:val="1F2937"/>
          <w:sz w:val="21"/>
          <w:szCs w:val="21"/>
        </w:rPr>
        <w:t xml:space="preserve">The submission experience is a guided, six-step wizard. Its most important UX property is that a focal point can save incomplete information as a draft from any step — no data is ever lost, and there is no requirement to complete the whole form in one sitting.</w:t>
      </w:r>
    </w:p>
    <w:p>
      <w:pPr>
        <w:pStyle w:val="Heading2"/>
        <w:spacing w:after="150" w:before="300"/>
      </w:pPr>
      <w:r>
        <w:t xml:space="preserve">6.1 Wizard steps</w:t>
      </w:r>
    </w:p>
    <w:p>
      <w:pPr>
        <w:pStyle w:val="ListParagraph"/>
        <w:numPr>
          <w:ilvl w:val="0"/>
          <w:numId w:val="2"/>
        </w:numPr>
        <w:spacing w:after="90"/>
      </w:pPr>
      <w:r>
        <w:rPr>
          <w:color w:val="1F2937"/>
          <w:sz w:val="21"/>
          <w:szCs w:val="21"/>
        </w:rPr>
        <w:t xml:space="preserve">Step 1 — Basics: project title (required) and a free-text summary.</w:t>
      </w:r>
    </w:p>
    <w:p>
      <w:pPr>
        <w:pStyle w:val="ListParagraph"/>
        <w:numPr>
          <w:ilvl w:val="0"/>
          <w:numId w:val="2"/>
        </w:numPr>
        <w:spacing w:after="90"/>
      </w:pPr>
      <w:r>
        <w:rPr>
          <w:color w:val="1F2937"/>
          <w:sz w:val="21"/>
          <w:szCs w:val="21"/>
        </w:rPr>
        <w:t xml:space="preserve">Step 2 — Location &amp; Timeline: province (locked to the focal point's own province), district/city, sector, planned start date and planned end date.</w:t>
      </w:r>
    </w:p>
    <w:p>
      <w:pPr>
        <w:pStyle w:val="ListParagraph"/>
        <w:numPr>
          <w:ilvl w:val="0"/>
          <w:numId w:val="2"/>
        </w:numPr>
        <w:spacing w:after="90"/>
      </w:pPr>
      <w:r>
        <w:rPr>
          <w:color w:val="1F2937"/>
          <w:sz w:val="21"/>
          <w:szCs w:val="21"/>
        </w:rPr>
        <w:t xml:space="preserve">Step 3 — Financials &amp; Impact: total cost, funding gap, co-financing already secured, beneficiaries, jobs supported (all in USD millions where relevant).</w:t>
      </w:r>
    </w:p>
    <w:p>
      <w:pPr>
        <w:pStyle w:val="ListParagraph"/>
        <w:numPr>
          <w:ilvl w:val="0"/>
          <w:numId w:val="2"/>
        </w:numPr>
        <w:spacing w:after="90"/>
      </w:pPr>
      <w:r>
        <w:rPr>
          <w:color w:val="1F2937"/>
          <w:sz w:val="21"/>
          <w:szCs w:val="21"/>
        </w:rPr>
        <w:t xml:space="preserve">Step 4 — Contacts: implementing agency, focal contact name, email, phone, and optional risk &amp; mitigation notes.</w:t>
      </w:r>
    </w:p>
    <w:p>
      <w:pPr>
        <w:pStyle w:val="ListParagraph"/>
        <w:numPr>
          <w:ilvl w:val="0"/>
          <w:numId w:val="2"/>
        </w:numPr>
        <w:spacing w:after="90"/>
      </w:pPr>
      <w:r>
        <w:rPr>
          <w:color w:val="1F2937"/>
          <w:sz w:val="21"/>
          <w:szCs w:val="21"/>
        </w:rPr>
        <w:t xml:space="preserve">Step 5 — WEF Nexus &amp; Documents: Water / Energy / Food dimension tagging plus upload of supporting documents (feasibility studies, cost breakdowns, environmental assessments, letters of support).</w:t>
      </w:r>
    </w:p>
    <w:p>
      <w:pPr>
        <w:pStyle w:val="ListParagraph"/>
        <w:numPr>
          <w:ilvl w:val="0"/>
          <w:numId w:val="2"/>
        </w:numPr>
        <w:spacing w:after="90"/>
      </w:pPr>
      <w:r>
        <w:rPr>
          <w:color w:val="1F2937"/>
          <w:sz w:val="21"/>
          <w:szCs w:val="21"/>
        </w:rPr>
        <w:t xml:space="preserve">Step 6 — Review &amp; Submit: a full summary of every field entered plus attachment count, with two final actions.</w:t>
      </w:r>
    </w:p>
    <w:p>
      <w:pPr>
        <w:spacing w:after="120"/>
      </w:pPr>
    </w:p>
    <w:p>
      <w:pPr>
        <w:pStyle w:val="Heading2"/>
        <w:spacing w:after="150" w:before="300"/>
      </w:pPr>
      <w:r>
        <w:t xml:space="preserve">6.2 Flowchart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9%"/>
            <w:tcBorders>
              <w:top w:val="single" w:color="FFFFFF" w:sz="6"/>
              <w:left w:val="single" w:color="FFFFFF" w:sz="6"/>
              <w:bottom w:val="single" w:color="FFFFFF" w:sz="6"/>
              <w:right w:val="single" w:color="FFFFFF" w:sz="6"/>
            </w:tcBorders>
          </w:tcPr>
          <w:p>
            <w:r>
              <w:t xml:space="preserve"/>
            </w:r>
          </w:p>
        </w:tc>
        <w:tc>
          <w:tcPr>
            <w:tcW w:type="pct" w:w="62%"/>
            <w:tcBorders>
              <w:top w:val="single" w:color="17A4C2" w:sz="6"/>
              <w:left w:val="single" w:color="17A4C2" w:sz="6"/>
              <w:bottom w:val="single" w:color="17A4C2" w:sz="6"/>
              <w:right w:val="single" w:color="17A4C2"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Focal point selects “New Submission”</w:t>
            </w:r>
          </w:p>
        </w:tc>
        <w:tc>
          <w:tcPr>
            <w:tcW w:type="pct" w:w="19%"/>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FFFFFF" w:sz="6"/>
              <w:left w:val="single" w:color="FFFFFF" w:sz="6"/>
              <w:bottom w:val="single" w:color="FFFFFF" w:sz="6"/>
              <w:right w:val="single" w:color="FFFFFF" w:sz="6"/>
            </w:tcBorders>
          </w:tcPr>
          <w:p>
            <w:r>
              <w:t xml:space="preserve"/>
            </w:r>
          </w:p>
        </w:tc>
        <w:tc>
          <w:tcPr>
            <w:tcW w:type="pct" w:w="50%"/>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Step 1: Basics</w:t>
            </w:r>
          </w:p>
        </w:tc>
        <w:tc>
          <w:tcPr>
            <w:tcW w:type="pct" w:w="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Save as draft (available on every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FFFFFF" w:sz="6"/>
              <w:left w:val="single" w:color="FFFFFF" w:sz="6"/>
              <w:bottom w:val="single" w:color="FFFFFF" w:sz="6"/>
              <w:right w:val="single" w:color="FFFFFF" w:sz="6"/>
            </w:tcBorders>
          </w:tcPr>
          <w:p>
            <w:r>
              <w:t xml:space="preserve"/>
            </w:r>
          </w:p>
        </w:tc>
        <w:tc>
          <w:tcPr>
            <w:tcW w:type="pct" w:w="50%"/>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Step 2: Location &amp; Timeline</w:t>
            </w:r>
          </w:p>
        </w:tc>
        <w:tc>
          <w:tcPr>
            <w:tcW w:type="pct" w:w="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Save as draft (available on every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FFFFFF" w:sz="6"/>
              <w:left w:val="single" w:color="FFFFFF" w:sz="6"/>
              <w:bottom w:val="single" w:color="FFFFFF" w:sz="6"/>
              <w:right w:val="single" w:color="FFFFFF" w:sz="6"/>
            </w:tcBorders>
          </w:tcPr>
          <w:p>
            <w:r>
              <w:t xml:space="preserve"/>
            </w:r>
          </w:p>
        </w:tc>
        <w:tc>
          <w:tcPr>
            <w:tcW w:type="pct" w:w="50%"/>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Step 3: Financials &amp; Impact</w:t>
            </w:r>
          </w:p>
        </w:tc>
        <w:tc>
          <w:tcPr>
            <w:tcW w:type="pct" w:w="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Save as draft (available on every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FFFFFF" w:sz="6"/>
              <w:left w:val="single" w:color="FFFFFF" w:sz="6"/>
              <w:bottom w:val="single" w:color="FFFFFF" w:sz="6"/>
              <w:right w:val="single" w:color="FFFFFF" w:sz="6"/>
            </w:tcBorders>
          </w:tcPr>
          <w:p>
            <w:r>
              <w:t xml:space="preserve"/>
            </w:r>
          </w:p>
        </w:tc>
        <w:tc>
          <w:tcPr>
            <w:tcW w:type="pct" w:w="50%"/>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Step 4: Contacts</w:t>
            </w:r>
          </w:p>
        </w:tc>
        <w:tc>
          <w:tcPr>
            <w:tcW w:type="pct" w:w="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Save as draft (available on every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FFFFFF" w:sz="6"/>
              <w:left w:val="single" w:color="FFFFFF" w:sz="6"/>
              <w:bottom w:val="single" w:color="FFFFFF" w:sz="6"/>
              <w:right w:val="single" w:color="FFFFFF" w:sz="6"/>
            </w:tcBorders>
          </w:tcPr>
          <w:p>
            <w:r>
              <w:t xml:space="preserve"/>
            </w:r>
          </w:p>
        </w:tc>
        <w:tc>
          <w:tcPr>
            <w:tcW w:type="pct" w:w="50%"/>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Step 5: WEF Nexus &amp; Documents</w:t>
            </w:r>
          </w:p>
        </w:tc>
        <w:tc>
          <w:tcPr>
            <w:tcW w:type="pct" w:w="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Save as draft (available on every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FFFFFF" w:sz="6"/>
              <w:left w:val="single" w:color="FFFFFF" w:sz="6"/>
              <w:bottom w:val="single" w:color="FFFFFF" w:sz="6"/>
              <w:right w:val="single" w:color="FFFFFF" w:sz="6"/>
            </w:tcBorders>
          </w:tcPr>
          <w:p>
            <w:r>
              <w:t xml:space="preserve"/>
            </w:r>
          </w:p>
        </w:tc>
        <w:tc>
          <w:tcPr>
            <w:tcW w:type="pct" w:w="50%"/>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Step 6: Review &amp; Submit</w:t>
            </w:r>
          </w:p>
        </w:tc>
        <w:tc>
          <w:tcPr>
            <w:tcW w:type="pct" w:w="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64748B" w:sz="6"/>
              <w:left w:val="single" w:color="64748B" w:sz="6"/>
              <w:bottom w:val="single" w:color="64748B" w:sz="6"/>
              <w:right w:val="single" w:color="64748B" w:sz="6"/>
            </w:tcBorders>
            <w:shd w:fill="F1F5F9" w:color="auto" w:val="clear"/>
            <w:tcMar>
              <w:top w:type="dxa" w:w="140"/>
              <w:left w:type="dxa" w:w="160"/>
              <w:bottom w:type="dxa" w:w="140"/>
              <w:right w:type="dxa" w:w="160"/>
            </w:tcMar>
            <w:vAlign w:val="center"/>
          </w:tcPr>
          <w:p>
            <w:pPr>
              <w:jc w:val="center"/>
            </w:pPr>
            <w:r>
              <w:rPr>
                <w:b/>
                <w:bCs/>
                <w:color w:val="0F172A"/>
                <w:sz w:val="20"/>
                <w:szCs w:val="20"/>
              </w:rPr>
              <w:t xml:space="preserve">Save as draft</w:t>
            </w:r>
          </w:p>
          <w:p>
            <w:pPr>
              <w:jc w:val="center"/>
            </w:pPr>
            <w:r>
              <w:rPr>
                <w:i/>
                <w:iCs/>
                <w:color w:val="64748B"/>
                <w:sz w:val="16"/>
                <w:szCs w:val="16"/>
              </w:rPr>
              <w:t xml:space="preserve">Status = Draft. Editable later from “My Projects”.</w:t>
            </w:r>
          </w:p>
        </w:tc>
        <w:tc>
          <w:tcPr>
            <w:tcW w:type="pct" w:w="50%"/>
            <w:tcBorders>
              <w:top w:val="single" w:color="2F9E6D" w:sz="6"/>
              <w:left w:val="single" w:color="2F9E6D" w:sz="6"/>
              <w:bottom w:val="single" w:color="2F9E6D" w:sz="6"/>
              <w:right w:val="single" w:color="2F9E6D" w:sz="6"/>
            </w:tcBorders>
            <w:shd w:fill="E7F5EE" w:color="auto" w:val="clear"/>
            <w:tcMar>
              <w:top w:type="dxa" w:w="140"/>
              <w:left w:type="dxa" w:w="160"/>
              <w:bottom w:type="dxa" w:w="140"/>
              <w:right w:type="dxa" w:w="160"/>
            </w:tcMar>
            <w:vAlign w:val="center"/>
          </w:tcPr>
          <w:p>
            <w:pPr>
              <w:jc w:val="center"/>
            </w:pPr>
            <w:r>
              <w:rPr>
                <w:b/>
                <w:bCs/>
                <w:color w:val="0F172A"/>
                <w:sz w:val="20"/>
                <w:szCs w:val="20"/>
              </w:rPr>
              <w:t xml:space="preserve">Submit for review</w:t>
            </w:r>
          </w:p>
          <w:p>
            <w:pPr>
              <w:jc w:val="center"/>
            </w:pPr>
            <w:r>
              <w:rPr>
                <w:i/>
                <w:iCs/>
                <w:color w:val="64748B"/>
                <w:sz w:val="16"/>
                <w:szCs w:val="16"/>
              </w:rPr>
              <w:t xml:space="preserve">Status = Submitted. Ministry is notified instantly.</w:t>
            </w:r>
          </w:p>
        </w:tc>
      </w:tr>
    </w:tbl>
    <w:p>
      <w:pPr>
        <w:spacing w:after="120"/>
      </w:pPr>
    </w:p>
    <w:p>
      <w:pPr>
        <w:pStyle w:val="Heading2"/>
        <w:spacing w:after="150" w:before="300"/>
      </w:pPr>
      <w:r>
        <w:t xml:space="preserve">6.3 Editing drafts and returned projects</w:t>
      </w:r>
    </w:p>
    <w:p>
      <w:pPr>
        <w:spacing w:after="160"/>
      </w:pPr>
      <w:r>
        <w:rPr>
          <w:color w:val="1F2937"/>
          <w:sz w:val="21"/>
          <w:szCs w:val="21"/>
        </w:rPr>
        <w:t xml:space="preserve">From “My Projects”, any project in Draft or Returned status shows an Edit action that reopens the same six-step wizard, pre-filled with the existing data (including previously uploaded documents), so the focal point can complete missing information or address ministry feedback without re-entering everything from scratch.</w:t>
      </w:r>
    </w:p>
    <w:p>
      <w:r>
        <w:br w:type="page"/>
      </w:r>
    </w:p>
    <w:p>
      <w:pPr>
        <w:pStyle w:val="Heading1"/>
        <w:spacing w:after="200" w:before="400"/>
      </w:pPr>
      <w:r>
        <w:t xml:space="preserve">7. Core Workflow 3 — Ministry Review &amp; Decision</w:t>
      </w:r>
    </w:p>
    <w:p>
      <w:pPr>
        <w:spacing w:after="160"/>
      </w:pPr>
      <w:r>
        <w:rPr>
          <w:color w:val="1F2937"/>
          <w:sz w:val="21"/>
          <w:szCs w:val="21"/>
        </w:rPr>
        <w:t xml:space="preserve">Submitted projects enter the ministry's Project Review Queue. Administrators have full decision authority; Reviewers can open the same records and add comments/attachments but cannot approve or return a project — enforcing a four-eyes review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E8A020" w:sz="6"/>
              <w:left w:val="single" w:color="E8A020" w:sz="6"/>
              <w:bottom w:val="single" w:color="E8A020" w:sz="6"/>
              <w:right w:val="single" w:color="E8A020"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Project appears in Review Queue
(status: Submitted / Under Review)</w:t>
            </w:r>
          </w:p>
        </w:tc>
        <w:tc>
          <w:tcPr>
            <w:tcW w:type="pct" w:w="17%"/>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opened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17A4C2" w:sz="6"/>
              <w:left w:val="single" w:color="17A4C2" w:sz="6"/>
              <w:bottom w:val="single" w:color="17A4C2" w:sz="6"/>
              <w:right w:val="single" w:color="17A4C2" w:sz="6"/>
            </w:tcBorders>
            <w:shd w:fill="EEF0F9" w:color="auto" w:val="clear"/>
            <w:tcMar>
              <w:top w:type="dxa" w:w="140"/>
              <w:left w:type="dxa" w:w="160"/>
              <w:bottom w:type="dxa" w:w="140"/>
              <w:right w:type="dxa" w:w="160"/>
            </w:tcMar>
            <w:vAlign w:val="center"/>
          </w:tcPr>
          <w:p>
            <w:pPr>
              <w:jc w:val="center"/>
            </w:pPr>
            <w:r>
              <w:rPr>
                <w:b/>
                <w:bCs/>
                <w:color w:val="0F172A"/>
                <w:sz w:val="20"/>
                <w:szCs w:val="20"/>
              </w:rPr>
              <w:t xml:space="preserve">Reviewer</w:t>
            </w:r>
          </w:p>
          <w:p>
            <w:pPr>
              <w:jc w:val="center"/>
            </w:pPr>
            <w:r>
              <w:rPr>
                <w:i/>
                <w:iCs/>
                <w:color w:val="64748B"/>
                <w:sz w:val="16"/>
                <w:szCs w:val="16"/>
              </w:rPr>
              <w:t xml:space="preserve">reads evidence, adds comments + attachments</w:t>
            </w:r>
          </w:p>
        </w:tc>
        <w:tc>
          <w:tcPr>
            <w:tcW w:type="pct" w:w="50%"/>
            <w:tcBorders>
              <w:top w:val="single" w:color="1C2D7A" w:sz="6"/>
              <w:left w:val="single" w:color="1C2D7A" w:sz="6"/>
              <w:bottom w:val="single" w:color="1C2D7A" w:sz="6"/>
              <w:right w:val="single" w:color="1C2D7A" w:sz="6"/>
            </w:tcBorders>
            <w:shd w:fill="EEF0F9" w:color="auto" w:val="clear"/>
            <w:tcMar>
              <w:top w:type="dxa" w:w="140"/>
              <w:left w:type="dxa" w:w="160"/>
              <w:bottom w:type="dxa" w:w="140"/>
              <w:right w:type="dxa" w:w="160"/>
            </w:tcMar>
            <w:vAlign w:val="center"/>
          </w:tcPr>
          <w:p>
            <w:pPr>
              <w:jc w:val="center"/>
            </w:pPr>
            <w:r>
              <w:rPr>
                <w:b/>
                <w:bCs/>
                <w:color w:val="0F172A"/>
                <w:sz w:val="20"/>
                <w:szCs w:val="20"/>
              </w:rPr>
              <w:t xml:space="preserve">Administrator</w:t>
            </w:r>
          </w:p>
          <w:p>
            <w:pPr>
              <w:jc w:val="center"/>
            </w:pPr>
            <w:r>
              <w:rPr>
                <w:i/>
                <w:iCs/>
                <w:color w:val="64748B"/>
                <w:sz w:val="16"/>
                <w:szCs w:val="16"/>
              </w:rPr>
              <w:t xml:space="preserve">reads evidence, reviewer comments &amp; attachments</w:t>
            </w:r>
          </w:p>
        </w:tc>
      </w:tr>
    </w:tbl>
    <w:p>
      <w:pPr>
        <w:spacing w:after="30" w:before="30"/>
        <w:jc w:val="center"/>
      </w:pPr>
      <w:r>
        <w:rPr>
          <w:b/>
          <w:bCs/>
          <w:color w:val="17A4C2"/>
          <w:sz w:val="22"/>
          <w:szCs w:val="22"/>
        </w:rPr>
        <w:t xml:space="preserve">↓  administrator decides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2F9E6D" w:sz="6"/>
              <w:left w:val="single" w:color="2F9E6D" w:sz="6"/>
              <w:bottom w:val="single" w:color="2F9E6D" w:sz="6"/>
              <w:right w:val="single" w:color="2F9E6D" w:sz="6"/>
            </w:tcBorders>
            <w:shd w:fill="E7F5EE" w:color="auto" w:val="clear"/>
            <w:tcMar>
              <w:top w:type="dxa" w:w="140"/>
              <w:left w:type="dxa" w:w="160"/>
              <w:bottom w:type="dxa" w:w="140"/>
              <w:right w:type="dxa" w:w="160"/>
            </w:tcMar>
            <w:vAlign w:val="center"/>
          </w:tcPr>
          <w:p>
            <w:pPr>
              <w:jc w:val="center"/>
            </w:pPr>
            <w:r>
              <w:rPr>
                <w:b/>
                <w:bCs/>
                <w:color w:val="0F172A"/>
                <w:sz w:val="20"/>
                <w:szCs w:val="20"/>
              </w:rPr>
              <w:t xml:space="preserve">Approve</w:t>
            </w:r>
          </w:p>
          <w:p>
            <w:pPr>
              <w:jc w:val="center"/>
            </w:pPr>
            <w:r>
              <w:rPr>
                <w:i/>
                <w:iCs/>
                <w:color w:val="64748B"/>
                <w:sz w:val="16"/>
                <w:szCs w:val="16"/>
              </w:rPr>
              <w:t xml:space="preserve">Status → Approved. Published to investor catalogue. Focal point notified.</w:t>
            </w:r>
          </w:p>
        </w:tc>
        <w:tc>
          <w:tcPr>
            <w:tcW w:type="pct" w:w="33%"/>
            <w:tcBorders>
              <w:top w:val="single" w:color="C0455F" w:sz="6"/>
              <w:left w:val="single" w:color="C0455F" w:sz="6"/>
              <w:bottom w:val="single" w:color="C0455F" w:sz="6"/>
              <w:right w:val="single" w:color="C0455F" w:sz="6"/>
            </w:tcBorders>
            <w:shd w:fill="FBE9EC" w:color="auto" w:val="clear"/>
            <w:tcMar>
              <w:top w:type="dxa" w:w="140"/>
              <w:left w:type="dxa" w:w="160"/>
              <w:bottom w:type="dxa" w:w="140"/>
              <w:right w:type="dxa" w:w="160"/>
            </w:tcMar>
            <w:vAlign w:val="center"/>
          </w:tcPr>
          <w:p>
            <w:pPr>
              <w:jc w:val="center"/>
            </w:pPr>
            <w:r>
              <w:rPr>
                <w:b/>
                <w:bCs/>
                <w:color w:val="0F172A"/>
                <w:sz w:val="20"/>
                <w:szCs w:val="20"/>
              </w:rPr>
              <w:t xml:space="preserve">Return for changes</w:t>
            </w:r>
          </w:p>
          <w:p>
            <w:pPr>
              <w:jc w:val="center"/>
            </w:pPr>
            <w:r>
              <w:rPr>
                <w:i/>
                <w:iCs/>
                <w:color w:val="64748B"/>
                <w:sz w:val="16"/>
                <w:szCs w:val="16"/>
              </w:rPr>
              <w:t xml:space="preserve">Mandatory comment + optional attachment. Status → Returned. Focal point notified &amp; can edit again.</w:t>
            </w:r>
          </w:p>
        </w:tc>
        <w:tc>
          <w:tcPr>
            <w:tcW w:type="pct" w:w="33%"/>
            <w:tcBorders>
              <w:top w:val="single" w:color="17A4C2" w:sz="6"/>
              <w:left w:val="single" w:color="17A4C2" w:sz="6"/>
              <w:bottom w:val="single" w:color="17A4C2" w:sz="6"/>
              <w:right w:val="single" w:color="17A4C2" w:sz="6"/>
            </w:tcBorders>
            <w:shd w:fill="E6F6FA" w:color="auto" w:val="clear"/>
            <w:tcMar>
              <w:top w:type="dxa" w:w="140"/>
              <w:left w:type="dxa" w:w="160"/>
              <w:bottom w:type="dxa" w:w="140"/>
              <w:right w:type="dxa" w:w="160"/>
            </w:tcMar>
            <w:vAlign w:val="center"/>
          </w:tcPr>
          <w:p>
            <w:pPr>
              <w:jc w:val="center"/>
            </w:pPr>
            <w:r>
              <w:rPr>
                <w:b/>
                <w:bCs/>
                <w:color w:val="0F172A"/>
                <w:sz w:val="20"/>
                <w:szCs w:val="20"/>
              </w:rPr>
              <w:t xml:space="preserve">Add comment only</w:t>
            </w:r>
          </w:p>
          <w:p>
            <w:pPr>
              <w:jc w:val="center"/>
            </w:pPr>
            <w:r>
              <w:rPr>
                <w:i/>
                <w:iCs/>
                <w:color w:val="64748B"/>
                <w:sz w:val="16"/>
                <w:szCs w:val="16"/>
              </w:rPr>
              <w:t xml:space="preserve">Comment + optional attachment logged to status history; status unchanged.</w:t>
            </w:r>
          </w:p>
        </w:tc>
      </w:tr>
    </w:tbl>
    <w:p>
      <w:pPr>
        <w:spacing w:after="120"/>
      </w:pPr>
    </w:p>
    <w:p>
      <w:pPr>
        <w:spacing w:after="160"/>
      </w:pPr>
      <w:r>
        <w:rPr>
          <w:color w:val="1F2937"/>
          <w:sz w:val="21"/>
          <w:szCs w:val="21"/>
        </w:rPr>
        <w:t xml:space="preserve">Every decision — approve, return, or comment — is written permanently to the project's status history with the date, the acting user's name, the note, and any attached evidence file, giving the client a complete, tamper-evident audit trail.</w:t>
      </w:r>
    </w:p>
    <w:p>
      <w:r>
        <w:br w:type="page"/>
      </w:r>
    </w:p>
    <w:p>
      <w:pPr>
        <w:pStyle w:val="Heading1"/>
        <w:spacing w:after="200" w:before="400"/>
      </w:pPr>
      <w:r>
        <w:t xml:space="preserve">8. Core Workflow 4 — Investor Engagement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2F9E6D" w:sz="6"/>
              <w:left w:val="single" w:color="2F9E6D" w:sz="6"/>
              <w:bottom w:val="single" w:color="2F9E6D" w:sz="6"/>
              <w:right w:val="single" w:color="2F9E6D"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Investor logs in → browses Approved Project Catalogue</w:t>
            </w:r>
          </w:p>
        </w:tc>
        <w:tc>
          <w:tcPr>
            <w:tcW w:type="pct" w:w="17%"/>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filters by province / sector / WEF Nexus / funding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2F9E6D" w:sz="6"/>
              <w:left w:val="single" w:color="2F9E6D" w:sz="6"/>
              <w:bottom w:val="single" w:color="2F9E6D" w:sz="6"/>
              <w:right w:val="single" w:color="2F9E6D" w:sz="6"/>
            </w:tcBorders>
            <w:shd w:fill="EEF0F9" w:color="auto" w:val="clear"/>
            <w:tcMar>
              <w:top w:type="dxa" w:w="140"/>
              <w:left w:type="dxa" w:w="160"/>
              <w:bottom w:type="dxa" w:w="140"/>
              <w:right w:type="dxa" w:w="160"/>
            </w:tcMar>
            <w:vAlign w:val="center"/>
          </w:tcPr>
          <w:p>
            <w:pPr>
              <w:jc w:val="center"/>
            </w:pPr>
            <w:r>
              <w:rPr>
                <w:b/>
                <w:bCs/>
                <w:color w:val="0F172A"/>
                <w:sz w:val="20"/>
                <w:szCs w:val="20"/>
              </w:rPr>
              <w:t xml:space="preserve">Save project</w:t>
            </w:r>
          </w:p>
          <w:p>
            <w:pPr>
              <w:jc w:val="center"/>
            </w:pPr>
            <w:r>
              <w:rPr>
                <w:i/>
                <w:iCs/>
                <w:color w:val="64748B"/>
                <w:sz w:val="16"/>
                <w:szCs w:val="16"/>
              </w:rPr>
              <w:t xml:space="preserve">Adds to personal saved list for later reference</w:t>
            </w:r>
          </w:p>
        </w:tc>
        <w:tc>
          <w:tcPr>
            <w:tcW w:type="pct" w:w="50%"/>
            <w:tcBorders>
              <w:top w:val="single" w:color="17A4C2" w:sz="6"/>
              <w:left w:val="single" w:color="17A4C2" w:sz="6"/>
              <w:bottom w:val="single" w:color="17A4C2" w:sz="6"/>
              <w:right w:val="single" w:color="17A4C2" w:sz="6"/>
            </w:tcBorders>
            <w:shd w:fill="EEF0F9" w:color="auto" w:val="clear"/>
            <w:tcMar>
              <w:top w:type="dxa" w:w="140"/>
              <w:left w:type="dxa" w:w="160"/>
              <w:bottom w:type="dxa" w:w="140"/>
              <w:right w:type="dxa" w:w="160"/>
            </w:tcMar>
            <w:vAlign w:val="center"/>
          </w:tcPr>
          <w:p>
            <w:pPr>
              <w:jc w:val="center"/>
            </w:pPr>
            <w:r>
              <w:rPr>
                <w:b/>
                <w:bCs/>
                <w:color w:val="0F172A"/>
                <w:sz w:val="20"/>
                <w:szCs w:val="20"/>
              </w:rPr>
              <w:t xml:space="preserve">Express interest</w:t>
            </w:r>
          </w:p>
          <w:p>
            <w:pPr>
              <w:jc w:val="center"/>
            </w:pPr>
            <w:r>
              <w:rPr>
                <w:i/>
                <w:iCs/>
                <w:color w:val="64748B"/>
                <w:sz w:val="16"/>
                <w:szCs w:val="16"/>
              </w:rPr>
              <w:t xml:space="preserve">Sends a message describing investment intent</w:t>
            </w:r>
          </w:p>
        </w:tc>
      </w:tr>
    </w:tbl>
    <w:p>
      <w:pPr>
        <w:spacing w:after="30" w:before="30"/>
        <w:jc w:val="center"/>
      </w:pPr>
      <w:r>
        <w:rPr>
          <w:b/>
          <w:bCs/>
          <w:color w:val="17A4C2"/>
          <w:sz w:val="22"/>
          <w:szCs w:val="22"/>
        </w:rPr>
        <w:t xml:space="preserve">↓  interest recorded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17A4C2" w:sz="6"/>
              <w:left w:val="single" w:color="17A4C2" w:sz="6"/>
              <w:bottom w:val="single" w:color="17A4C2" w:sz="6"/>
              <w:right w:val="single" w:color="17A4C2"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Focal point notified of new investor interest</w:t>
            </w:r>
          </w:p>
        </w:tc>
        <w:tc>
          <w:tcPr>
            <w:tcW w:type="pct" w:w="17%"/>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focal point responds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17A4C2" w:sz="6"/>
              <w:left w:val="single" w:color="17A4C2" w:sz="6"/>
              <w:bottom w:val="single" w:color="17A4C2" w:sz="6"/>
              <w:right w:val="single" w:color="17A4C2" w:sz="6"/>
            </w:tcBorders>
            <w:shd w:fill="E6F6FA" w:color="auto" w:val="clear"/>
            <w:tcMar>
              <w:top w:type="dxa" w:w="140"/>
              <w:left w:type="dxa" w:w="160"/>
              <w:bottom w:type="dxa" w:w="140"/>
              <w:right w:type="dxa" w:w="160"/>
            </w:tcMar>
            <w:vAlign w:val="center"/>
          </w:tcPr>
          <w:p>
            <w:pPr>
              <w:jc w:val="center"/>
            </w:pPr>
            <w:r>
              <w:rPr>
                <w:b/>
                <w:bCs/>
                <w:color w:val="0F172A"/>
                <w:sz w:val="20"/>
                <w:szCs w:val="20"/>
              </w:rPr>
              <w:t xml:space="preserve">Move to discussion</w:t>
            </w:r>
          </w:p>
        </w:tc>
        <w:tc>
          <w:tcPr>
            <w:tcW w:type="pct" w:w="33%"/>
            <w:tcBorders>
              <w:top w:val="single" w:color="2F9E6D" w:sz="6"/>
              <w:left w:val="single" w:color="2F9E6D" w:sz="6"/>
              <w:bottom w:val="single" w:color="2F9E6D" w:sz="6"/>
              <w:right w:val="single" w:color="2F9E6D" w:sz="6"/>
            </w:tcBorders>
            <w:shd w:fill="E7F5EE" w:color="auto" w:val="clear"/>
            <w:tcMar>
              <w:top w:type="dxa" w:w="140"/>
              <w:left w:type="dxa" w:w="160"/>
              <w:bottom w:type="dxa" w:w="140"/>
              <w:right w:type="dxa" w:w="160"/>
            </w:tcMar>
            <w:vAlign w:val="center"/>
          </w:tcPr>
          <w:p>
            <w:pPr>
              <w:jc w:val="center"/>
            </w:pPr>
            <w:r>
              <w:rPr>
                <w:b/>
                <w:bCs/>
                <w:color w:val="0F172A"/>
                <w:sz w:val="20"/>
                <w:szCs w:val="20"/>
              </w:rPr>
              <w:t xml:space="preserve">Mark connected</w:t>
            </w:r>
          </w:p>
        </w:tc>
        <w:tc>
          <w:tcPr>
            <w:tcW w:type="pct" w:w="33%"/>
            <w:tcBorders>
              <w:top w:val="single" w:color="C0455F" w:sz="6"/>
              <w:left w:val="single" w:color="C0455F" w:sz="6"/>
              <w:bottom w:val="single" w:color="C0455F" w:sz="6"/>
              <w:right w:val="single" w:color="C0455F" w:sz="6"/>
            </w:tcBorders>
            <w:shd w:fill="FBE9EC" w:color="auto" w:val="clear"/>
            <w:tcMar>
              <w:top w:type="dxa" w:w="140"/>
              <w:left w:type="dxa" w:w="160"/>
              <w:bottom w:type="dxa" w:w="140"/>
              <w:right w:type="dxa" w:w="160"/>
            </w:tcMar>
            <w:vAlign w:val="center"/>
          </w:tcPr>
          <w:p>
            <w:pPr>
              <w:jc w:val="center"/>
            </w:pPr>
            <w:r>
              <w:rPr>
                <w:b/>
                <w:bCs/>
                <w:color w:val="0F172A"/>
                <w:sz w:val="20"/>
                <w:szCs w:val="20"/>
              </w:rPr>
              <w:t xml:space="preserve">Decline</w:t>
            </w:r>
          </w:p>
        </w:tc>
      </w:tr>
    </w:tbl>
    <w:p>
      <w:pPr>
        <w:spacing w:after="30" w:before="30"/>
        <w:jc w:val="center"/>
      </w:pPr>
      <w:r>
        <w:rPr>
          <w:b/>
          <w:bCs/>
          <w:color w:val="17A4C2"/>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2F9E6D" w:sz="6"/>
              <w:left w:val="single" w:color="2F9E6D" w:sz="6"/>
              <w:bottom w:val="single" w:color="2F9E6D" w:sz="6"/>
              <w:right w:val="single" w:color="2F9E6D"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Investor sees updated status + reply on their dashboard</w:t>
            </w:r>
          </w:p>
        </w:tc>
        <w:tc>
          <w:tcPr>
            <w:tcW w:type="pct" w:w="17%"/>
            <w:tcBorders>
              <w:top w:val="single" w:color="FFFFFF" w:sz="6"/>
              <w:left w:val="single" w:color="FFFFFF" w:sz="6"/>
              <w:bottom w:val="single" w:color="FFFFFF" w:sz="6"/>
              <w:right w:val="single" w:color="FFFFFF" w:sz="6"/>
            </w:tcBorders>
          </w:tcPr>
          <w:p>
            <w:r>
              <w:t xml:space="preserve"/>
            </w:r>
          </w:p>
        </w:tc>
      </w:tr>
    </w:tbl>
    <w:p>
      <w:r>
        <w:br w:type="page"/>
      </w:r>
    </w:p>
    <w:p>
      <w:pPr>
        <w:pStyle w:val="Heading1"/>
        <w:spacing w:after="200" w:before="400"/>
      </w:pPr>
      <w:r>
        <w:t xml:space="preserve">9. Core Workflow 5 — Progress Reporting After Approval</w:t>
      </w:r>
    </w:p>
    <w:p>
      <w:pPr>
        <w:spacing w:after="160"/>
      </w:pPr>
      <w:r>
        <w:rPr>
          <w:color w:val="1F2937"/>
          <w:sz w:val="21"/>
          <w:szCs w:val="21"/>
        </w:rPr>
        <w:t xml:space="preserve">Once a project is Approved, the focal point can keep the record alive for the ministry and any interested investors by posting dated progress updates, optionally with attached evidence (site photos, procurement documents, monitoring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5%"/>
            <w:tcBorders>
              <w:top w:val="single" w:color="FFFFFF" w:sz="6"/>
              <w:left w:val="single" w:color="FFFFFF" w:sz="6"/>
              <w:bottom w:val="single" w:color="FFFFFF" w:sz="6"/>
              <w:right w:val="single" w:color="FFFFFF" w:sz="6"/>
            </w:tcBorders>
          </w:tcPr>
          <w:p>
            <w:r>
              <w:t xml:space="preserve"/>
            </w:r>
          </w:p>
        </w:tc>
        <w:tc>
          <w:tcPr>
            <w:tcW w:type="pct" w:w="55%"/>
            <w:tcBorders>
              <w:top w:val="single" w:color="2F9E6D" w:sz="6"/>
              <w:left w:val="single" w:color="2F9E6D" w:sz="6"/>
              <w:bottom w:val="single" w:color="2F9E6D" w:sz="6"/>
              <w:right w:val="single" w:color="2F9E6D"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Project status = Approved</w:t>
            </w:r>
          </w:p>
        </w:tc>
        <w:tc>
          <w:tcPr>
            <w:tcW w:type="pct" w:w="22.5%"/>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focal point opens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7%"/>
            <w:tcBorders>
              <w:top w:val="single" w:color="FFFFFF" w:sz="6"/>
              <w:left w:val="single" w:color="FFFFFF" w:sz="6"/>
              <w:bottom w:val="single" w:color="FFFFFF" w:sz="6"/>
              <w:right w:val="single" w:color="FFFFFF" w:sz="6"/>
            </w:tcBorders>
          </w:tcPr>
          <w:p>
            <w:r>
              <w:t xml:space="preserve"/>
            </w:r>
          </w:p>
        </w:tc>
        <w:tc>
          <w:tcPr>
            <w:tcW w:type="pct" w:w="66%"/>
            <w:tcBorders>
              <w:top w:val="single" w:color="17A4C2" w:sz="6"/>
              <w:left w:val="single" w:color="17A4C2" w:sz="6"/>
              <w:bottom w:val="single" w:color="17A4C2" w:sz="6"/>
              <w:right w:val="single" w:color="17A4C2"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Writes update text + attaches evidence files (optional)</w:t>
            </w:r>
          </w:p>
        </w:tc>
        <w:tc>
          <w:tcPr>
            <w:tcW w:type="pct" w:w="17%"/>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posts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3%"/>
            <w:tcBorders>
              <w:top w:val="single" w:color="FFFFFF" w:sz="6"/>
              <w:left w:val="single" w:color="FFFFFF" w:sz="6"/>
              <w:bottom w:val="single" w:color="FFFFFF" w:sz="6"/>
              <w:right w:val="single" w:color="FFFFFF" w:sz="6"/>
            </w:tcBorders>
          </w:tcPr>
          <w:p>
            <w:r>
              <w:t xml:space="preserve"/>
            </w:r>
          </w:p>
        </w:tc>
        <w:tc>
          <w:tcPr>
            <w:tcW w:type="pct" w:w="74%"/>
            <w:tcBorders>
              <w:top w:val="single" w:color="1C2D7A" w:sz="6"/>
              <w:left w:val="single" w:color="1C2D7A" w:sz="6"/>
              <w:bottom w:val="single" w:color="1C2D7A" w:sz="6"/>
              <w:right w:val="single" w:color="1C2D7A" w:sz="6"/>
            </w:tcBorders>
            <w:shd w:fill="EEF0F9" w:color="auto" w:val="clear"/>
            <w:tcMar>
              <w:top w:type="dxa" w:w="140"/>
              <w:left w:type="dxa" w:w="200"/>
              <w:bottom w:type="dxa" w:w="140"/>
              <w:right w:type="dxa" w:w="200"/>
            </w:tcMar>
            <w:vAlign w:val="center"/>
          </w:tcPr>
          <w:p>
            <w:pPr>
              <w:jc w:val="center"/>
            </w:pPr>
            <w:r>
              <w:rPr>
                <w:b/>
                <w:bCs/>
                <w:color w:val="0F172A"/>
                <w:sz w:val="21"/>
                <w:szCs w:val="21"/>
              </w:rPr>
              <w:t xml:space="preserve">Update appended to project timeline
Visible to ministry &amp; investors on the same project detail view, attachments downloadable</w:t>
            </w:r>
          </w:p>
        </w:tc>
        <w:tc>
          <w:tcPr>
            <w:tcW w:type="pct" w:w="13%"/>
            <w:tcBorders>
              <w:top w:val="single" w:color="FFFFFF" w:sz="6"/>
              <w:left w:val="single" w:color="FFFFFF" w:sz="6"/>
              <w:bottom w:val="single" w:color="FFFFFF" w:sz="6"/>
              <w:right w:val="single" w:color="FFFFFF" w:sz="6"/>
            </w:tcBorders>
          </w:tcPr>
          <w:p>
            <w:r>
              <w:t xml:space="preserve"/>
            </w:r>
          </w:p>
        </w:tc>
      </w:tr>
    </w:tbl>
    <w:p>
      <w:pPr>
        <w:pStyle w:val="Heading1"/>
        <w:spacing w:after="200" w:before="400"/>
      </w:pPr>
      <w:r>
        <w:t xml:space="preserve">10. Core Workflow 6 — Notifications</w:t>
      </w:r>
    </w:p>
    <w:p>
      <w:pPr>
        <w:spacing w:after="160"/>
      </w:pPr>
      <w:r>
        <w:rPr>
          <w:color w:val="1F2937"/>
          <w:sz w:val="21"/>
          <w:szCs w:val="21"/>
        </w:rPr>
        <w:t xml:space="preserve">Notifications are scoped by audience so each role only sees what is relevant to them:</w:t>
      </w:r>
    </w:p>
    <w:p>
      <w:pPr>
        <w:pStyle w:val="ListParagraph"/>
        <w:numPr>
          <w:ilvl w:val="0"/>
          <w:numId w:val="1"/>
        </w:numPr>
        <w:spacing w:after="90"/>
      </w:pPr>
      <w:r>
        <w:rPr>
          <w:color w:val="1F2937"/>
          <w:sz w:val="21"/>
          <w:szCs w:val="21"/>
        </w:rPr>
        <w:t xml:space="preserve">Admin — notified when a new project is submitted for review.</w:t>
      </w:r>
    </w:p>
    <w:p>
      <w:pPr>
        <w:pStyle w:val="ListParagraph"/>
        <w:numPr>
          <w:ilvl w:val="0"/>
          <w:numId w:val="1"/>
        </w:numPr>
        <w:spacing w:after="90"/>
      </w:pPr>
      <w:r>
        <w:rPr>
          <w:color w:val="1F2937"/>
          <w:sz w:val="21"/>
          <w:szCs w:val="21"/>
        </w:rPr>
        <w:t xml:space="preserve">Focal point (province-scoped) — notified when their project is approved or returned, and when an investor expresses interest.</w:t>
      </w:r>
    </w:p>
    <w:p>
      <w:pPr>
        <w:pStyle w:val="ListParagraph"/>
        <w:numPr>
          <w:ilvl w:val="0"/>
          <w:numId w:val="1"/>
        </w:numPr>
        <w:spacing w:after="90"/>
      </w:pPr>
      <w:r>
        <w:rPr>
          <w:color w:val="1F2937"/>
          <w:sz w:val="21"/>
          <w:szCs w:val="21"/>
        </w:rPr>
        <w:t xml:space="preserve">Investor — notified of catalogue updates relevant to saved/interested projects.</w:t>
      </w:r>
    </w:p>
    <w:p>
      <w:pPr>
        <w:pStyle w:val="ListParagraph"/>
        <w:numPr>
          <w:ilvl w:val="0"/>
          <w:numId w:val="1"/>
        </w:numPr>
        <w:spacing w:after="90"/>
      </w:pPr>
      <w:r>
        <w:rPr>
          <w:color w:val="1F2937"/>
          <w:sz w:val="21"/>
          <w:szCs w:val="21"/>
        </w:rPr>
        <w:t xml:space="preserve">Public — general pipeline milestones (e.g. total approved projects reaching a new benchmark).</w:t>
      </w:r>
    </w:p>
    <w:p>
      <w:r>
        <w:br w:type="page"/>
      </w:r>
    </w:p>
    <w:p>
      <w:pPr>
        <w:pStyle w:val="Heading1"/>
        <w:spacing w:after="200" w:before="400"/>
      </w:pPr>
      <w:r>
        <w:t xml:space="preserve">11. Document &amp; Attachment Management</w:t>
      </w:r>
    </w:p>
    <w:p>
      <w:pPr>
        <w:spacing w:after="160"/>
      </w:pPr>
      <w:r>
        <w:rPr>
          <w:color w:val="1F2937"/>
          <w:sz w:val="21"/>
          <w:szCs w:val="21"/>
        </w:rPr>
        <w:t xml:space="preserve">Attachments are a first-class part of the workflow rather than a bolt-on. The same upload/download component is reused across the platform so behavior is fully consistent:</w:t>
      </w:r>
    </w:p>
    <w:p>
      <w:pPr>
        <w:pStyle w:val="ListParagraph"/>
        <w:numPr>
          <w:ilvl w:val="0"/>
          <w:numId w:val="1"/>
        </w:numPr>
        <w:spacing w:after="90"/>
      </w:pPr>
      <w:r>
        <w:rPr>
          <w:color w:val="1F2937"/>
          <w:sz w:val="21"/>
          <w:szCs w:val="21"/>
        </w:rPr>
        <w:t xml:space="preserve">Submission documents — attached by the focal point during Step 5 of the wizard (feasibility studies, cost breakdowns, environmental assessments, letters of support).</w:t>
      </w:r>
    </w:p>
    <w:p>
      <w:pPr>
        <w:pStyle w:val="ListParagraph"/>
        <w:numPr>
          <w:ilvl w:val="0"/>
          <w:numId w:val="1"/>
        </w:numPr>
        <w:spacing w:after="90"/>
      </w:pPr>
      <w:r>
        <w:rPr>
          <w:color w:val="1F2937"/>
          <w:sz w:val="21"/>
          <w:szCs w:val="21"/>
        </w:rPr>
        <w:t xml:space="preserve">Return notes — the administrator can attach supporting files when returning a project for changes.</w:t>
      </w:r>
    </w:p>
    <w:p>
      <w:pPr>
        <w:pStyle w:val="ListParagraph"/>
        <w:numPr>
          <w:ilvl w:val="0"/>
          <w:numId w:val="1"/>
        </w:numPr>
        <w:spacing w:after="90"/>
      </w:pPr>
      <w:r>
        <w:rPr>
          <w:color w:val="1F2937"/>
          <w:sz w:val="21"/>
          <w:szCs w:val="21"/>
        </w:rPr>
        <w:t xml:space="preserve">Reviewer / admin comments — comments can include attached reference files.</w:t>
      </w:r>
    </w:p>
    <w:p>
      <w:pPr>
        <w:pStyle w:val="ListParagraph"/>
        <w:numPr>
          <w:ilvl w:val="0"/>
          <w:numId w:val="1"/>
        </w:numPr>
        <w:spacing w:after="90"/>
      </w:pPr>
      <w:r>
        <w:rPr>
          <w:color w:val="1F2937"/>
          <w:sz w:val="21"/>
          <w:szCs w:val="21"/>
        </w:rPr>
        <w:t xml:space="preserve">Progress updates — focal points can attach evidence files to any progress update on an approved project.</w:t>
      </w:r>
    </w:p>
    <w:p>
      <w:pPr>
        <w:spacing w:after="160"/>
      </w:pPr>
      <w:r>
        <w:rPr>
          <w:color w:val="1F2937"/>
          <w:sz w:val="21"/>
          <w:szCs w:val="21"/>
        </w:rPr>
        <w:t xml:space="preserve">Every attachment, regardless of who uploaded it or at which stage, is listed with file name, size, uploader, and date, and is downloadable with a single click from the shared project detail view — ensuring nothing shared during the review process is ever lost or hidden in an email thread.</w:t>
      </w:r>
    </w:p>
    <w:p>
      <w:pPr>
        <w:pStyle w:val="Heading1"/>
        <w:spacing w:after="200" w:before="400"/>
      </w:pPr>
      <w:r>
        <w:t xml:space="preserve">12. Project Status Lifecycle</w:t>
      </w:r>
    </w:p>
    <w:tbl>
      <w:tblPr>
        <w:tblW w:type="pct" w:w="100%"/>
        <w:tblBorders>
          <w:top w:val="single" w:color="D6DBE6" w:sz="4"/>
          <w:left w:val="single" w:color="D6DBE6" w:sz="4"/>
          <w:bottom w:val="single" w:color="D6DBE6" w:sz="4"/>
          <w:right w:val="single" w:color="D6DBE6" w:sz="4"/>
          <w:insideH w:val="single" w:color="D6DBE6" w:sz="4"/>
          <w:insideV w:val="single" w:color="D6DBE6" w:sz="4"/>
        </w:tblBorders>
      </w:tblPr>
      <w:tblGrid>
        <w:gridCol w:w="100"/>
        <w:gridCol w:w="100"/>
        <w:gridCol w:w="100"/>
      </w:tblGrid>
      <w:tr>
        <w:trPr>
          <w:tblHeader/>
        </w:trPr>
        <w:tc>
          <w:tcPr>
            <w:shd w:fill="1C2D7A" w:color="auto" w:val="clear"/>
            <w:tcMar>
              <w:top w:type="dxa" w:w="100"/>
              <w:left w:type="dxa" w:w="120"/>
              <w:bottom w:type="dxa" w:w="100"/>
              <w:right w:type="dxa" w:w="120"/>
            </w:tcMar>
          </w:tcPr>
          <w:p>
            <w:r>
              <w:rPr>
                <w:b/>
                <w:bCs/>
                <w:color w:val="FFFFFF"/>
                <w:sz w:val="19"/>
                <w:szCs w:val="19"/>
              </w:rPr>
              <w:t xml:space="preserve">Status</w:t>
            </w:r>
          </w:p>
        </w:tc>
        <w:tc>
          <w:tcPr>
            <w:shd w:fill="1C2D7A" w:color="auto" w:val="clear"/>
            <w:tcMar>
              <w:top w:type="dxa" w:w="100"/>
              <w:left w:type="dxa" w:w="120"/>
              <w:bottom w:type="dxa" w:w="100"/>
              <w:right w:type="dxa" w:w="120"/>
            </w:tcMar>
          </w:tcPr>
          <w:p>
            <w:r>
              <w:rPr>
                <w:b/>
                <w:bCs/>
                <w:color w:val="FFFFFF"/>
                <w:sz w:val="19"/>
                <w:szCs w:val="19"/>
              </w:rPr>
              <w:t xml:space="preserve">Meaning</w:t>
            </w:r>
          </w:p>
        </w:tc>
        <w:tc>
          <w:tcPr>
            <w:shd w:fill="1C2D7A" w:color="auto" w:val="clear"/>
            <w:tcMar>
              <w:top w:type="dxa" w:w="100"/>
              <w:left w:type="dxa" w:w="120"/>
              <w:bottom w:type="dxa" w:w="100"/>
              <w:right w:type="dxa" w:w="120"/>
            </w:tcMar>
          </w:tcPr>
          <w:p>
            <w:r>
              <w:rPr>
                <w:b/>
                <w:bCs/>
                <w:color w:val="FFFFFF"/>
                <w:sz w:val="19"/>
                <w:szCs w:val="19"/>
              </w:rPr>
              <w:t xml:space="preserve">Who can move it to this status</w:t>
            </w:r>
          </w:p>
        </w:tc>
      </w:tr>
      <w:tr>
        <w:tc>
          <w:tcPr>
            <w:shd w:fill="FFFFFF" w:color="auto" w:val="clear"/>
            <w:tcMar>
              <w:top w:type="dxa" w:w="100"/>
              <w:left w:type="dxa" w:w="120"/>
              <w:bottom w:type="dxa" w:w="100"/>
              <w:right w:type="dxa" w:w="120"/>
            </w:tcMar>
          </w:tcPr>
          <w:p>
            <w:r>
              <w:rPr>
                <w:b/>
                <w:bCs/>
                <w:color w:val="1C2D7A"/>
                <w:sz w:val="19"/>
                <w:szCs w:val="19"/>
              </w:rPr>
              <w:t xml:space="preserve">Draft</w:t>
            </w:r>
          </w:p>
        </w:tc>
        <w:tc>
          <w:tcPr>
            <w:shd w:fill="FFFFFF" w:color="auto" w:val="clear"/>
            <w:tcMar>
              <w:top w:type="dxa" w:w="100"/>
              <w:left w:type="dxa" w:w="120"/>
              <w:bottom w:type="dxa" w:w="100"/>
              <w:right w:type="dxa" w:w="120"/>
            </w:tcMar>
          </w:tcPr>
          <w:p>
            <w:r>
              <w:rPr>
                <w:b w:val="false"/>
                <w:bCs w:val="false"/>
                <w:color w:val="1F2937"/>
                <w:sz w:val="19"/>
                <w:szCs w:val="19"/>
              </w:rPr>
              <w:t xml:space="preserve">Created by the focal point; incomplete or awaiting final review before submission. Fully editable.</w:t>
            </w:r>
          </w:p>
        </w:tc>
        <w:tc>
          <w:tcPr>
            <w:shd w:fill="FFFFFF" w:color="auto" w:val="clear"/>
            <w:tcMar>
              <w:top w:type="dxa" w:w="100"/>
              <w:left w:type="dxa" w:w="120"/>
              <w:bottom w:type="dxa" w:w="100"/>
              <w:right w:type="dxa" w:w="120"/>
            </w:tcMar>
          </w:tcPr>
          <w:p>
            <w:r>
              <w:rPr>
                <w:b w:val="false"/>
                <w:bCs w:val="false"/>
                <w:color w:val="1F2937"/>
                <w:sz w:val="19"/>
                <w:szCs w:val="19"/>
              </w:rPr>
              <w:t xml:space="preserve">Focal point (auto on creation / save-as-draft)</w:t>
            </w:r>
          </w:p>
        </w:tc>
      </w:tr>
      <w:tr>
        <w:tc>
          <w:tcPr>
            <w:shd w:fill="F7F9FC" w:color="auto" w:val="clear"/>
            <w:tcMar>
              <w:top w:type="dxa" w:w="100"/>
              <w:left w:type="dxa" w:w="120"/>
              <w:bottom w:type="dxa" w:w="100"/>
              <w:right w:type="dxa" w:w="120"/>
            </w:tcMar>
          </w:tcPr>
          <w:p>
            <w:r>
              <w:rPr>
                <w:b/>
                <w:bCs/>
                <w:color w:val="1C2D7A"/>
                <w:sz w:val="19"/>
                <w:szCs w:val="19"/>
              </w:rPr>
              <w:t xml:space="preserve">Submitted</w:t>
            </w:r>
          </w:p>
        </w:tc>
        <w:tc>
          <w:tcPr>
            <w:shd w:fill="F7F9FC" w:color="auto" w:val="clear"/>
            <w:tcMar>
              <w:top w:type="dxa" w:w="100"/>
              <w:left w:type="dxa" w:w="120"/>
              <w:bottom w:type="dxa" w:w="100"/>
              <w:right w:type="dxa" w:w="120"/>
            </w:tcMar>
          </w:tcPr>
          <w:p>
            <w:r>
              <w:rPr>
                <w:b w:val="false"/>
                <w:bCs w:val="false"/>
                <w:color w:val="1F2937"/>
                <w:sz w:val="19"/>
                <w:szCs w:val="19"/>
              </w:rPr>
              <w:t xml:space="preserve">Sent to the ministry review queue and awaiting a first decision.</w:t>
            </w:r>
          </w:p>
        </w:tc>
        <w:tc>
          <w:tcPr>
            <w:shd w:fill="F7F9FC" w:color="auto" w:val="clear"/>
            <w:tcMar>
              <w:top w:type="dxa" w:w="100"/>
              <w:left w:type="dxa" w:w="120"/>
              <w:bottom w:type="dxa" w:w="100"/>
              <w:right w:type="dxa" w:w="120"/>
            </w:tcMar>
          </w:tcPr>
          <w:p>
            <w:r>
              <w:rPr>
                <w:b w:val="false"/>
                <w:bCs w:val="false"/>
                <w:color w:val="1F2937"/>
                <w:sz w:val="19"/>
                <w:szCs w:val="19"/>
              </w:rPr>
              <w:t xml:space="preserve">Focal point (via “Submit”)</w:t>
            </w:r>
          </w:p>
        </w:tc>
      </w:tr>
      <w:tr>
        <w:tc>
          <w:tcPr>
            <w:shd w:fill="FFFFFF" w:color="auto" w:val="clear"/>
            <w:tcMar>
              <w:top w:type="dxa" w:w="100"/>
              <w:left w:type="dxa" w:w="120"/>
              <w:bottom w:type="dxa" w:w="100"/>
              <w:right w:type="dxa" w:w="120"/>
            </w:tcMar>
          </w:tcPr>
          <w:p>
            <w:r>
              <w:rPr>
                <w:b/>
                <w:bCs/>
                <w:color w:val="1C2D7A"/>
                <w:sz w:val="19"/>
                <w:szCs w:val="19"/>
              </w:rPr>
              <w:t xml:space="preserve">Under Review</w:t>
            </w:r>
          </w:p>
        </w:tc>
        <w:tc>
          <w:tcPr>
            <w:shd w:fill="FFFFFF" w:color="auto" w:val="clear"/>
            <w:tcMar>
              <w:top w:type="dxa" w:w="100"/>
              <w:left w:type="dxa" w:w="120"/>
              <w:bottom w:type="dxa" w:w="100"/>
              <w:right w:type="dxa" w:w="120"/>
            </w:tcMar>
          </w:tcPr>
          <w:p>
            <w:r>
              <w:rPr>
                <w:b w:val="false"/>
                <w:bCs w:val="false"/>
                <w:color w:val="1F2937"/>
                <w:sz w:val="19"/>
                <w:szCs w:val="19"/>
              </w:rPr>
              <w:t xml:space="preserve">Being actively examined by a ministry reviewer/administrator.</w:t>
            </w:r>
          </w:p>
        </w:tc>
        <w:tc>
          <w:tcPr>
            <w:shd w:fill="FFFFFF" w:color="auto" w:val="clear"/>
            <w:tcMar>
              <w:top w:type="dxa" w:w="100"/>
              <w:left w:type="dxa" w:w="120"/>
              <w:bottom w:type="dxa" w:w="100"/>
              <w:right w:type="dxa" w:w="120"/>
            </w:tcMar>
          </w:tcPr>
          <w:p>
            <w:r>
              <w:rPr>
                <w:b w:val="false"/>
                <w:bCs w:val="false"/>
                <w:color w:val="1F2937"/>
                <w:sz w:val="19"/>
                <w:szCs w:val="19"/>
              </w:rPr>
              <w:t xml:space="preserve">Administrator / assigned to reviewer</w:t>
            </w:r>
          </w:p>
        </w:tc>
      </w:tr>
      <w:tr>
        <w:tc>
          <w:tcPr>
            <w:shd w:fill="F7F9FC" w:color="auto" w:val="clear"/>
            <w:tcMar>
              <w:top w:type="dxa" w:w="100"/>
              <w:left w:type="dxa" w:w="120"/>
              <w:bottom w:type="dxa" w:w="100"/>
              <w:right w:type="dxa" w:w="120"/>
            </w:tcMar>
          </w:tcPr>
          <w:p>
            <w:r>
              <w:rPr>
                <w:b/>
                <w:bCs/>
                <w:color w:val="1C2D7A"/>
                <w:sz w:val="19"/>
                <w:szCs w:val="19"/>
              </w:rPr>
              <w:t xml:space="preserve">Returned</w:t>
            </w:r>
          </w:p>
        </w:tc>
        <w:tc>
          <w:tcPr>
            <w:shd w:fill="F7F9FC" w:color="auto" w:val="clear"/>
            <w:tcMar>
              <w:top w:type="dxa" w:w="100"/>
              <w:left w:type="dxa" w:w="120"/>
              <w:bottom w:type="dxa" w:w="100"/>
              <w:right w:type="dxa" w:w="120"/>
            </w:tcMar>
          </w:tcPr>
          <w:p>
            <w:r>
              <w:rPr>
                <w:b w:val="false"/>
                <w:bCs w:val="false"/>
                <w:color w:val="1F2937"/>
                <w:sz w:val="19"/>
                <w:szCs w:val="19"/>
              </w:rPr>
              <w:t xml:space="preserve">Sent back to the province with a mandatory comment describing what must change. Editable again by the focal point.</w:t>
            </w:r>
          </w:p>
        </w:tc>
        <w:tc>
          <w:tcPr>
            <w:shd w:fill="F7F9FC" w:color="auto" w:val="clear"/>
            <w:tcMar>
              <w:top w:type="dxa" w:w="100"/>
              <w:left w:type="dxa" w:w="120"/>
              <w:bottom w:type="dxa" w:w="100"/>
              <w:right w:type="dxa" w:w="120"/>
            </w:tcMar>
          </w:tcPr>
          <w:p>
            <w:r>
              <w:rPr>
                <w:b w:val="false"/>
                <w:bCs w:val="false"/>
                <w:color w:val="1F2937"/>
                <w:sz w:val="19"/>
                <w:szCs w:val="19"/>
              </w:rPr>
              <w:t xml:space="preserve">Administrator</w:t>
            </w:r>
          </w:p>
        </w:tc>
      </w:tr>
      <w:tr>
        <w:tc>
          <w:tcPr>
            <w:shd w:fill="FFFFFF" w:color="auto" w:val="clear"/>
            <w:tcMar>
              <w:top w:type="dxa" w:w="100"/>
              <w:left w:type="dxa" w:w="120"/>
              <w:bottom w:type="dxa" w:w="100"/>
              <w:right w:type="dxa" w:w="120"/>
            </w:tcMar>
          </w:tcPr>
          <w:p>
            <w:r>
              <w:rPr>
                <w:b/>
                <w:bCs/>
                <w:color w:val="1C2D7A"/>
                <w:sz w:val="19"/>
                <w:szCs w:val="19"/>
              </w:rPr>
              <w:t xml:space="preserve">Approved</w:t>
            </w:r>
          </w:p>
        </w:tc>
        <w:tc>
          <w:tcPr>
            <w:shd w:fill="FFFFFF" w:color="auto" w:val="clear"/>
            <w:tcMar>
              <w:top w:type="dxa" w:w="100"/>
              <w:left w:type="dxa" w:w="120"/>
              <w:bottom w:type="dxa" w:w="100"/>
              <w:right w:type="dxa" w:w="120"/>
            </w:tcMar>
          </w:tcPr>
          <w:p>
            <w:r>
              <w:rPr>
                <w:b w:val="false"/>
                <w:bCs w:val="false"/>
                <w:color w:val="1F2937"/>
                <w:sz w:val="19"/>
                <w:szCs w:val="19"/>
              </w:rPr>
              <w:t xml:space="preserve">Published to the investor catalogue; visible to investors; progress updates can now be posted.</w:t>
            </w:r>
          </w:p>
        </w:tc>
        <w:tc>
          <w:tcPr>
            <w:shd w:fill="FFFFFF" w:color="auto" w:val="clear"/>
            <w:tcMar>
              <w:top w:type="dxa" w:w="100"/>
              <w:left w:type="dxa" w:w="120"/>
              <w:bottom w:type="dxa" w:w="100"/>
              <w:right w:type="dxa" w:w="120"/>
            </w:tcMar>
          </w:tcPr>
          <w:p>
            <w:r>
              <w:rPr>
                <w:b w:val="false"/>
                <w:bCs w:val="false"/>
                <w:color w:val="1F2937"/>
                <w:sz w:val="19"/>
                <w:szCs w:val="19"/>
              </w:rPr>
              <w:t xml:space="preserve">Administrator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FFFFFF" w:sz="6"/>
              <w:left w:val="single" w:color="FFFFFF" w:sz="6"/>
              <w:bottom w:val="single" w:color="FFFFFF" w:sz="6"/>
              <w:right w:val="single" w:color="FFFFFF" w:sz="6"/>
            </w:tcBorders>
          </w:tcPr>
          <w:p>
            <w:r>
              <w:t xml:space="preserve"/>
            </w:r>
          </w:p>
        </w:tc>
        <w:tc>
          <w:tcPr>
            <w:tcW w:type="pct" w:w="40%"/>
            <w:tcBorders>
              <w:top w:val="single" w:color="64748B" w:sz="6"/>
              <w:left w:val="single" w:color="64748B" w:sz="6"/>
              <w:bottom w:val="single" w:color="64748B" w:sz="6"/>
              <w:right w:val="single" w:color="64748B" w:sz="6"/>
            </w:tcBorders>
            <w:shd w:fill="F1F5F9" w:color="auto" w:val="clear"/>
            <w:tcMar>
              <w:top w:type="dxa" w:w="140"/>
              <w:left w:type="dxa" w:w="200"/>
              <w:bottom w:type="dxa" w:w="140"/>
              <w:right w:type="dxa" w:w="200"/>
            </w:tcMar>
            <w:vAlign w:val="center"/>
          </w:tcPr>
          <w:p>
            <w:pPr>
              <w:jc w:val="center"/>
            </w:pPr>
            <w:r>
              <w:rPr>
                <w:b/>
                <w:bCs/>
                <w:color w:val="0F172A"/>
                <w:sz w:val="21"/>
                <w:szCs w:val="21"/>
              </w:rPr>
              <w:t xml:space="preserve">Draft</w:t>
            </w:r>
          </w:p>
        </w:tc>
        <w:tc>
          <w:tcPr>
            <w:tcW w:type="pct" w:w="30%"/>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Submit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FFFFFF" w:sz="6"/>
              <w:left w:val="single" w:color="FFFFFF" w:sz="6"/>
              <w:bottom w:val="single" w:color="FFFFFF" w:sz="6"/>
              <w:right w:val="single" w:color="FFFFFF" w:sz="6"/>
            </w:tcBorders>
          </w:tcPr>
          <w:p>
            <w:r>
              <w:t xml:space="preserve"/>
            </w:r>
          </w:p>
        </w:tc>
        <w:tc>
          <w:tcPr>
            <w:tcW w:type="pct" w:w="40%"/>
            <w:tcBorders>
              <w:top w:val="single" w:color="17A4C2" w:sz="6"/>
              <w:left w:val="single" w:color="17A4C2" w:sz="6"/>
              <w:bottom w:val="single" w:color="17A4C2" w:sz="6"/>
              <w:right w:val="single" w:color="17A4C2" w:sz="6"/>
            </w:tcBorders>
            <w:shd w:fill="E6F6FA" w:color="auto" w:val="clear"/>
            <w:tcMar>
              <w:top w:type="dxa" w:w="140"/>
              <w:left w:type="dxa" w:w="200"/>
              <w:bottom w:type="dxa" w:w="140"/>
              <w:right w:type="dxa" w:w="200"/>
            </w:tcMar>
            <w:vAlign w:val="center"/>
          </w:tcPr>
          <w:p>
            <w:pPr>
              <w:jc w:val="center"/>
            </w:pPr>
            <w:r>
              <w:rPr>
                <w:b/>
                <w:bCs/>
                <w:color w:val="0F172A"/>
                <w:sz w:val="21"/>
                <w:szCs w:val="21"/>
              </w:rPr>
              <w:t xml:space="preserve">Submitted</w:t>
            </w:r>
          </w:p>
        </w:tc>
        <w:tc>
          <w:tcPr>
            <w:tcW w:type="pct" w:w="30%"/>
            <w:tcBorders>
              <w:top w:val="single" w:color="FFFFFF" w:sz="6"/>
              <w:left w:val="single" w:color="FFFFFF" w:sz="6"/>
              <w:bottom w:val="single" w:color="FFFFFF" w:sz="6"/>
              <w:right w:val="single" w:color="FFFFFF" w:sz="6"/>
            </w:tcBorders>
          </w:tcPr>
          <w:p>
            <w:r>
              <w:t xml:space="preserve"/>
            </w:r>
          </w:p>
        </w:tc>
      </w:tr>
    </w:tbl>
    <w:p>
      <w:pPr>
        <w:spacing w:after="30" w:before="30"/>
        <w:jc w:val="center"/>
      </w:pPr>
      <w:r>
        <w:rPr>
          <w:b/>
          <w:bCs/>
          <w:color w:val="17A4C2"/>
          <w:sz w:val="22"/>
          <w:szCs w:val="22"/>
        </w:rPr>
        <w:t xml:space="preserve">↓  assigned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FFFFFF" w:sz="6"/>
              <w:left w:val="single" w:color="FFFFFF" w:sz="6"/>
              <w:bottom w:val="single" w:color="FFFFFF" w:sz="6"/>
              <w:right w:val="single" w:color="FFFFFF" w:sz="6"/>
            </w:tcBorders>
          </w:tcPr>
          <w:p>
            <w:r>
              <w:t xml:space="preserve"/>
            </w:r>
          </w:p>
        </w:tc>
        <w:tc>
          <w:tcPr>
            <w:tcW w:type="pct" w:w="40%"/>
            <w:tcBorders>
              <w:top w:val="single" w:color="E8A020" w:sz="6"/>
              <w:left w:val="single" w:color="E8A020" w:sz="6"/>
              <w:bottom w:val="single" w:color="E8A020" w:sz="6"/>
              <w:right w:val="single" w:color="E8A020" w:sz="6"/>
            </w:tcBorders>
            <w:shd w:fill="FDF3E2" w:color="auto" w:val="clear"/>
            <w:tcMar>
              <w:top w:type="dxa" w:w="140"/>
              <w:left w:type="dxa" w:w="200"/>
              <w:bottom w:type="dxa" w:w="140"/>
              <w:right w:type="dxa" w:w="200"/>
            </w:tcMar>
            <w:vAlign w:val="center"/>
          </w:tcPr>
          <w:p>
            <w:pPr>
              <w:jc w:val="center"/>
            </w:pPr>
            <w:r>
              <w:rPr>
                <w:b/>
                <w:bCs/>
                <w:color w:val="0F172A"/>
                <w:sz w:val="21"/>
                <w:szCs w:val="21"/>
              </w:rPr>
              <w:t xml:space="preserve">Under Review</w:t>
            </w:r>
          </w:p>
        </w:tc>
        <w:tc>
          <w:tcPr>
            <w:tcW w:type="pct" w:w="30%"/>
            <w:tcBorders>
              <w:top w:val="single" w:color="FFFFFF" w:sz="6"/>
              <w:left w:val="single" w:color="FFFFFF" w:sz="6"/>
              <w:bottom w:val="single" w:color="FFFFFF" w:sz="6"/>
              <w:right w:val="single" w:color="FFFFFF" w:sz="6"/>
            </w:tcBorders>
          </w:tcPr>
          <w:p>
            <w: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FFFFFF" w:sz="6"/>
              <w:left w:val="single" w:color="FFFFFF" w:sz="6"/>
              <w:bottom w:val="single" w:color="FFFFFF" w:sz="6"/>
              <w:right w:val="single" w:color="FFFFFF" w:sz="6"/>
            </w:tcBorders>
          </w:tcPr>
          <w:p>
            <w:pPr>
              <w:jc w:val="center"/>
            </w:pPr>
            <w:r>
              <w:rPr>
                <w:b/>
                <w:bCs/>
                <w:color w:val="17A4C2"/>
                <w:sz w:val="18"/>
                <w:szCs w:val="18"/>
              </w:rPr>
              <w:t xml:space="preserve">↓ Approve</w:t>
            </w:r>
          </w:p>
        </w:tc>
        <w:tc>
          <w:tcPr>
            <w:tcW w:type="pct" w:w="50%"/>
            <w:tcBorders>
              <w:top w:val="single" w:color="FFFFFF" w:sz="6"/>
              <w:left w:val="single" w:color="FFFFFF" w:sz="6"/>
              <w:bottom w:val="single" w:color="FFFFFF" w:sz="6"/>
              <w:right w:val="single" w:color="FFFFFF" w:sz="6"/>
            </w:tcBorders>
          </w:tcPr>
          <w:p>
            <w:pPr>
              <w:jc w:val="center"/>
            </w:pPr>
            <w:r>
              <w:rPr>
                <w:b/>
                <w:bCs/>
                <w:color w:val="17A4C2"/>
                <w:sz w:val="18"/>
                <w:szCs w:val="18"/>
              </w:rPr>
              <w:t xml:space="preserve">↓ Return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2F9E6D" w:sz="6"/>
              <w:left w:val="single" w:color="2F9E6D" w:sz="6"/>
              <w:bottom w:val="single" w:color="2F9E6D" w:sz="6"/>
              <w:right w:val="single" w:color="2F9E6D" w:sz="6"/>
            </w:tcBorders>
            <w:shd w:fill="E7F5EE" w:color="auto" w:val="clear"/>
            <w:tcMar>
              <w:top w:type="dxa" w:w="140"/>
              <w:left w:type="dxa" w:w="160"/>
              <w:bottom w:type="dxa" w:w="140"/>
              <w:right w:type="dxa" w:w="160"/>
            </w:tcMar>
            <w:vAlign w:val="center"/>
          </w:tcPr>
          <w:p>
            <w:pPr>
              <w:jc w:val="center"/>
            </w:pPr>
            <w:r>
              <w:rPr>
                <w:b/>
                <w:bCs/>
                <w:color w:val="0F172A"/>
                <w:sz w:val="20"/>
                <w:szCs w:val="20"/>
              </w:rPr>
              <w:t xml:space="preserve">Approved</w:t>
            </w:r>
          </w:p>
          <w:p>
            <w:pPr>
              <w:jc w:val="center"/>
            </w:pPr>
            <w:r>
              <w:rPr>
                <w:i/>
                <w:iCs/>
                <w:color w:val="64748B"/>
                <w:sz w:val="16"/>
                <w:szCs w:val="16"/>
              </w:rPr>
              <w:t xml:space="preserve">Published to investor catalogue</w:t>
            </w:r>
          </w:p>
        </w:tc>
        <w:tc>
          <w:tcPr>
            <w:tcW w:type="pct" w:w="50%"/>
            <w:tcBorders>
              <w:top w:val="single" w:color="C0455F" w:sz="6"/>
              <w:left w:val="single" w:color="C0455F" w:sz="6"/>
              <w:bottom w:val="single" w:color="C0455F" w:sz="6"/>
              <w:right w:val="single" w:color="C0455F" w:sz="6"/>
            </w:tcBorders>
            <w:shd w:fill="FBE9EC" w:color="auto" w:val="clear"/>
            <w:tcMar>
              <w:top w:type="dxa" w:w="140"/>
              <w:left w:type="dxa" w:w="160"/>
              <w:bottom w:type="dxa" w:w="140"/>
              <w:right w:type="dxa" w:w="160"/>
            </w:tcMar>
            <w:vAlign w:val="center"/>
          </w:tcPr>
          <w:p>
            <w:pPr>
              <w:jc w:val="center"/>
            </w:pPr>
            <w:r>
              <w:rPr>
                <w:b/>
                <w:bCs/>
                <w:color w:val="0F172A"/>
                <w:sz w:val="20"/>
                <w:szCs w:val="20"/>
              </w:rPr>
              <w:t xml:space="preserve">Returned</w:t>
            </w:r>
          </w:p>
          <w:p>
            <w:pPr>
              <w:jc w:val="center"/>
            </w:pPr>
            <w:r>
              <w:rPr>
                <w:i/>
                <w:iCs/>
                <w:color w:val="64748B"/>
                <w:sz w:val="16"/>
                <w:szCs w:val="16"/>
              </w:rPr>
              <w:t xml:space="preserve">Editable again by focal point, then re-submitted</w:t>
            </w:r>
          </w:p>
        </w:tc>
      </w:tr>
    </w:tbl>
    <w:p>
      <w:pPr>
        <w:spacing w:after="120"/>
      </w:pPr>
    </w:p>
    <w:p>
      <w:pPr>
        <w:spacing w:after="160"/>
      </w:pPr>
      <w:r>
        <w:rPr>
          <w:color w:val="1F2937"/>
          <w:sz w:val="21"/>
          <w:szCs w:val="21"/>
        </w:rPr>
        <w:t xml:space="preserve">A Returned project loops back into the Draft/edit state and can be re-submitted, restarting the review portion of the cycle — nothing is ever deleted, only appended to history.</w:t>
      </w:r>
    </w:p>
    <w:p>
      <w:r>
        <w:br w:type="page"/>
      </w:r>
    </w:p>
    <w:p>
      <w:pPr>
        <w:pStyle w:val="Heading1"/>
        <w:spacing w:after="200" w:before="400"/>
      </w:pPr>
      <w:r>
        <w:t xml:space="preserve">13. Dashboard-by-Dashboard Feature Summary</w:t>
      </w:r>
    </w:p>
    <w:p>
      <w:pPr>
        <w:pStyle w:val="Heading2"/>
        <w:spacing w:after="150" w:before="300"/>
      </w:pPr>
      <w:r>
        <w:t xml:space="preserve">13.1 Administrator Dashboard</w:t>
      </w:r>
    </w:p>
    <w:p>
      <w:pPr>
        <w:pStyle w:val="ListParagraph"/>
        <w:numPr>
          <w:ilvl w:val="0"/>
          <w:numId w:val="1"/>
        </w:numPr>
        <w:spacing w:after="90"/>
      </w:pPr>
      <w:r>
        <w:rPr>
          <w:color w:val="1F2937"/>
          <w:sz w:val="21"/>
          <w:szCs w:val="21"/>
        </w:rPr>
        <w:t xml:space="preserve">Executive overview: national KPIs (total pipeline, approved count, funding gap, beneficiaries/jobs), pipeline growth trend, review-status radial chart, province and sector breakdowns.</w:t>
      </w:r>
    </w:p>
    <w:p>
      <w:pPr>
        <w:pStyle w:val="ListParagraph"/>
        <w:numPr>
          <w:ilvl w:val="0"/>
          <w:numId w:val="1"/>
        </w:numPr>
        <w:spacing w:after="90"/>
      </w:pPr>
      <w:r>
        <w:rPr>
          <w:color w:val="1F2937"/>
          <w:sz w:val="21"/>
          <w:szCs w:val="21"/>
        </w:rPr>
        <w:t xml:space="preserve">Project Review Queue: search/filter, approve, return-with-comment-and-attachment, and full project detail modal.</w:t>
      </w:r>
    </w:p>
    <w:p>
      <w:pPr>
        <w:pStyle w:val="ListParagraph"/>
        <w:numPr>
          <w:ilvl w:val="0"/>
          <w:numId w:val="1"/>
        </w:numPr>
        <w:spacing w:after="90"/>
      </w:pPr>
      <w:r>
        <w:rPr>
          <w:color w:val="1F2937"/>
          <w:sz w:val="21"/>
          <w:szCs w:val="21"/>
        </w:rPr>
        <w:t xml:space="preserve">Geography &amp; Provinces: per-province project counts, funding gaps, saturation levels.</w:t>
      </w:r>
    </w:p>
    <w:p>
      <w:pPr>
        <w:pStyle w:val="ListParagraph"/>
        <w:numPr>
          <w:ilvl w:val="0"/>
          <w:numId w:val="1"/>
        </w:numPr>
        <w:spacing w:after="90"/>
      </w:pPr>
      <w:r>
        <w:rPr>
          <w:color w:val="1F2937"/>
          <w:sz w:val="21"/>
          <w:szCs w:val="21"/>
        </w:rPr>
        <w:t xml:space="preserve">WEF Nexus: distribution of projects across Water / Energy / Food dimensions.</w:t>
      </w:r>
    </w:p>
    <w:p>
      <w:pPr>
        <w:pStyle w:val="ListParagraph"/>
        <w:numPr>
          <w:ilvl w:val="0"/>
          <w:numId w:val="1"/>
        </w:numPr>
        <w:spacing w:after="90"/>
      </w:pPr>
      <w:r>
        <w:rPr>
          <w:color w:val="1F2937"/>
          <w:sz w:val="21"/>
          <w:szCs w:val="21"/>
        </w:rPr>
        <w:t xml:space="preserve">Users &amp; Roles: create/deactivate users, assign roles and province scope.</w:t>
      </w:r>
    </w:p>
    <w:p>
      <w:pPr>
        <w:pStyle w:val="ListParagraph"/>
        <w:numPr>
          <w:ilvl w:val="0"/>
          <w:numId w:val="1"/>
        </w:numPr>
        <w:spacing w:after="90"/>
      </w:pPr>
      <w:r>
        <w:rPr>
          <w:color w:val="1F2937"/>
          <w:sz w:val="21"/>
          <w:szCs w:val="21"/>
        </w:rPr>
        <w:t xml:space="preserve">Reports: exportable summaries for ministry reporting.</w:t>
      </w:r>
    </w:p>
    <w:p>
      <w:pPr>
        <w:pStyle w:val="Heading2"/>
        <w:spacing w:after="150" w:before="300"/>
      </w:pPr>
      <w:r>
        <w:t xml:space="preserve">13.2 Reviewer Dashboard</w:t>
      </w:r>
    </w:p>
    <w:p>
      <w:pPr>
        <w:pStyle w:val="ListParagraph"/>
        <w:numPr>
          <w:ilvl w:val="0"/>
          <w:numId w:val="1"/>
        </w:numPr>
        <w:spacing w:after="90"/>
      </w:pPr>
      <w:r>
        <w:rPr>
          <w:color w:val="1F2937"/>
          <w:sz w:val="21"/>
          <w:szCs w:val="21"/>
        </w:rPr>
        <w:t xml:space="preserve">Same analytics views as the Administrator (read-only).</w:t>
      </w:r>
    </w:p>
    <w:p>
      <w:pPr>
        <w:pStyle w:val="ListParagraph"/>
        <w:numPr>
          <w:ilvl w:val="0"/>
          <w:numId w:val="1"/>
        </w:numPr>
        <w:spacing w:after="90"/>
      </w:pPr>
      <w:r>
        <w:rPr>
          <w:color w:val="1F2937"/>
          <w:sz w:val="21"/>
          <w:szCs w:val="21"/>
        </w:rPr>
        <w:t xml:space="preserve">“Review &amp; Comment” queue: open any submission, add comments and attachments; no approve/return authority.</w:t>
      </w:r>
    </w:p>
    <w:p>
      <w:pPr>
        <w:pStyle w:val="Heading2"/>
        <w:spacing w:after="150" w:before="300"/>
      </w:pPr>
      <w:r>
        <w:t xml:space="preserve">13.3 Provincial Focal Point Dashboard</w:t>
      </w:r>
    </w:p>
    <w:p>
      <w:pPr>
        <w:pStyle w:val="ListParagraph"/>
        <w:numPr>
          <w:ilvl w:val="0"/>
          <w:numId w:val="1"/>
        </w:numPr>
        <w:spacing w:after="90"/>
      </w:pPr>
      <w:r>
        <w:rPr>
          <w:color w:val="1F2937"/>
          <w:sz w:val="21"/>
          <w:szCs w:val="21"/>
        </w:rPr>
        <w:t xml:space="preserve">Overview: province-scoped KPIs (approved, awaiting decision, funding gap) and sector breakdown chart.</w:t>
      </w:r>
    </w:p>
    <w:p>
      <w:pPr>
        <w:pStyle w:val="ListParagraph"/>
        <w:numPr>
          <w:ilvl w:val="0"/>
          <w:numId w:val="1"/>
        </w:numPr>
        <w:spacing w:after="90"/>
      </w:pPr>
      <w:r>
        <w:rPr>
          <w:color w:val="1F2937"/>
          <w:sz w:val="21"/>
          <w:szCs w:val="21"/>
        </w:rPr>
        <w:t xml:space="preserve">My Projects: full list with status, edit (Draft/Returned), submit, and post-update (Approved) actions.</w:t>
      </w:r>
    </w:p>
    <w:p>
      <w:pPr>
        <w:pStyle w:val="ListParagraph"/>
        <w:numPr>
          <w:ilvl w:val="0"/>
          <w:numId w:val="1"/>
        </w:numPr>
        <w:spacing w:after="90"/>
      </w:pPr>
      <w:r>
        <w:rPr>
          <w:color w:val="1F2937"/>
          <w:sz w:val="21"/>
          <w:szCs w:val="21"/>
        </w:rPr>
        <w:t xml:space="preserve">New Submission: the six-step guided wizard with save-as-draft on every step and document upload.</w:t>
      </w:r>
    </w:p>
    <w:p>
      <w:pPr>
        <w:pStyle w:val="ListParagraph"/>
        <w:numPr>
          <w:ilvl w:val="0"/>
          <w:numId w:val="1"/>
        </w:numPr>
        <w:spacing w:after="90"/>
      </w:pPr>
      <w:r>
        <w:rPr>
          <w:color w:val="1F2937"/>
          <w:sz w:val="21"/>
          <w:szCs w:val="21"/>
        </w:rPr>
        <w:t xml:space="preserve">Investor Interests: view and respond to investor messages with status transitions (In discussion / Connected / Declined).</w:t>
      </w:r>
    </w:p>
    <w:p>
      <w:pPr>
        <w:pStyle w:val="Heading2"/>
        <w:spacing w:after="150" w:before="300"/>
      </w:pPr>
      <w:r>
        <w:t xml:space="preserve">13.4 Investor Dashboard</w:t>
      </w:r>
    </w:p>
    <w:p>
      <w:pPr>
        <w:pStyle w:val="ListParagraph"/>
        <w:numPr>
          <w:ilvl w:val="0"/>
          <w:numId w:val="1"/>
        </w:numPr>
        <w:spacing w:after="90"/>
      </w:pPr>
      <w:r>
        <w:rPr>
          <w:color w:val="1F2937"/>
          <w:sz w:val="21"/>
          <w:szCs w:val="21"/>
        </w:rPr>
        <w:t xml:space="preserve">Catalogue: filterable/searchable list of Approved projects only.</w:t>
      </w:r>
    </w:p>
    <w:p>
      <w:pPr>
        <w:pStyle w:val="ListParagraph"/>
        <w:numPr>
          <w:ilvl w:val="0"/>
          <w:numId w:val="1"/>
        </w:numPr>
        <w:spacing w:after="90"/>
      </w:pPr>
      <w:r>
        <w:rPr>
          <w:color w:val="1F2937"/>
          <w:sz w:val="21"/>
          <w:szCs w:val="21"/>
        </w:rPr>
        <w:t xml:space="preserve">Save projects for later review.</w:t>
      </w:r>
    </w:p>
    <w:p>
      <w:pPr>
        <w:pStyle w:val="ListParagraph"/>
        <w:numPr>
          <w:ilvl w:val="0"/>
          <w:numId w:val="1"/>
        </w:numPr>
        <w:spacing w:after="90"/>
      </w:pPr>
      <w:r>
        <w:rPr>
          <w:color w:val="1F2937"/>
          <w:sz w:val="21"/>
          <w:szCs w:val="21"/>
        </w:rPr>
        <w:t xml:space="preserve">Express interest with a message; track reply status per project.</w:t>
      </w:r>
    </w:p>
    <w:p>
      <w:pPr>
        <w:pStyle w:val="ListParagraph"/>
        <w:numPr>
          <w:ilvl w:val="0"/>
          <w:numId w:val="1"/>
        </w:numPr>
        <w:spacing w:after="90"/>
      </w:pPr>
      <w:r>
        <w:rPr>
          <w:color w:val="1F2937"/>
          <w:sz w:val="21"/>
          <w:szCs w:val="21"/>
        </w:rPr>
        <w:t xml:space="preserve">Analytics: sector and geographic distribution of the approved pipeline.</w:t>
      </w:r>
    </w:p>
    <w:p>
      <w:r>
        <w:br w:type="page"/>
      </w:r>
    </w:p>
    <w:p>
      <w:pPr>
        <w:pStyle w:val="Heading1"/>
        <w:spacing w:after="200" w:before="400"/>
      </w:pPr>
      <w:r>
        <w:t xml:space="preserve">14. Data Captured Per Project</w:t>
      </w:r>
    </w:p>
    <w:p>
      <w:pPr>
        <w:pStyle w:val="ListParagraph"/>
        <w:numPr>
          <w:ilvl w:val="0"/>
          <w:numId w:val="1"/>
        </w:numPr>
        <w:spacing w:after="90"/>
      </w:pPr>
      <w:r>
        <w:rPr>
          <w:color w:val="1F2937"/>
          <w:sz w:val="21"/>
          <w:szCs w:val="21"/>
        </w:rPr>
        <w:t xml:space="preserve">Identity: title, summary, province, district/city, sector, WEF Nexus tags.</w:t>
      </w:r>
    </w:p>
    <w:p>
      <w:pPr>
        <w:pStyle w:val="ListParagraph"/>
        <w:numPr>
          <w:ilvl w:val="0"/>
          <w:numId w:val="1"/>
        </w:numPr>
        <w:spacing w:after="90"/>
      </w:pPr>
      <w:r>
        <w:rPr>
          <w:color w:val="1F2937"/>
          <w:sz w:val="21"/>
          <w:szCs w:val="21"/>
        </w:rPr>
        <w:t xml:space="preserve">Timeline: planned start date, planned end date.</w:t>
      </w:r>
    </w:p>
    <w:p>
      <w:pPr>
        <w:pStyle w:val="ListParagraph"/>
        <w:numPr>
          <w:ilvl w:val="0"/>
          <w:numId w:val="1"/>
        </w:numPr>
        <w:spacing w:after="90"/>
      </w:pPr>
      <w:r>
        <w:rPr>
          <w:color w:val="1F2937"/>
          <w:sz w:val="21"/>
          <w:szCs w:val="21"/>
        </w:rPr>
        <w:t xml:space="preserve">Financials: total cost, funding gap, co-financing secured (all USD).</w:t>
      </w:r>
    </w:p>
    <w:p>
      <w:pPr>
        <w:pStyle w:val="ListParagraph"/>
        <w:numPr>
          <w:ilvl w:val="0"/>
          <w:numId w:val="1"/>
        </w:numPr>
        <w:spacing w:after="90"/>
      </w:pPr>
      <w:r>
        <w:rPr>
          <w:color w:val="1F2937"/>
          <w:sz w:val="21"/>
          <w:szCs w:val="21"/>
        </w:rPr>
        <w:t xml:space="preserve">Impact: beneficiaries, jobs supported, readiness score.</w:t>
      </w:r>
    </w:p>
    <w:p>
      <w:pPr>
        <w:pStyle w:val="ListParagraph"/>
        <w:numPr>
          <w:ilvl w:val="0"/>
          <w:numId w:val="1"/>
        </w:numPr>
        <w:spacing w:after="90"/>
      </w:pPr>
      <w:r>
        <w:rPr>
          <w:color w:val="1F2937"/>
          <w:sz w:val="21"/>
          <w:szCs w:val="21"/>
        </w:rPr>
        <w:t xml:space="preserve">Ownership: implementing agency, focal contact name, email, phone.</w:t>
      </w:r>
    </w:p>
    <w:p>
      <w:pPr>
        <w:pStyle w:val="ListParagraph"/>
        <w:numPr>
          <w:ilvl w:val="0"/>
          <w:numId w:val="1"/>
        </w:numPr>
        <w:spacing w:after="90"/>
      </w:pPr>
      <w:r>
        <w:rPr>
          <w:color w:val="1F2937"/>
          <w:sz w:val="21"/>
          <w:szCs w:val="21"/>
        </w:rPr>
        <w:t xml:space="preserve">Risk: free-text risk &amp; mitigation notes.</w:t>
      </w:r>
    </w:p>
    <w:p>
      <w:pPr>
        <w:pStyle w:val="ListParagraph"/>
        <w:numPr>
          <w:ilvl w:val="0"/>
          <w:numId w:val="1"/>
        </w:numPr>
        <w:spacing w:after="90"/>
      </w:pPr>
      <w:r>
        <w:rPr>
          <w:color w:val="1F2937"/>
          <w:sz w:val="21"/>
          <w:szCs w:val="21"/>
        </w:rPr>
        <w:t xml:space="preserve">Governance trail: full status history (status, note, date, actor, attachments) and progress updates (date, author, text, attachments).</w:t>
      </w:r>
    </w:p>
    <w:p>
      <w:pPr>
        <w:pStyle w:val="ListParagraph"/>
        <w:numPr>
          <w:ilvl w:val="0"/>
          <w:numId w:val="1"/>
        </w:numPr>
        <w:spacing w:after="90"/>
      </w:pPr>
      <w:r>
        <w:rPr>
          <w:color w:val="1F2937"/>
          <w:sz w:val="21"/>
          <w:szCs w:val="21"/>
        </w:rPr>
        <w:t xml:space="preserve">Evidence: submission documents plus any files attached during review or progress reporting.</w:t>
      </w:r>
    </w:p>
    <w:p>
      <w:pPr>
        <w:pStyle w:val="Heading1"/>
        <w:spacing w:after="200" w:before="400"/>
      </w:pPr>
      <w:r>
        <w:t xml:space="preserve">15. UI/UX Design Principles Applied</w:t>
      </w:r>
    </w:p>
    <w:p>
      <w:pPr>
        <w:pStyle w:val="ListParagraph"/>
        <w:numPr>
          <w:ilvl w:val="0"/>
          <w:numId w:val="1"/>
        </w:numPr>
        <w:spacing w:after="90"/>
      </w:pPr>
      <w:r>
        <w:rPr>
          <w:color w:val="1F2937"/>
          <w:sz w:val="21"/>
          <w:szCs w:val="21"/>
        </w:rPr>
        <w:t xml:space="preserve">Progressive disclosure — the submission wizard breaks a long form into short, focused steps instead of one overwhelming page.</w:t>
      </w:r>
    </w:p>
    <w:p>
      <w:pPr>
        <w:pStyle w:val="ListParagraph"/>
        <w:numPr>
          <w:ilvl w:val="0"/>
          <w:numId w:val="1"/>
        </w:numPr>
        <w:spacing w:after="90"/>
      </w:pPr>
      <w:r>
        <w:rPr>
          <w:color w:val="1F2937"/>
          <w:sz w:val="21"/>
          <w:szCs w:val="21"/>
        </w:rPr>
        <w:t xml:space="preserve">Never lose work — a draft can be saved from any step, at any time, with partial information.</w:t>
      </w:r>
    </w:p>
    <w:p>
      <w:pPr>
        <w:pStyle w:val="ListParagraph"/>
        <w:numPr>
          <w:ilvl w:val="0"/>
          <w:numId w:val="1"/>
        </w:numPr>
        <w:spacing w:after="90"/>
      </w:pPr>
      <w:r>
        <w:rPr>
          <w:color w:val="1F2937"/>
          <w:sz w:val="21"/>
          <w:szCs w:val="21"/>
        </w:rPr>
        <w:t xml:space="preserve">Consistent shared components — one project detail modal, one attachment component, and one status badge system are reused everywhere so the experience feels identical across all four roles.</w:t>
      </w:r>
    </w:p>
    <w:p>
      <w:pPr>
        <w:pStyle w:val="ListParagraph"/>
        <w:numPr>
          <w:ilvl w:val="0"/>
          <w:numId w:val="1"/>
        </w:numPr>
        <w:spacing w:after="90"/>
      </w:pPr>
      <w:r>
        <w:rPr>
          <w:color w:val="1F2937"/>
          <w:sz w:val="21"/>
          <w:szCs w:val="21"/>
        </w:rPr>
        <w:t xml:space="preserve">Role clarity — navigation, available actions, and even wording (e.g. “Review &amp; Comment” vs. “Project Review Queue”) change per role so nobody sees an action they are not authorized to take.</w:t>
      </w:r>
    </w:p>
    <w:p>
      <w:pPr>
        <w:pStyle w:val="ListParagraph"/>
        <w:numPr>
          <w:ilvl w:val="0"/>
          <w:numId w:val="1"/>
        </w:numPr>
        <w:spacing w:after="90"/>
      </w:pPr>
      <w:r>
        <w:rPr>
          <w:color w:val="1F2937"/>
          <w:sz w:val="21"/>
          <w:szCs w:val="21"/>
        </w:rPr>
        <w:t xml:space="preserve">Traceability by default — every status change and comment is timestamped, attributed, and permanent, satisfying audit and accountability requirements typical of public-sector programs.</w:t>
      </w:r>
    </w:p>
    <w:p>
      <w:pPr>
        <w:pStyle w:val="ListParagraph"/>
        <w:numPr>
          <w:ilvl w:val="0"/>
          <w:numId w:val="1"/>
        </w:numPr>
        <w:spacing w:after="90"/>
      </w:pPr>
      <w:r>
        <w:rPr>
          <w:color w:val="1F2937"/>
          <w:sz w:val="21"/>
          <w:szCs w:val="21"/>
        </w:rPr>
        <w:t xml:space="preserve">Responsive layout — dashboards, tables, and the wizard adapt from desktop to mobile widths.</w:t>
      </w:r>
    </w:p>
    <w:p>
      <w:pPr>
        <w:pStyle w:val="ListParagraph"/>
        <w:numPr>
          <w:ilvl w:val="0"/>
          <w:numId w:val="1"/>
        </w:numPr>
        <w:spacing w:after="90"/>
      </w:pPr>
      <w:r>
        <w:rPr>
          <w:color w:val="1F2937"/>
          <w:sz w:val="21"/>
          <w:szCs w:val="21"/>
        </w:rPr>
        <w:t xml:space="preserve">Visual status language — a consistent color-coded badge system (Draft/Submitted/Under Review/Approved/Returned) used across every screen and chart.</w:t>
      </w:r>
    </w:p>
    <w:p>
      <w:pPr>
        <w:pStyle w:val="Heading1"/>
        <w:spacing w:after="200" w:before="400"/>
      </w:pPr>
      <w:r>
        <w:t xml:space="preserve">16. Conclusion &amp; Next Steps</w:t>
      </w:r>
    </w:p>
    <w:p>
      <w:pPr>
        <w:spacing w:after="160"/>
      </w:pPr>
      <w:r>
        <w:rPr>
          <w:color w:val="1F2937"/>
          <w:sz w:val="21"/>
          <w:szCs w:val="21"/>
        </w:rPr>
        <w:t xml:space="preserve">The PCPP platform delivers a complete, role-aware digital workflow that takes a climate-resilience project from a partial idea in a province, through a transparent and auditable ministry review process, to a fully documented, investor-ready catalogue entry — with every comment, decision, and document preserved and downloadable at every step.</w:t>
      </w:r>
    </w:p>
    <w:p>
      <w:pPr>
        <w:spacing w:after="160"/>
      </w:pPr>
      <w:r>
        <w:rPr>
          <w:color w:val="1F2937"/>
          <w:sz w:val="21"/>
          <w:szCs w:val="21"/>
        </w:rPr>
        <w:t xml:space="preserve">Recommended next steps for client review:</w:t>
      </w:r>
    </w:p>
    <w:p>
      <w:pPr>
        <w:pStyle w:val="ListParagraph"/>
        <w:numPr>
          <w:ilvl w:val="0"/>
          <w:numId w:val="1"/>
        </w:numPr>
        <w:spacing w:after="90"/>
      </w:pPr>
      <w:r>
        <w:rPr>
          <w:color w:val="1F2937"/>
          <w:sz w:val="21"/>
          <w:szCs w:val="21"/>
        </w:rPr>
        <w:t xml:space="preserve">Validate role permissions against the client's actual organizational structure.</w:t>
      </w:r>
    </w:p>
    <w:p>
      <w:pPr>
        <w:pStyle w:val="ListParagraph"/>
        <w:numPr>
          <w:ilvl w:val="0"/>
          <w:numId w:val="1"/>
        </w:numPr>
        <w:spacing w:after="90"/>
      </w:pPr>
      <w:r>
        <w:rPr>
          <w:color w:val="1F2937"/>
          <w:sz w:val="21"/>
          <w:szCs w:val="21"/>
        </w:rPr>
        <w:t xml:space="preserve">Confirm the exact fields required for financial/legal compliance (e.g. procurement references, currency handling).</w:t>
      </w:r>
    </w:p>
    <w:p>
      <w:pPr>
        <w:pStyle w:val="ListParagraph"/>
        <w:numPr>
          <w:ilvl w:val="0"/>
          <w:numId w:val="1"/>
        </w:numPr>
        <w:spacing w:after="90"/>
      </w:pPr>
      <w:r>
        <w:rPr>
          <w:color w:val="1F2937"/>
          <w:sz w:val="21"/>
          <w:szCs w:val="21"/>
        </w:rPr>
        <w:t xml:space="preserve">Plan integration with a persistent backend and file storage for production use (the current build uses local browser storage for demonstration).</w:t>
      </w:r>
    </w:p>
    <w:p>
      <w:pPr>
        <w:pStyle w:val="ListParagraph"/>
        <w:numPr>
          <w:ilvl w:val="0"/>
          <w:numId w:val="1"/>
        </w:numPr>
        <w:spacing w:after="90"/>
      </w:pPr>
      <w:r>
        <w:rPr>
          <w:color w:val="1F2937"/>
          <w:sz w:val="21"/>
          <w:szCs w:val="21"/>
        </w:rPr>
        <w:t xml:space="preserve">Schedule a walkthrough session per role with client representatives.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5"/>
        <w:szCs w:val="15"/>
      </w:rPr>
      <w:t xml:space="preserve">Page </w:t>
    </w:r>
    <w:r>
      <w:rPr>
        <w:color w:val="64748B"/>
        <w:sz w:val="15"/>
        <w:szCs w:val="15"/>
      </w:rPr>
      <w:fldChar w:fldCharType="begin"/>
      <w:instrText xml:space="preserve">PAGE</w:instrText>
      <w:fldChar w:fldCharType="separate"/>
      <w:fldChar w:fldCharType="end"/>
    </w:r>
    <w:r>
      <w:rPr>
        <w:color w:val="64748B"/>
        <w:sz w:val="15"/>
        <w:szCs w:val="15"/>
      </w:rPr>
      <w:t xml:space="preserve"> of </w:t>
    </w:r>
    <w:r>
      <w:rPr>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5"/>
        <w:szCs w:val="15"/>
      </w:rPr>
      <w:t xml:space="preserve">PCPP Platform — UI/UX &amp; Workflow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C2D7A"/>
      <w:sz w:val="32"/>
      <w:szCs w:val="32"/>
    </w:rPr>
  </w:style>
  <w:style w:type="paragraph" w:styleId="Heading2">
    <w:name w:val="Heading 2"/>
    <w:basedOn w:val="Normal"/>
    <w:next w:val="Normal"/>
    <w:qFormat/>
    <w:rPr>
      <w:rFonts w:ascii="Calibri" w:cs="Calibri" w:eastAsia="Calibri" w:hAnsi="Calibri"/>
      <w:b/>
      <w:bCs/>
      <w:color w:val="1C2D7A"/>
      <w:sz w:val="26"/>
      <w:szCs w:val="26"/>
    </w:rPr>
  </w:style>
  <w:style w:type="paragraph" w:styleId="Heading3">
    <w:name w:val="Heading 3"/>
    <w:basedOn w:val="Normal"/>
    <w:next w:val="Normal"/>
    <w:qFormat/>
    <w:rPr>
      <w:rFonts w:ascii="Calibri" w:cs="Calibri" w:eastAsia="Calibri" w:hAnsi="Calibri"/>
      <w:b/>
      <w:bCs/>
      <w:color w:val="17A4C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2026-08-22T13:15:30.469Z</dcterms:created>
  <dcterms:modified xsi:type="dcterms:W3CDTF">2026-08-22T13:15:30.469Z</dcterms:modified>
</cp:coreProperties>
</file>

<file path=docProps/custom.xml><?xml version="1.0" encoding="utf-8"?>
<Properties xmlns="http://schemas.openxmlformats.org/officeDocument/2006/custom-properties" xmlns:vt="http://schemas.openxmlformats.org/officeDocument/2006/docPropsVTypes"/>
</file>