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Kiosk and Search Journeys</w:t>
      </w:r>
    </w:p>
    <w:p>
      <w:r>
        <w:t>LibraryLink NT | HIT339 Group 11 | Asraful Hasan Asif | 14 October 2026</w:t>
      </w:r>
    </w:p>
    <w:p>
      <w:r>
        <w:t>These journey maps describe how a patron searches the public catalogue and borrows through the kiosk. The verification record distinguishes results visible in supplied screenshots from checks that still need evidence.</w:t>
      </w:r>
    </w:p>
    <w:p>
      <w:pPr>
        <w:pStyle w:val="Heading1"/>
      </w:pPr>
      <w:r>
        <w:t>Public catalogue journey</w:t>
      </w:r>
    </w:p>
    <w:tbl>
      <w:tblPr>
        <w:tblLayout w:type="fixed"/>
        <w:tblLook w:firstColumn="1" w:firstRow="1" w:lastColumn="0" w:lastRow="0" w:noHBand="0" w:noVBand="1" w:val="04A0"/>
        <w:tblW w:type="dxa" w:w="10080"/>
      </w:tblPr>
      <w:tblGrid>
        <w:gridCol w:w="1152"/>
        <w:gridCol w:w="3672"/>
        <w:gridCol w:w="5256"/>
      </w:tblGrid>
      <w:tr>
        <w:trPr>
          <w:cantSplit/>
          <w:tblHeader/>
        </w:trPr>
        <w:tc>
          <w:tcPr>
            <w:tcW w:type="dxa" w:w="1152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EEEEEE"/>
          </w:tcPr>
          <w:p>
            <w:pPr>
              <w:keepNext w:val="0"/>
              <w:spacing w:line="259" w:lineRule="auto" w:before="60" w:after="100"/>
            </w:pPr>
            <w:r>
              <w:rPr>
                <w:b/>
                <w:sz w:val="20"/>
              </w:rPr>
              <w:t>Stage</w:t>
            </w:r>
          </w:p>
        </w:tc>
        <w:tc>
          <w:tcPr>
            <w:tcW w:type="dxa" w:w="3672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EEEEEE"/>
          </w:tcPr>
          <w:p>
            <w:pPr>
              <w:keepNext w:val="0"/>
              <w:spacing w:line="259" w:lineRule="auto" w:before="60" w:after="100"/>
            </w:pPr>
            <w:r>
              <w:rPr>
                <w:b/>
                <w:sz w:val="20"/>
              </w:rPr>
              <w:t>Patron action</w:t>
            </w:r>
          </w:p>
        </w:tc>
        <w:tc>
          <w:tcPr>
            <w:tcW w:type="dxa" w:w="525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EEEEEE"/>
          </w:tcPr>
          <w:p>
            <w:pPr>
              <w:keepNext w:val="0"/>
              <w:spacing w:line="259" w:lineRule="auto" w:before="60" w:after="100"/>
            </w:pPr>
            <w:r>
              <w:rPr>
                <w:b/>
                <w:sz w:val="20"/>
              </w:rPr>
              <w:t>System response and recovery</w:t>
            </w:r>
          </w:p>
        </w:tc>
      </w:tr>
      <w:tr>
        <w:trPr>
          <w:cantSplit/>
        </w:trPr>
        <w:tc>
          <w:tcPr>
            <w:tcW w:type="dxa" w:w="1152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keepNext w:val="0"/>
              <w:spacing w:line="259" w:lineRule="auto" w:before="60" w:after="100"/>
            </w:pPr>
            <w:r>
              <w:rPr>
                <w:b w:val="0"/>
                <w:sz w:val="20"/>
              </w:rPr>
              <w:t>Find</w:t>
            </w:r>
          </w:p>
        </w:tc>
        <w:tc>
          <w:tcPr>
            <w:tcW w:type="dxa" w:w="3672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keepNext w:val="0"/>
              <w:spacing w:line="259" w:lineRule="auto" w:before="60" w:after="100"/>
            </w:pPr>
            <w:r>
              <w:rPr>
                <w:b w:val="0"/>
                <w:sz w:val="20"/>
              </w:rPr>
              <w:t>Open Explore Library.</w:t>
            </w:r>
          </w:p>
        </w:tc>
        <w:tc>
          <w:tcPr>
            <w:tcW w:type="dxa" w:w="525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keepNext w:val="0"/>
              <w:spacing w:line="259" w:lineRule="auto" w:before="60" w:after="100"/>
            </w:pPr>
            <w:r>
              <w:rPr>
                <w:b w:val="0"/>
                <w:sz w:val="20"/>
              </w:rPr>
              <w:t>Show the public catalogue and search controls without requiring staff login.</w:t>
            </w:r>
          </w:p>
        </w:tc>
      </w:tr>
      <w:tr>
        <w:trPr>
          <w:cantSplit/>
        </w:trPr>
        <w:tc>
          <w:tcPr>
            <w:tcW w:type="dxa" w:w="1152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keepNext w:val="0"/>
              <w:spacing w:line="259" w:lineRule="auto" w:before="60" w:after="100"/>
            </w:pPr>
            <w:r>
              <w:rPr>
                <w:b w:val="0"/>
                <w:sz w:val="20"/>
              </w:rPr>
              <w:t>Search</w:t>
            </w:r>
          </w:p>
        </w:tc>
        <w:tc>
          <w:tcPr>
            <w:tcW w:type="dxa" w:w="3672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keepNext w:val="0"/>
              <w:spacing w:line="259" w:lineRule="auto" w:before="60" w:after="100"/>
            </w:pPr>
            <w:r>
              <w:rPr>
                <w:b w:val="0"/>
                <w:sz w:val="20"/>
              </w:rPr>
              <w:t>Enter a name, code or description; choose collection and availability if needed.</w:t>
            </w:r>
          </w:p>
        </w:tc>
        <w:tc>
          <w:tcPr>
            <w:tcW w:type="dxa" w:w="525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keepNext w:val="0"/>
              <w:spacing w:line="259" w:lineRule="auto" w:before="60" w:after="100"/>
            </w:pPr>
            <w:r>
              <w:rPr>
                <w:b w:val="0"/>
                <w:sz w:val="20"/>
              </w:rPr>
              <w:t>Submit the selected filters and show matching item cards and a result count.</w:t>
            </w:r>
          </w:p>
        </w:tc>
      </w:tr>
      <w:tr>
        <w:trPr>
          <w:cantSplit/>
        </w:trPr>
        <w:tc>
          <w:tcPr>
            <w:tcW w:type="dxa" w:w="1152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keepNext w:val="0"/>
              <w:spacing w:line="259" w:lineRule="auto" w:before="60" w:after="100"/>
            </w:pPr>
            <w:r>
              <w:rPr>
                <w:b w:val="0"/>
                <w:sz w:val="20"/>
              </w:rPr>
              <w:t>Review</w:t>
            </w:r>
          </w:p>
        </w:tc>
        <w:tc>
          <w:tcPr>
            <w:tcW w:type="dxa" w:w="3672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keepNext w:val="0"/>
              <w:spacing w:line="259" w:lineRule="auto" w:before="60" w:after="100"/>
            </w:pPr>
            <w:r>
              <w:rPr>
                <w:b w:val="0"/>
                <w:sz w:val="20"/>
              </w:rPr>
              <w:t>Read the item name, library code and availability.</w:t>
            </w:r>
          </w:p>
        </w:tc>
        <w:tc>
          <w:tcPr>
            <w:tcW w:type="dxa" w:w="525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keepNext w:val="0"/>
              <w:spacing w:line="259" w:lineRule="auto" w:before="60" w:after="100"/>
            </w:pPr>
            <w:r>
              <w:rPr>
                <w:b w:val="0"/>
                <w:sz w:val="20"/>
              </w:rPr>
              <w:t>Show the current recorded status. Availability is not a guaranteed loan until confirmed.</w:t>
            </w:r>
          </w:p>
        </w:tc>
      </w:tr>
      <w:tr>
        <w:trPr>
          <w:cantSplit/>
        </w:trPr>
        <w:tc>
          <w:tcPr>
            <w:tcW w:type="dxa" w:w="1152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keepNext w:val="0"/>
              <w:spacing w:line="259" w:lineRule="auto" w:before="60" w:after="100"/>
            </w:pPr>
            <w:r>
              <w:rPr>
                <w:b w:val="0"/>
                <w:sz w:val="20"/>
              </w:rPr>
              <w:t>Recover</w:t>
            </w:r>
          </w:p>
        </w:tc>
        <w:tc>
          <w:tcPr>
            <w:tcW w:type="dxa" w:w="3672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keepNext w:val="0"/>
              <w:spacing w:line="259" w:lineRule="auto" w:before="60" w:after="100"/>
            </w:pPr>
            <w:r>
              <w:rPr>
                <w:b w:val="0"/>
                <w:sz w:val="20"/>
              </w:rPr>
              <w:t>If there are no matches, change the search or select Clear.</w:t>
            </w:r>
          </w:p>
        </w:tc>
        <w:tc>
          <w:tcPr>
            <w:tcW w:type="dxa" w:w="525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keepNext w:val="0"/>
              <w:spacing w:line="259" w:lineRule="auto" w:before="60" w:after="100"/>
            </w:pPr>
            <w:r>
              <w:rPr>
                <w:b w:val="0"/>
                <w:sz w:val="20"/>
              </w:rPr>
              <w:t>Explain that no items matched and allow another search.</w:t>
            </w:r>
          </w:p>
        </w:tc>
      </w:tr>
      <w:tr>
        <w:trPr>
          <w:cantSplit/>
        </w:trPr>
        <w:tc>
          <w:tcPr>
            <w:tcW w:type="dxa" w:w="1152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keepNext w:val="0"/>
              <w:spacing w:line="259" w:lineRule="auto" w:before="60" w:after="100"/>
            </w:pPr>
            <w:r>
              <w:rPr>
                <w:b w:val="0"/>
                <w:sz w:val="20"/>
              </w:rPr>
              <w:t>Continue</w:t>
            </w:r>
          </w:p>
        </w:tc>
        <w:tc>
          <w:tcPr>
            <w:tcW w:type="dxa" w:w="3672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keepNext w:val="0"/>
              <w:spacing w:line="259" w:lineRule="auto" w:before="60" w:after="100"/>
            </w:pPr>
            <w:r>
              <w:rPr>
                <w:b w:val="0"/>
                <w:sz w:val="20"/>
              </w:rPr>
              <w:t>Use the kiosk to borrow an available item or ask staff for help.</w:t>
            </w:r>
          </w:p>
        </w:tc>
        <w:tc>
          <w:tcPr>
            <w:tcW w:type="dxa" w:w="525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keepNext w:val="0"/>
              <w:spacing w:line="259" w:lineRule="auto" w:before="60" w:after="100"/>
            </w:pPr>
            <w:r>
              <w:rPr>
                <w:b w:val="0"/>
                <w:sz w:val="20"/>
              </w:rPr>
              <w:t>Open the dedicated kiosk route; unavailable items require another choice or service-desk assistance.</w:t>
            </w:r>
          </w:p>
        </w:tc>
      </w:tr>
    </w:tbl>
    <w:p>
      <w:pPr>
        <w:pStyle w:val="Heading2"/>
      </w:pPr>
      <w:r>
        <w:t>Patron needs</w:t>
      </w:r>
    </w:p>
    <w:p>
      <w:r>
        <w:t>Clear filters, readable availability labels, useful empty states and a visible route to the kiosk. Branch and accessible-format filters are outside the demonstrated screenshots and require separate integration verification.</w:t>
      </w:r>
    </w:p>
    <w:p>
      <w:r>
        <w:br w:type="page"/>
      </w:r>
    </w:p>
    <w:p>
      <w:pPr>
        <w:pStyle w:val="Heading1"/>
      </w:pPr>
      <w:r>
        <w:t>Kiosk borrowing journey</w:t>
      </w:r>
    </w:p>
    <w:tbl>
      <w:tblPr>
        <w:tblLayout w:type="fixed"/>
        <w:tblLook w:firstColumn="1" w:firstRow="1" w:lastColumn="0" w:lastRow="0" w:noHBand="0" w:noVBand="1" w:val="04A0"/>
        <w:tblW w:type="dxa" w:w="10080"/>
      </w:tblPr>
      <w:tblGrid>
        <w:gridCol w:w="1152"/>
        <w:gridCol w:w="3672"/>
        <w:gridCol w:w="5256"/>
      </w:tblGrid>
      <w:tr>
        <w:trPr>
          <w:cantSplit/>
          <w:tblHeader/>
        </w:trPr>
        <w:tc>
          <w:tcPr>
            <w:tcW w:type="dxa" w:w="1152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EEEEEE"/>
          </w:tcPr>
          <w:p>
            <w:pPr>
              <w:keepNext w:val="0"/>
              <w:spacing w:line="259" w:lineRule="auto" w:before="60" w:after="100"/>
            </w:pPr>
            <w:r>
              <w:rPr>
                <w:b/>
                <w:sz w:val="20"/>
              </w:rPr>
              <w:t>Stage</w:t>
            </w:r>
          </w:p>
        </w:tc>
        <w:tc>
          <w:tcPr>
            <w:tcW w:type="dxa" w:w="3672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EEEEEE"/>
          </w:tcPr>
          <w:p>
            <w:pPr>
              <w:keepNext w:val="0"/>
              <w:spacing w:line="259" w:lineRule="auto" w:before="60" w:after="100"/>
            </w:pPr>
            <w:r>
              <w:rPr>
                <w:b/>
                <w:sz w:val="20"/>
              </w:rPr>
              <w:t>Patron action</w:t>
            </w:r>
          </w:p>
        </w:tc>
        <w:tc>
          <w:tcPr>
            <w:tcW w:type="dxa" w:w="525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EEEEEE"/>
          </w:tcPr>
          <w:p>
            <w:pPr>
              <w:keepNext w:val="0"/>
              <w:spacing w:line="259" w:lineRule="auto" w:before="60" w:after="100"/>
            </w:pPr>
            <w:r>
              <w:rPr>
                <w:b/>
                <w:sz w:val="20"/>
              </w:rPr>
              <w:t>System response and recovery</w:t>
            </w:r>
          </w:p>
        </w:tc>
      </w:tr>
      <w:tr>
        <w:trPr>
          <w:cantSplit/>
        </w:trPr>
        <w:tc>
          <w:tcPr>
            <w:tcW w:type="dxa" w:w="1152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keepNext w:val="0"/>
              <w:spacing w:line="259" w:lineRule="auto" w:before="60" w:after="100"/>
            </w:pPr>
            <w:r>
              <w:rPr>
                <w:b w:val="0"/>
                <w:sz w:val="20"/>
              </w:rPr>
              <w:t>Identify</w:t>
            </w:r>
          </w:p>
        </w:tc>
        <w:tc>
          <w:tcPr>
            <w:tcW w:type="dxa" w:w="3672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keepNext w:val="0"/>
              <w:spacing w:line="259" w:lineRule="auto" w:before="60" w:after="100"/>
            </w:pPr>
            <w:r>
              <w:rPr>
                <w:b w:val="0"/>
                <w:sz w:val="20"/>
              </w:rPr>
              <w:t>Scan or type a library card code and select Open my account.</w:t>
            </w:r>
          </w:p>
        </w:tc>
        <w:tc>
          <w:tcPr>
            <w:tcW w:type="dxa" w:w="525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keepNext w:val="0"/>
              <w:spacing w:line="259" w:lineRule="auto" w:before="60" w:after="100"/>
            </w:pPr>
            <w:r>
              <w:rPr>
                <w:b w:val="0"/>
                <w:sz w:val="20"/>
              </w:rPr>
              <w:t>Validate the borrower and open a kiosk session. Reject invalid codes without revealing an account.</w:t>
            </w:r>
          </w:p>
        </w:tc>
      </w:tr>
      <w:tr>
        <w:trPr>
          <w:cantSplit/>
        </w:trPr>
        <w:tc>
          <w:tcPr>
            <w:tcW w:type="dxa" w:w="1152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keepNext w:val="0"/>
              <w:spacing w:line="259" w:lineRule="auto" w:before="60" w:after="100"/>
            </w:pPr>
            <w:r>
              <w:rPr>
                <w:b w:val="0"/>
                <w:sz w:val="20"/>
              </w:rPr>
              <w:t>Check</w:t>
            </w:r>
          </w:p>
        </w:tc>
        <w:tc>
          <w:tcPr>
            <w:tcW w:type="dxa" w:w="3672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keepNext w:val="0"/>
              <w:spacing w:line="259" w:lineRule="auto" w:before="60" w:after="100"/>
            </w:pPr>
            <w:r>
              <w:rPr>
                <w:b w:val="0"/>
                <w:sz w:val="20"/>
              </w:rPr>
              <w:t>Review current loans, due dates and unpaid assessed fines.</w:t>
            </w:r>
          </w:p>
        </w:tc>
        <w:tc>
          <w:tcPr>
            <w:tcW w:type="dxa" w:w="525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keepNext w:val="0"/>
              <w:spacing w:line="259" w:lineRule="auto" w:before="60" w:after="100"/>
            </w:pPr>
            <w:r>
              <w:rPr>
                <w:b w:val="0"/>
                <w:sz w:val="20"/>
              </w:rPr>
              <w:t>Display the borrower account summary. Offer Borrow an item and Finish session.</w:t>
            </w:r>
          </w:p>
        </w:tc>
      </w:tr>
      <w:tr>
        <w:trPr>
          <w:cantSplit/>
        </w:trPr>
        <w:tc>
          <w:tcPr>
            <w:tcW w:type="dxa" w:w="1152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keepNext w:val="0"/>
              <w:spacing w:line="259" w:lineRule="auto" w:before="60" w:after="100"/>
            </w:pPr>
            <w:r>
              <w:rPr>
                <w:b w:val="0"/>
                <w:sz w:val="20"/>
              </w:rPr>
              <w:t>Choose</w:t>
            </w:r>
          </w:p>
        </w:tc>
        <w:tc>
          <w:tcPr>
            <w:tcW w:type="dxa" w:w="3672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keepNext w:val="0"/>
              <w:spacing w:line="259" w:lineRule="auto" w:before="60" w:after="100"/>
            </w:pPr>
            <w:r>
              <w:rPr>
                <w:b w:val="0"/>
                <w:sz w:val="20"/>
              </w:rPr>
              <w:t>Select Borrow an item, enter an item library code and select Review this item.</w:t>
            </w:r>
          </w:p>
        </w:tc>
        <w:tc>
          <w:tcPr>
            <w:tcW w:type="dxa" w:w="525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keepNext w:val="0"/>
              <w:spacing w:line="259" w:lineRule="auto" w:before="60" w:after="100"/>
            </w:pPr>
            <w:r>
              <w:rPr>
                <w:b w:val="0"/>
                <w:sz w:val="20"/>
              </w:rPr>
              <w:t>Check the item. Reject unknown or unavailable codes and keep a route back to account.</w:t>
            </w:r>
          </w:p>
        </w:tc>
      </w:tr>
      <w:tr>
        <w:trPr>
          <w:cantSplit/>
        </w:trPr>
        <w:tc>
          <w:tcPr>
            <w:tcW w:type="dxa" w:w="1152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keepNext w:val="0"/>
              <w:spacing w:line="259" w:lineRule="auto" w:before="60" w:after="100"/>
            </w:pPr>
            <w:r>
              <w:rPr>
                <w:b w:val="0"/>
                <w:sz w:val="20"/>
              </w:rPr>
              <w:t>Review</w:t>
            </w:r>
          </w:p>
        </w:tc>
        <w:tc>
          <w:tcPr>
            <w:tcW w:type="dxa" w:w="3672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keepNext w:val="0"/>
              <w:spacing w:line="259" w:lineRule="auto" w:before="60" w:after="100"/>
            </w:pPr>
            <w:r>
              <w:rPr>
                <w:b w:val="0"/>
                <w:sz w:val="20"/>
              </w:rPr>
              <w:t>Check item name, code and return date.</w:t>
            </w:r>
          </w:p>
        </w:tc>
        <w:tc>
          <w:tcPr>
            <w:tcW w:type="dxa" w:w="525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keepNext w:val="0"/>
              <w:spacing w:line="259" w:lineRule="auto" w:before="60" w:after="100"/>
            </w:pPr>
            <w:r>
              <w:rPr>
                <w:b w:val="0"/>
                <w:sz w:val="20"/>
              </w:rPr>
              <w:t>Display the review screen. Allow confirmation or choosing a different item.</w:t>
            </w:r>
          </w:p>
        </w:tc>
      </w:tr>
      <w:tr>
        <w:trPr>
          <w:cantSplit/>
        </w:trPr>
        <w:tc>
          <w:tcPr>
            <w:tcW w:type="dxa" w:w="1152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keepNext w:val="0"/>
              <w:spacing w:line="259" w:lineRule="auto" w:before="60" w:after="100"/>
            </w:pPr>
            <w:r>
              <w:rPr>
                <w:b w:val="0"/>
                <w:sz w:val="20"/>
              </w:rPr>
              <w:t>Confirm</w:t>
            </w:r>
          </w:p>
        </w:tc>
        <w:tc>
          <w:tcPr>
            <w:tcW w:type="dxa" w:w="3672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keepNext w:val="0"/>
              <w:spacing w:line="259" w:lineRule="auto" w:before="60" w:after="100"/>
            </w:pPr>
            <w:r>
              <w:rPr>
                <w:b w:val="0"/>
                <w:sz w:val="20"/>
              </w:rPr>
              <w:t>Select Confirm borrowing once.</w:t>
            </w:r>
          </w:p>
        </w:tc>
        <w:tc>
          <w:tcPr>
            <w:tcW w:type="dxa" w:w="525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keepNext w:val="0"/>
              <w:spacing w:line="259" w:lineRule="auto" w:before="60" w:after="100"/>
            </w:pPr>
            <w:r>
              <w:rPr>
                <w:b w:val="0"/>
                <w:sz w:val="20"/>
              </w:rPr>
              <w:t>Create the loan if allowed, show a success message and refresh account information. The UI disables the confirmation button while processing.</w:t>
            </w:r>
          </w:p>
        </w:tc>
      </w:tr>
      <w:tr>
        <w:trPr>
          <w:cantSplit/>
        </w:trPr>
        <w:tc>
          <w:tcPr>
            <w:tcW w:type="dxa" w:w="1152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keepNext w:val="0"/>
              <w:spacing w:line="259" w:lineRule="auto" w:before="60" w:after="100"/>
            </w:pPr>
            <w:r>
              <w:rPr>
                <w:b w:val="0"/>
                <w:sz w:val="20"/>
              </w:rPr>
              <w:t>Finish</w:t>
            </w:r>
          </w:p>
        </w:tc>
        <w:tc>
          <w:tcPr>
            <w:tcW w:type="dxa" w:w="3672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keepNext w:val="0"/>
              <w:spacing w:line="259" w:lineRule="auto" w:before="60" w:after="100"/>
            </w:pPr>
            <w:r>
              <w:rPr>
                <w:b w:val="0"/>
                <w:sz w:val="20"/>
              </w:rPr>
              <w:t>Select Finish session before leaving.</w:t>
            </w:r>
          </w:p>
        </w:tc>
        <w:tc>
          <w:tcPr>
            <w:tcW w:type="dxa" w:w="525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keepNext w:val="0"/>
              <w:spacing w:line="259" w:lineRule="auto" w:before="60" w:after="100"/>
            </w:pPr>
            <w:r>
              <w:rPr>
                <w:b w:val="0"/>
                <w:sz w:val="20"/>
              </w:rPr>
              <w:t>Return to the welcome screen with a signed-out message. Accessing Account without a valid session redirects to card entry.</w:t>
            </w:r>
          </w:p>
        </w:tc>
      </w:tr>
      <w:tr>
        <w:trPr>
          <w:cantSplit/>
        </w:trPr>
        <w:tc>
          <w:tcPr>
            <w:tcW w:type="dxa" w:w="1152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keepNext w:val="0"/>
              <w:spacing w:line="259" w:lineRule="auto" w:before="60" w:after="100"/>
            </w:pPr>
            <w:r>
              <w:rPr>
                <w:b w:val="0"/>
                <w:sz w:val="20"/>
              </w:rPr>
              <w:t>Inactivity</w:t>
            </w:r>
          </w:p>
        </w:tc>
        <w:tc>
          <w:tcPr>
            <w:tcW w:type="dxa" w:w="3672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keepNext w:val="0"/>
              <w:spacing w:line="259" w:lineRule="auto" w:before="60" w:after="100"/>
            </w:pPr>
            <w:r>
              <w:rPr>
                <w:b w:val="0"/>
                <w:sz w:val="20"/>
              </w:rPr>
              <w:t>Respond to the warning or allow the session to finish.</w:t>
            </w:r>
          </w:p>
        </w:tc>
        <w:tc>
          <w:tcPr>
            <w:tcW w:type="dxa" w:w="525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keepNext w:val="0"/>
              <w:spacing w:line="259" w:lineRule="auto" w:before="60" w:after="100"/>
            </w:pPr>
            <w:r>
              <w:rPr>
                <w:b w:val="0"/>
                <w:sz w:val="20"/>
              </w:rPr>
              <w:t>The supplied page scripts warn after about 60 seconds and submit sign-out at about 90 seconds. Continuing from Borrow returns to item entry; runtime timing still needs evidence.</w:t>
            </w:r>
          </w:p>
        </w:tc>
      </w:tr>
    </w:tbl>
    <w:p>
      <w:pPr>
        <w:pStyle w:val="Heading2"/>
      </w:pPr>
      <w:r>
        <w:t>Display and input support</w:t>
      </w:r>
    </w:p>
    <w:p>
      <w:r>
        <w:t>Patrons can use manual entry, a compatible configured scanner, keyboard navigation, larger text and high contrast. These are implemented interface options; scanner hardware, NVDA and complete accessibility compliance are not established by screenshots.</w:t>
      </w:r>
    </w:p>
    <w:p>
      <w:r>
        <w:br w:type="page"/>
      </w:r>
    </w:p>
    <w:p>
      <w:pPr>
        <w:pStyle w:val="Heading1"/>
      </w:pPr>
      <w:r>
        <w:t>Verification record</w:t>
      </w:r>
    </w:p>
    <w:p>
      <w:r>
        <w:t>Environment shown in evidence: local Chrome browser, localhost port 7016, 14 October 2026. These are user-supplied screenshots, not independently executed tests. The exact local commit used for the screenshots was not recorded.</w:t>
      </w:r>
    </w:p>
    <w:tbl>
      <w:tblPr>
        <w:tblLayout w:type="fixed"/>
        <w:tblLook w:firstColumn="1" w:firstRow="1" w:lastColumn="0" w:lastRow="0" w:noHBand="0" w:noVBand="1" w:val="04A0"/>
        <w:tblW w:type="dxa" w:w="10080"/>
      </w:tblPr>
      <w:tblGrid>
        <w:gridCol w:w="1800"/>
        <w:gridCol w:w="4824"/>
        <w:gridCol w:w="3456"/>
      </w:tblGrid>
      <w:tr>
        <w:trPr>
          <w:cantSplit/>
          <w:tblHeader/>
        </w:trPr>
        <w:tc>
          <w:tcPr>
            <w:tcW w:type="dxa" w:w="180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EEEEEE"/>
          </w:tcPr>
          <w:p>
            <w:pPr>
              <w:keepNext w:val="0"/>
              <w:spacing w:line="259" w:lineRule="auto" w:before="60" w:after="100"/>
            </w:pPr>
            <w:r>
              <w:rPr>
                <w:b/>
                <w:sz w:val="20"/>
              </w:rPr>
              <w:t>Check</w:t>
            </w:r>
          </w:p>
        </w:tc>
        <w:tc>
          <w:tcPr>
            <w:tcW w:type="dxa" w:w="482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EEEEEE"/>
          </w:tcPr>
          <w:p>
            <w:pPr>
              <w:keepNext w:val="0"/>
              <w:spacing w:line="259" w:lineRule="auto" w:before="60" w:after="100"/>
            </w:pPr>
            <w:r>
              <w:rPr>
                <w:b/>
                <w:sz w:val="20"/>
              </w:rPr>
              <w:t>Observed result</w:t>
            </w:r>
          </w:p>
        </w:tc>
        <w:tc>
          <w:tcPr>
            <w:tcW w:type="dxa" w:w="345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EEEEEE"/>
          </w:tcPr>
          <w:p>
            <w:pPr>
              <w:keepNext w:val="0"/>
              <w:spacing w:line="259" w:lineRule="auto" w:before="60" w:after="100"/>
            </w:pPr>
            <w:r>
              <w:rPr>
                <w:b/>
                <w:sz w:val="20"/>
              </w:rPr>
              <w:t>Evidence or status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keepNext w:val="0"/>
              <w:spacing w:line="259" w:lineRule="auto" w:before="60" w:after="100"/>
            </w:pPr>
            <w:r>
              <w:rPr>
                <w:b w:val="0"/>
                <w:sz w:val="20"/>
              </w:rPr>
              <w:t>Public browsing</w:t>
            </w:r>
          </w:p>
        </w:tc>
        <w:tc>
          <w:tcPr>
            <w:tcW w:type="dxa" w:w="482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keepNext w:val="0"/>
              <w:spacing w:line="259" w:lineRule="auto" w:before="60" w:after="100"/>
            </w:pPr>
            <w:r>
              <w:rPr>
                <w:b w:val="0"/>
                <w:sz w:val="20"/>
              </w:rPr>
              <w:t>Catalogue visible while logged out; 23 items displayed.</w:t>
            </w:r>
          </w:p>
        </w:tc>
        <w:tc>
          <w:tcPr>
            <w:tcW w:type="dxa" w:w="345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keepNext w:val="0"/>
              <w:spacing w:line="259" w:lineRule="auto" w:before="60" w:after="100"/>
            </w:pPr>
            <w:r>
              <w:rPr>
                <w:b w:val="0"/>
                <w:sz w:val="20"/>
              </w:rPr>
              <w:t>201002 screenshot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keepNext w:val="0"/>
              <w:spacing w:line="259" w:lineRule="auto" w:before="60" w:after="100"/>
            </w:pPr>
            <w:r>
              <w:rPr>
                <w:b w:val="0"/>
                <w:sz w:val="20"/>
              </w:rPr>
              <w:t>Code search</w:t>
            </w:r>
          </w:p>
        </w:tc>
        <w:tc>
          <w:tcPr>
            <w:tcW w:type="dxa" w:w="482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keepNext w:val="0"/>
              <w:spacing w:line="259" w:lineRule="auto" w:before="60" w:after="100"/>
            </w:pPr>
            <w:r>
              <w:rPr>
                <w:b w:val="0"/>
                <w:sz w:val="20"/>
              </w:rPr>
              <w:t>BK-DEMO-01 returns one matching book, Beneath the Darwin Sky.</w:t>
            </w:r>
          </w:p>
        </w:tc>
        <w:tc>
          <w:tcPr>
            <w:tcW w:type="dxa" w:w="345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keepNext w:val="0"/>
              <w:spacing w:line="259" w:lineRule="auto" w:before="60" w:after="100"/>
            </w:pPr>
            <w:r>
              <w:rPr>
                <w:b w:val="0"/>
                <w:sz w:val="20"/>
              </w:rPr>
              <w:t>201055 screenshot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keepNext w:val="0"/>
              <w:spacing w:line="259" w:lineRule="auto" w:before="60" w:after="100"/>
            </w:pPr>
            <w:r>
              <w:rPr>
                <w:b w:val="0"/>
                <w:sz w:val="20"/>
              </w:rPr>
              <w:t>Valid card</w:t>
            </w:r>
          </w:p>
        </w:tc>
        <w:tc>
          <w:tcPr>
            <w:tcW w:type="dxa" w:w="482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keepNext w:val="0"/>
              <w:spacing w:line="259" w:lineRule="auto" w:before="60" w:after="100"/>
            </w:pPr>
            <w:r>
              <w:rPr>
                <w:b w:val="0"/>
                <w:sz w:val="20"/>
              </w:rPr>
              <w:t>BR-DEMO3 entry followed by the Demo account summary.</w:t>
            </w:r>
          </w:p>
        </w:tc>
        <w:tc>
          <w:tcPr>
            <w:tcW w:type="dxa" w:w="345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keepNext w:val="0"/>
              <w:spacing w:line="259" w:lineRule="auto" w:before="60" w:after="100"/>
            </w:pPr>
            <w:r>
              <w:rPr>
                <w:b w:val="0"/>
                <w:sz w:val="20"/>
              </w:rPr>
              <w:t>201327 and 201336 screenshots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keepNext w:val="0"/>
              <w:spacing w:line="259" w:lineRule="auto" w:before="60" w:after="100"/>
            </w:pPr>
            <w:r>
              <w:rPr>
                <w:b w:val="0"/>
                <w:sz w:val="20"/>
              </w:rPr>
              <w:t>Account summary</w:t>
            </w:r>
          </w:p>
        </w:tc>
        <w:tc>
          <w:tcPr>
            <w:tcW w:type="dxa" w:w="482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keepNext w:val="0"/>
              <w:spacing w:line="259" w:lineRule="auto" w:before="60" w:after="100"/>
            </w:pPr>
            <w:r>
              <w:rPr>
                <w:b w:val="0"/>
                <w:sz w:val="20"/>
              </w:rPr>
              <w:t>One loan and $0.00 unpaid assessed fines shown before the new loan.</w:t>
            </w:r>
          </w:p>
        </w:tc>
        <w:tc>
          <w:tcPr>
            <w:tcW w:type="dxa" w:w="345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keepNext w:val="0"/>
              <w:spacing w:line="259" w:lineRule="auto" w:before="60" w:after="100"/>
            </w:pPr>
            <w:r>
              <w:rPr>
                <w:b w:val="0"/>
                <w:sz w:val="20"/>
              </w:rPr>
              <w:t>201336 screenshot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keepNext w:val="0"/>
              <w:spacing w:line="259" w:lineRule="auto" w:before="60" w:after="100"/>
            </w:pPr>
            <w:r>
              <w:rPr>
                <w:b w:val="0"/>
                <w:sz w:val="20"/>
              </w:rPr>
              <w:t>Item review</w:t>
            </w:r>
          </w:p>
        </w:tc>
        <w:tc>
          <w:tcPr>
            <w:tcW w:type="dxa" w:w="482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keepNext w:val="0"/>
              <w:spacing w:line="259" w:lineRule="auto" w:before="60" w:after="100"/>
            </w:pPr>
            <w:r>
              <w:rPr>
                <w:b w:val="0"/>
                <w:sz w:val="20"/>
              </w:rPr>
              <w:t>BK-DEMO-01 review shows the matching title and 28 Oct 2026 return date.</w:t>
            </w:r>
          </w:p>
        </w:tc>
        <w:tc>
          <w:tcPr>
            <w:tcW w:type="dxa" w:w="345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keepNext w:val="0"/>
              <w:spacing w:line="259" w:lineRule="auto" w:before="60" w:after="100"/>
            </w:pPr>
            <w:r>
              <w:rPr>
                <w:b w:val="0"/>
                <w:sz w:val="20"/>
              </w:rPr>
              <w:t>201934 and 201947 screenshots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keepNext w:val="0"/>
              <w:spacing w:line="259" w:lineRule="auto" w:before="60" w:after="100"/>
            </w:pPr>
            <w:r>
              <w:rPr>
                <w:b w:val="0"/>
                <w:sz w:val="20"/>
              </w:rPr>
              <w:t>Borrow confirmation</w:t>
            </w:r>
          </w:p>
        </w:tc>
        <w:tc>
          <w:tcPr>
            <w:tcW w:type="dxa" w:w="482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keepNext w:val="0"/>
              <w:spacing w:line="259" w:lineRule="auto" w:before="60" w:after="100"/>
            </w:pPr>
            <w:r>
              <w:rPr>
                <w:b w:val="0"/>
                <w:sz w:val="20"/>
              </w:rPr>
              <w:t>Success message appears; active loan count increases from one to two.</w:t>
            </w:r>
          </w:p>
        </w:tc>
        <w:tc>
          <w:tcPr>
            <w:tcW w:type="dxa" w:w="345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keepNext w:val="0"/>
              <w:spacing w:line="259" w:lineRule="auto" w:before="60" w:after="100"/>
            </w:pPr>
            <w:r>
              <w:rPr>
                <w:b w:val="0"/>
                <w:sz w:val="20"/>
              </w:rPr>
              <w:t>202000 screenshot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keepNext w:val="0"/>
              <w:spacing w:line="259" w:lineRule="auto" w:before="60" w:after="100"/>
            </w:pPr>
            <w:r>
              <w:rPr>
                <w:b w:val="0"/>
                <w:sz w:val="20"/>
              </w:rPr>
              <w:t>Finish session</w:t>
            </w:r>
          </w:p>
        </w:tc>
        <w:tc>
          <w:tcPr>
            <w:tcW w:type="dxa" w:w="482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keepNext w:val="0"/>
              <w:spacing w:line="259" w:lineRule="auto" w:before="60" w:after="100"/>
            </w:pPr>
            <w:r>
              <w:rPr>
                <w:b w:val="0"/>
                <w:sz w:val="20"/>
              </w:rPr>
              <w:t>Signed-out message and empty card field displayed.</w:t>
            </w:r>
          </w:p>
        </w:tc>
        <w:tc>
          <w:tcPr>
            <w:tcW w:type="dxa" w:w="345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keepNext w:val="0"/>
              <w:spacing w:line="259" w:lineRule="auto" w:before="60" w:after="100"/>
            </w:pPr>
            <w:r>
              <w:rPr>
                <w:b w:val="0"/>
                <w:sz w:val="20"/>
              </w:rPr>
              <w:t>202215 screenshot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keepNext w:val="0"/>
              <w:spacing w:line="259" w:lineRule="auto" w:before="60" w:after="100"/>
            </w:pPr>
            <w:r>
              <w:rPr>
                <w:b w:val="0"/>
                <w:sz w:val="20"/>
              </w:rPr>
              <w:t>Protected account</w:t>
            </w:r>
          </w:p>
        </w:tc>
        <w:tc>
          <w:tcPr>
            <w:tcW w:type="dxa" w:w="482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keepNext w:val="0"/>
              <w:spacing w:line="259" w:lineRule="auto" w:before="60" w:after="100"/>
            </w:pPr>
            <w:r>
              <w:rPr>
                <w:b w:val="0"/>
                <w:sz w:val="20"/>
              </w:rPr>
              <w:t>Following the direct-route check, welcome screen displays session-ended message.</w:t>
            </w:r>
          </w:p>
        </w:tc>
        <w:tc>
          <w:tcPr>
            <w:tcW w:type="dxa" w:w="345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keepNext w:val="0"/>
              <w:spacing w:line="259" w:lineRule="auto" w:before="60" w:after="100"/>
            </w:pPr>
            <w:r>
              <w:rPr>
                <w:b w:val="0"/>
                <w:sz w:val="20"/>
              </w:rPr>
              <w:t>202642 screenshot; URL entry reported by user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keepNext w:val="0"/>
              <w:spacing w:line="259" w:lineRule="auto" w:before="60" w:after="100"/>
            </w:pPr>
            <w:r>
              <w:rPr>
                <w:b w:val="0"/>
                <w:sz w:val="20"/>
              </w:rPr>
              <w:t>High contrast fix</w:t>
            </w:r>
          </w:p>
        </w:tc>
        <w:tc>
          <w:tcPr>
            <w:tcW w:type="dxa" w:w="482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keepNext w:val="0"/>
              <w:spacing w:line="259" w:lineRule="auto" w:before="60" w:after="100"/>
            </w:pPr>
            <w:r>
              <w:rPr>
                <w:b w:val="0"/>
                <w:sz w:val="20"/>
              </w:rPr>
              <w:t>Welcome instructions and labels visible on black panels after the fix.</w:t>
            </w:r>
          </w:p>
        </w:tc>
        <w:tc>
          <w:tcPr>
            <w:tcW w:type="dxa" w:w="345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keepNext w:val="0"/>
              <w:spacing w:line="259" w:lineRule="auto" w:before="60" w:after="100"/>
            </w:pPr>
            <w:r>
              <w:rPr>
                <w:b w:val="0"/>
                <w:sz w:val="20"/>
              </w:rPr>
              <w:t>214327 screenshot; visual check only</w:t>
            </w:r>
          </w:p>
        </w:tc>
      </w:tr>
    </w:tbl>
    <w:p>
      <w:pPr>
        <w:pStyle w:val="Heading2"/>
      </w:pPr>
      <w:r>
        <w:t>Checks still requiring recorded results</w:t>
      </w:r>
    </w:p>
    <w:p>
      <w:r>
        <w:t>Invalid borrower and item codes; collection and availability filters; duplicate or unavailable borrowing; timeout warning, extension and expiry; keyboard-only borrowing; larger text and reset; high contrast on Account, Borrow and errors; 200 percent text resizing and narrow-screen reflow; NVDA; physical scanner; integration with reservations and notifications; and fresh CDU VM installation.</w:t>
      </w:r>
    </w:p>
    <w:p>
      <w:r>
        <w:t>Add the tester, date, actual outcome and screenshot or issue link when each check is performed. Do not mark these checks passed solely because the code exists.</w:t>
      </w:r>
    </w:p>
    <w:sectPr w:rsidR="00FC693F" w:rsidRPr="0006063C" w:rsidSect="00034616">
      <w:pgSz w:w="12240" w:h="15840"/>
      <w:pgMar w:top="936" w:right="1008" w:bottom="936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/>
    </w:pPr>
    <w:rPr>
      <w:rFonts w:ascii="Calibri" w:hAnsi="Calibri"/>
      <w:color w:val="000000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000000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000000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300" w:line="240" w:lineRule="auto"/>
      <w:contextualSpacing/>
    </w:pPr>
    <w:rPr>
      <w:rFonts w:asciiTheme="majorHAnsi" w:eastAsiaTheme="majorEastAsia" w:hAnsiTheme="majorHAnsi" w:cstheme="majorBidi" w:ascii="Calibri" w:hAnsi="Calibri"/>
      <w:color w:val="000000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Asraful Hasan Asif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