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52"/>
        </w:rPr>
        <w:t>GLOSARIO DE DATOS</w:t>
      </w:r>
    </w:p>
    <w:p>
      <w:pPr>
        <w:jc w:val="center"/>
      </w:pPr>
      <w:r>
        <w:rPr>
          <w:color w:val="2E5395"/>
          <w:sz w:val="30"/>
        </w:rPr>
        <w:t>Sistema de Gestión de Turnos — Barbería</w:t>
      </w:r>
    </w:p>
    <w:p>
      <w:pPr>
        <w:jc w:val="center"/>
      </w:pPr>
      <w:r>
        <w:rPr>
          <w:i/>
          <w:color w:val="666666"/>
          <w:sz w:val="20"/>
        </w:rPr>
        <w:t>Versión 1.0 — Complementa el Diagrama Entidad-Relación (DER)</w:t>
      </w:r>
    </w:p>
    <w:p>
      <w:pPr>
        <w:pStyle w:val="Heading1"/>
      </w:pPr>
      <w:r>
        <w:rPr>
          <w:color w:val="1F3864"/>
        </w:rPr>
        <w:t>1. Propósito de este documento</w:t>
      </w:r>
    </w:p>
    <w:p>
      <w:r>
        <w:t>**Nota de corrección (10/09/2026):** las claves primarias y foráneas de este glosario se documentaron originalmente como `uuid`. Durante la implementación de HU-TUR-01 se detectó que Cliente y Usuario ya existían en el código con `id` tipo `bigint` autoincremental (el default de Laravel), y no tenía sentido migrar retroactivamente HU-SEG-01/HU-CLI-01/HU-SER-01 ya cerradas. Se decidió adoptar `bigint` como estándar del proyecto y corregir este documento para que sea la fuente de verdad real. La arquitectura multi-tenant-ready (ADR-03) no depende del tipo de dato de la PK, solo de que `barberia_id` exista como FK — este cambio no la afecta.</w:t>
      </w:r>
    </w:p>
    <w:p>
      <w:r>
        <w:t>Este glosario describe cada entidad (tabla) del modelo de datos, su propósito de negocio, sus campos y sus relaciones con otras entidades. Complementa al DER: mientras el diagrama muestra la estructura visual, este documento explica el porqué de cada tabla y cada decisión de modelado.</w:t>
      </w:r>
    </w:p>
    <w:p>
      <w:r>
        <w:t>Cada entidad indica con qué Historia de Usuario (HU) del Product Backlog se relaciona principalmente, para facilitar la trazabilidad entre el modelo de datos y el trabajo de desarrollo.</w:t>
      </w:r>
    </w:p>
    <w:p>
      <w:pPr>
        <w:pStyle w:val="Heading1"/>
      </w:pPr>
      <w:r>
        <w:rPr>
          <w:color w:val="1F3864"/>
        </w:rPr>
        <w:t>2. Entidades del modelo</w:t>
      </w:r>
    </w:p>
    <w:p>
      <w:pPr>
        <w:pStyle w:val="Heading2"/>
      </w:pPr>
      <w:r>
        <w:rPr>
          <w:color w:val="2E5395"/>
        </w:rPr>
        <w:t>BARBERIA</w:t>
      </w:r>
    </w:p>
    <w:p>
      <w:r>
        <w:t>Entidad raíz del modelo. Representa a una barbería como cliente del sistema. Es la base de la arquitectura multi-tenant-ready (ADR-03): aunque hoy existe un único registro (la barbería de Matías), toda tabla relevante del sistema queda relacionada con una Barbería específica desde el día 1.</w:t>
      </w:r>
    </w:p>
    <w:p>
      <w:r>
        <w:rPr>
          <w:b/>
          <w:i/>
          <w:color w:val="6B7280"/>
        </w:rPr>
        <w:t xml:space="preserve">Relaciones clave: </w:t>
      </w:r>
      <w:r>
        <w:rPr>
          <w:i/>
          <w:color w:val="6B7280"/>
        </w:rPr>
        <w:t>es el punto de partida de casi todas las demás entidades (Usuario, Cliente, Servicio, Combo, Insumo, Turno).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3324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3324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3324"/>
            <w:shd w:val="clear" w:color="auto" w:fill="FFFFFF"/>
          </w:tcPr>
          <w:p>
            <w:r/>
            <w:r>
              <w:rPr>
                <w:b/>
                <w:i w:val="0"/>
                <w:color w:val="2E5395"/>
                <w:sz w:val="20"/>
              </w:rPr>
              <w:t>id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/>
                <w:sz w:val="20"/>
              </w:rPr>
              <w:t>bigint (PK)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 w:val="0"/>
                <w:sz w:val="20"/>
              </w:rPr>
              <w:t>Identificador único de la barbería.</w:t>
            </w:r>
          </w:p>
        </w:tc>
      </w:tr>
      <w:tr>
        <w:tc>
          <w:tcPr>
            <w:tcW w:type="dxa" w:w="3324"/>
            <w:shd w:val="clear" w:color="auto" w:fill="F2F2F2"/>
          </w:tcPr>
          <w:p>
            <w:r/>
            <w:r>
              <w:rPr>
                <w:b/>
                <w:i w:val="0"/>
                <w:color w:val="2E5395"/>
                <w:sz w:val="20"/>
              </w:rPr>
              <w:t>nombre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/>
                <w:sz w:val="20"/>
              </w:rPr>
              <w:t>string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 w:val="0"/>
                <w:sz w:val="20"/>
              </w:rPr>
              <w:t>Nombre comercial de la barbería.</w:t>
            </w:r>
          </w:p>
        </w:tc>
      </w:tr>
      <w:tr>
        <w:tc>
          <w:tcPr>
            <w:tcW w:type="dxa" w:w="3324"/>
            <w:shd w:val="clear" w:color="auto" w:fill="FFFFFF"/>
          </w:tcPr>
          <w:p>
            <w:r/>
            <w:r>
              <w:rPr>
                <w:b/>
                <w:i w:val="0"/>
                <w:color w:val="2E5395"/>
                <w:sz w:val="20"/>
              </w:rPr>
              <w:t>horario_apertura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/>
                <w:sz w:val="20"/>
              </w:rPr>
              <w:t>string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 w:val="0"/>
                <w:sz w:val="20"/>
              </w:rPr>
              <w:t>Hora de apertura del local (ej. "12:00"). Fija para la v1 (ADR-02).</w:t>
            </w:r>
          </w:p>
        </w:tc>
      </w:tr>
      <w:tr>
        <w:tc>
          <w:tcPr>
            <w:tcW w:type="dxa" w:w="3324"/>
            <w:shd w:val="clear" w:color="auto" w:fill="F2F2F2"/>
          </w:tcPr>
          <w:p>
            <w:r/>
            <w:r>
              <w:rPr>
                <w:b/>
                <w:i w:val="0"/>
                <w:color w:val="2E5395"/>
                <w:sz w:val="20"/>
              </w:rPr>
              <w:t>horario_cierre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/>
                <w:sz w:val="20"/>
              </w:rPr>
              <w:t>string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 w:val="0"/>
                <w:sz w:val="20"/>
              </w:rPr>
              <w:t>Hora de cierre del local (ej. "22:00"). Fija para la v1 (ADR-02).</w:t>
            </w:r>
          </w:p>
        </w:tc>
      </w:tr>
    </w:tbl>
    <w:p/>
    <w:p>
      <w:pPr>
        <w:pStyle w:val="Heading2"/>
      </w:pPr>
      <w:r>
        <w:rPr>
          <w:color w:val="2E5395"/>
        </w:rPr>
        <w:t>USUARIO</w:t>
      </w:r>
    </w:p>
    <w:p>
      <w:r>
        <w:t>Representa a una persona del staff que opera el sistema (hoy, únicamente Matías en su rol único de dueño/barbero/recepción — HU-SEG-02). Soporta login por Google o por usuario/contraseña propio (HU-SEG-01).</w:t>
      </w:r>
    </w:p>
    <w:p>
      <w:r>
        <w:rPr>
          <w:b/>
          <w:i/>
          <w:color w:val="6B7280"/>
        </w:rPr>
        <w:t xml:space="preserve">Relaciones clave: </w:t>
      </w:r>
      <w:r>
        <w:rPr>
          <w:i/>
          <w:color w:val="6B7280"/>
        </w:rPr>
        <w:t>pertenece a una Barbería. Atiende Turnos.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3324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3324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3324"/>
            <w:shd w:val="clear" w:color="auto" w:fill="FFFFFF"/>
          </w:tcPr>
          <w:p>
            <w:r/>
            <w:r>
              <w:rPr>
                <w:b/>
                <w:i w:val="0"/>
                <w:color w:val="2E5395"/>
                <w:sz w:val="20"/>
              </w:rPr>
              <w:t>id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/>
                <w:sz w:val="20"/>
              </w:rPr>
              <w:t>bigint (PK)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 w:val="0"/>
                <w:sz w:val="20"/>
              </w:rPr>
              <w:t>Identificador único del usuario.</w:t>
            </w:r>
          </w:p>
        </w:tc>
      </w:tr>
      <w:tr>
        <w:tc>
          <w:tcPr>
            <w:tcW w:type="dxa" w:w="3324"/>
            <w:shd w:val="clear" w:color="auto" w:fill="F2F2F2"/>
          </w:tcPr>
          <w:p>
            <w:r/>
            <w:r>
              <w:rPr>
                <w:b/>
                <w:i w:val="0"/>
                <w:color w:val="2E5395"/>
                <w:sz w:val="20"/>
              </w:rPr>
              <w:t>barberia_id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/>
                <w:sz w:val="20"/>
              </w:rPr>
              <w:t>bigint (FK)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 w:val="0"/>
                <w:sz w:val="20"/>
              </w:rPr>
              <w:t>Barbería a la que pertenece este usuario.</w:t>
            </w:r>
          </w:p>
        </w:tc>
      </w:tr>
      <w:tr>
        <w:tc>
          <w:tcPr>
            <w:tcW w:type="dxa" w:w="3324"/>
            <w:shd w:val="clear" w:color="auto" w:fill="FFFFFF"/>
          </w:tcPr>
          <w:p>
            <w:r/>
            <w:r>
              <w:rPr>
                <w:b/>
                <w:i w:val="0"/>
                <w:color w:val="2E5395"/>
                <w:sz w:val="20"/>
              </w:rPr>
              <w:t>nombre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/>
                <w:sz w:val="20"/>
              </w:rPr>
              <w:t>string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 w:val="0"/>
                <w:sz w:val="20"/>
              </w:rPr>
              <w:t>Nombre del usuario del staff.</w:t>
            </w:r>
          </w:p>
        </w:tc>
      </w:tr>
      <w:tr>
        <w:tc>
          <w:tcPr>
            <w:tcW w:type="dxa" w:w="3324"/>
            <w:shd w:val="clear" w:color="auto" w:fill="F2F2F2"/>
          </w:tcPr>
          <w:p>
            <w:r/>
            <w:r>
              <w:rPr>
                <w:b/>
                <w:i w:val="0"/>
                <w:color w:val="2E5395"/>
                <w:sz w:val="20"/>
              </w:rPr>
              <w:t>email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/>
                <w:sz w:val="20"/>
              </w:rPr>
              <w:t>string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 w:val="0"/>
                <w:sz w:val="20"/>
              </w:rPr>
              <w:t>Email usado para login (propio o vinculado a Google).</w:t>
            </w:r>
          </w:p>
        </w:tc>
      </w:tr>
      <w:tr>
        <w:tc>
          <w:tcPr>
            <w:tcW w:type="dxa" w:w="3324"/>
            <w:shd w:val="clear" w:color="auto" w:fill="FFFFFF"/>
          </w:tcPr>
          <w:p>
            <w:r/>
            <w:r>
              <w:rPr>
                <w:b/>
                <w:i w:val="0"/>
                <w:color w:val="2E5395"/>
                <w:sz w:val="20"/>
              </w:rPr>
              <w:t>password_hash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/>
                <w:sz w:val="20"/>
              </w:rPr>
              <w:t>string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 w:val="0"/>
                <w:sz w:val="20"/>
              </w:rPr>
              <w:t>Contraseña encriptada, si el usuario usa login propio (nulo si usa solo Google).</w:t>
            </w:r>
          </w:p>
        </w:tc>
      </w:tr>
      <w:tr>
        <w:tc>
          <w:tcPr>
            <w:tcW w:type="dxa" w:w="3324"/>
            <w:shd w:val="clear" w:color="auto" w:fill="F2F2F2"/>
          </w:tcPr>
          <w:p>
            <w:r/>
            <w:r>
              <w:rPr>
                <w:b/>
                <w:i w:val="0"/>
                <w:color w:val="2E5395"/>
                <w:sz w:val="20"/>
              </w:rPr>
              <w:t>google_id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/>
                <w:sz w:val="20"/>
              </w:rPr>
              <w:t>string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 w:val="0"/>
                <w:sz w:val="20"/>
              </w:rPr>
              <w:t>Identificador de la cuenta de Google, si el usuario usa ese método de login (nulo si usa solo contraseña propia).</w:t>
            </w:r>
          </w:p>
        </w:tc>
      </w:tr>
    </w:tbl>
    <w:p/>
    <w:p>
      <w:pPr>
        <w:pStyle w:val="Heading2"/>
      </w:pPr>
      <w:r>
        <w:rPr>
          <w:color w:val="2E5395"/>
        </w:rPr>
        <w:t>CLIENTE</w:t>
      </w:r>
    </w:p>
    <w:p>
      <w:r>
        <w:t>Representa a un cliente de la barbería. Se autoregistra desde la página pública (HU-CLI-01) para poder reservar turnos.</w:t>
      </w:r>
    </w:p>
    <w:p>
      <w:r>
        <w:rPr>
          <w:b/>
          <w:i/>
          <w:color w:val="6B7280"/>
        </w:rPr>
        <w:t xml:space="preserve">Relaciones clave: </w:t>
      </w:r>
      <w:r>
        <w:rPr>
          <w:i/>
          <w:color w:val="6B7280"/>
        </w:rPr>
        <w:t>pertenece a una Barbería. Reserva Turnos. Tiene una Fidelización asociada.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3324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3324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3324"/>
            <w:shd w:val="clear" w:color="auto" w:fill="FFFFFF"/>
          </w:tcPr>
          <w:p>
            <w:r/>
            <w:r>
              <w:rPr>
                <w:b/>
                <w:i w:val="0"/>
                <w:color w:val="2E5395"/>
                <w:sz w:val="20"/>
              </w:rPr>
              <w:t>id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/>
                <w:sz w:val="20"/>
              </w:rPr>
              <w:t>bigint (PK)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 w:val="0"/>
                <w:sz w:val="20"/>
              </w:rPr>
              <w:t>Identificador único del cliente.</w:t>
            </w:r>
          </w:p>
        </w:tc>
      </w:tr>
      <w:tr>
        <w:tc>
          <w:tcPr>
            <w:tcW w:type="dxa" w:w="3324"/>
            <w:shd w:val="clear" w:color="auto" w:fill="F2F2F2"/>
          </w:tcPr>
          <w:p>
            <w:r/>
            <w:r>
              <w:rPr>
                <w:b/>
                <w:i w:val="0"/>
                <w:color w:val="2E5395"/>
                <w:sz w:val="20"/>
              </w:rPr>
              <w:t>barberia_id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/>
                <w:sz w:val="20"/>
              </w:rPr>
              <w:t>bigint (FK)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 w:val="0"/>
                <w:sz w:val="20"/>
              </w:rPr>
              <w:t>Barbería en la que este cliente está registrado.</w:t>
            </w:r>
          </w:p>
        </w:tc>
      </w:tr>
      <w:tr>
        <w:tc>
          <w:tcPr>
            <w:tcW w:type="dxa" w:w="3324"/>
            <w:shd w:val="clear" w:color="auto" w:fill="FFFFFF"/>
          </w:tcPr>
          <w:p>
            <w:r/>
            <w:r>
              <w:rPr>
                <w:b/>
                <w:i w:val="0"/>
                <w:color w:val="2E5395"/>
                <w:sz w:val="20"/>
              </w:rPr>
              <w:t>nombre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/>
                <w:sz w:val="20"/>
              </w:rPr>
              <w:t>string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 w:val="0"/>
                <w:sz w:val="20"/>
              </w:rPr>
              <w:t>Nombre del cliente.</w:t>
            </w:r>
          </w:p>
        </w:tc>
      </w:tr>
      <w:tr>
        <w:tc>
          <w:tcPr>
            <w:tcW w:type="dxa" w:w="3324"/>
            <w:shd w:val="clear" w:color="auto" w:fill="F2F2F2"/>
          </w:tcPr>
          <w:p>
            <w:r/>
            <w:r>
              <w:rPr>
                <w:b/>
                <w:i w:val="0"/>
                <w:color w:val="2E5395"/>
                <w:sz w:val="20"/>
              </w:rPr>
              <w:t>apellido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/>
                <w:sz w:val="20"/>
              </w:rPr>
              <w:t>string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 w:val="0"/>
                <w:sz w:val="20"/>
              </w:rPr>
              <w:t>Apellido del cliente.</w:t>
            </w:r>
          </w:p>
        </w:tc>
      </w:tr>
      <w:tr>
        <w:tc>
          <w:tcPr>
            <w:tcW w:type="dxa" w:w="3324"/>
            <w:shd w:val="clear" w:color="auto" w:fill="FFFFFF"/>
          </w:tcPr>
          <w:p>
            <w:r/>
            <w:r>
              <w:rPr>
                <w:b/>
                <w:i w:val="0"/>
                <w:color w:val="2E5395"/>
                <w:sz w:val="20"/>
              </w:rPr>
              <w:t>telefono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/>
                <w:sz w:val="20"/>
              </w:rPr>
              <w:t>string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 w:val="0"/>
                <w:sz w:val="20"/>
              </w:rPr>
              <w:t>Teléfono/WhatsApp de contacto. Usado también para el recordatorio automático (HU-TUR-07).</w:t>
            </w:r>
          </w:p>
        </w:tc>
      </w:tr>
    </w:tbl>
    <w:p/>
    <w:p>
      <w:pPr>
        <w:pStyle w:val="Heading2"/>
      </w:pPr>
      <w:r>
        <w:rPr>
          <w:color w:val="2E5395"/>
        </w:rPr>
        <w:t>FIDELIZACION</w:t>
      </w:r>
    </w:p>
    <w:p>
      <w:r>
        <w:t>Lleva el conteo del programa de fidelización: cada 5 cortes acumulados, el 6to es gratis (HU-CLI-03). Se modela como una tabla separada de Cliente (no como un campo suelto) para poder extender el programa a futuro sin modificar la tabla Cliente.</w:t>
      </w:r>
    </w:p>
    <w:p>
      <w:r>
        <w:rPr>
          <w:b/>
          <w:i/>
          <w:color w:val="6B7280"/>
        </w:rPr>
        <w:t xml:space="preserve">Relaciones clave: </w:t>
      </w:r>
      <w:r>
        <w:rPr>
          <w:i/>
          <w:color w:val="6B7280"/>
        </w:rPr>
        <w:t>pertenece a un Cliente (relación 1 a 1: cada cliente tiene un único registro de fidelización).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3324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3324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3324"/>
            <w:shd w:val="clear" w:color="auto" w:fill="FFFFFF"/>
          </w:tcPr>
          <w:p>
            <w:r/>
            <w:r>
              <w:rPr>
                <w:b/>
                <w:i w:val="0"/>
                <w:color w:val="2E5395"/>
                <w:sz w:val="20"/>
              </w:rPr>
              <w:t>id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/>
                <w:sz w:val="20"/>
              </w:rPr>
              <w:t>bigint (PK)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 w:val="0"/>
                <w:sz w:val="20"/>
              </w:rPr>
              <w:t>Identificador único del registro de fidelización.</w:t>
            </w:r>
          </w:p>
        </w:tc>
      </w:tr>
      <w:tr>
        <w:tc>
          <w:tcPr>
            <w:tcW w:type="dxa" w:w="3324"/>
            <w:shd w:val="clear" w:color="auto" w:fill="F2F2F2"/>
          </w:tcPr>
          <w:p>
            <w:r/>
            <w:r>
              <w:rPr>
                <w:b/>
                <w:i w:val="0"/>
                <w:color w:val="2E5395"/>
                <w:sz w:val="20"/>
              </w:rPr>
              <w:t>cliente_id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/>
                <w:sz w:val="20"/>
              </w:rPr>
              <w:t>bigint (FK)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 w:val="0"/>
                <w:sz w:val="20"/>
              </w:rPr>
              <w:t>Cliente al que pertenece este contador.</w:t>
            </w:r>
          </w:p>
        </w:tc>
      </w:tr>
      <w:tr>
        <w:tc>
          <w:tcPr>
            <w:tcW w:type="dxa" w:w="3324"/>
            <w:shd w:val="clear" w:color="auto" w:fill="FFFFFF"/>
          </w:tcPr>
          <w:p>
            <w:r/>
            <w:r>
              <w:rPr>
                <w:b/>
                <w:i w:val="0"/>
                <w:color w:val="2E5395"/>
                <w:sz w:val="20"/>
              </w:rPr>
              <w:t>cortes_acumulados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/>
                <w:sz w:val="20"/>
              </w:rPr>
              <w:t>int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 w:val="0"/>
                <w:sz w:val="20"/>
              </w:rPr>
              <w:t>Cantidad de cortes pagados acumulados en el ciclo actual (de 0 a 5). Se reinicia a 0 cuando el cliente usa el corte gratis.</w:t>
            </w:r>
          </w:p>
        </w:tc>
      </w:tr>
      <w:tr>
        <w:tc>
          <w:tcPr>
            <w:tcW w:type="dxa" w:w="3324"/>
            <w:shd w:val="clear" w:color="auto" w:fill="F2F2F2"/>
          </w:tcPr>
          <w:p>
            <w:r/>
            <w:r>
              <w:rPr>
                <w:b/>
                <w:i w:val="0"/>
                <w:color w:val="2E5395"/>
                <w:sz w:val="20"/>
              </w:rPr>
              <w:t>ultima_actualizacion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/>
                <w:sz w:val="20"/>
              </w:rPr>
              <w:t>date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 w:val="0"/>
                <w:sz w:val="20"/>
              </w:rPr>
              <w:t>Fecha del último corte que modificó el contador.</w:t>
            </w:r>
          </w:p>
        </w:tc>
      </w:tr>
    </w:tbl>
    <w:p/>
    <w:p>
      <w:pPr>
        <w:pStyle w:val="Heading2"/>
      </w:pPr>
      <w:r>
        <w:rPr>
          <w:color w:val="2E5395"/>
        </w:rPr>
        <w:t>ITEM_CATALOGO</w:t>
      </w:r>
    </w:p>
    <w:p>
      <w:r>
        <w:t>Entidad unificadora que representa cualquier "cosa agendable y con precio": un Servicio suelto o un Combo. Existe para que la tabla Turno pueda referenciar un único ítem sin necesitar dos columnas (una para servicio y otra para combo). Es una decisión de simplicidad para el MVP.</w:t>
      </w:r>
    </w:p>
    <w:p>
      <w:r>
        <w:rPr>
          <w:b/>
          <w:i/>
          <w:color w:val="6B7280"/>
        </w:rPr>
        <w:t xml:space="preserve">Relaciones clave: </w:t>
      </w:r>
      <w:r>
        <w:rPr>
          <w:i/>
          <w:color w:val="6B7280"/>
        </w:rPr>
        <w:t>es la base común de Servicio y Combo. Es referenciada por Turno.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3324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3324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3324"/>
            <w:shd w:val="clear" w:color="auto" w:fill="FFFFFF"/>
          </w:tcPr>
          <w:p>
            <w:r/>
            <w:r>
              <w:rPr>
                <w:b/>
                <w:i w:val="0"/>
                <w:color w:val="2E5395"/>
                <w:sz w:val="20"/>
              </w:rPr>
              <w:t>id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/>
                <w:sz w:val="20"/>
              </w:rPr>
              <w:t>bigint (PK)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 w:val="0"/>
                <w:sz w:val="20"/>
              </w:rPr>
              <w:t>Identificador único del ítem de catálogo.</w:t>
            </w:r>
          </w:p>
        </w:tc>
      </w:tr>
      <w:tr>
        <w:tc>
          <w:tcPr>
            <w:tcW w:type="dxa" w:w="3324"/>
            <w:shd w:val="clear" w:color="auto" w:fill="F2F2F2"/>
          </w:tcPr>
          <w:p>
            <w:r/>
            <w:r>
              <w:rPr>
                <w:b/>
                <w:i w:val="0"/>
                <w:color w:val="2E5395"/>
                <w:sz w:val="20"/>
              </w:rPr>
              <w:t>barberia_id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/>
                <w:sz w:val="20"/>
              </w:rPr>
              <w:t>bigint (FK)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 w:val="0"/>
                <w:sz w:val="20"/>
              </w:rPr>
              <w:t>Barbería a la que pertenece este ítem.</w:t>
            </w:r>
          </w:p>
        </w:tc>
      </w:tr>
      <w:tr>
        <w:tc>
          <w:tcPr>
            <w:tcW w:type="dxa" w:w="3324"/>
            <w:shd w:val="clear" w:color="auto" w:fill="FFFFFF"/>
          </w:tcPr>
          <w:p>
            <w:r/>
            <w:r>
              <w:rPr>
                <w:b/>
                <w:i w:val="0"/>
                <w:color w:val="2E5395"/>
                <w:sz w:val="20"/>
              </w:rPr>
              <w:t>tipo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/>
                <w:sz w:val="20"/>
              </w:rPr>
              <w:t>string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 w:val="0"/>
                <w:sz w:val="20"/>
              </w:rPr>
              <w:t>Indica si el ítem es 'servicio' o 'combo'.</w:t>
            </w:r>
          </w:p>
        </w:tc>
      </w:tr>
      <w:tr>
        <w:tc>
          <w:tcPr>
            <w:tcW w:type="dxa" w:w="3324"/>
            <w:shd w:val="clear" w:color="auto" w:fill="F2F2F2"/>
          </w:tcPr>
          <w:p>
            <w:r/>
            <w:r>
              <w:rPr>
                <w:b/>
                <w:i w:val="0"/>
                <w:color w:val="2E5395"/>
                <w:sz w:val="20"/>
              </w:rPr>
              <w:t>nombre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/>
                <w:sz w:val="20"/>
              </w:rPr>
              <w:t>string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 w:val="0"/>
                <w:sz w:val="20"/>
              </w:rPr>
              <w:t>Nombre visible del ítem (ej. "Corte", "Combo Corte + Barba").</w:t>
            </w:r>
          </w:p>
        </w:tc>
      </w:tr>
      <w:tr>
        <w:tc>
          <w:tcPr>
            <w:tcW w:type="dxa" w:w="3324"/>
            <w:shd w:val="clear" w:color="auto" w:fill="FFFFFF"/>
          </w:tcPr>
          <w:p>
            <w:r/>
            <w:r>
              <w:rPr>
                <w:b/>
                <w:i w:val="0"/>
                <w:color w:val="2E5395"/>
                <w:sz w:val="20"/>
              </w:rPr>
              <w:t>precio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/>
                <w:sz w:val="20"/>
              </w:rPr>
              <w:t>decimal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 w:val="0"/>
                <w:sz w:val="20"/>
              </w:rPr>
              <w:t>Precio de venta del ítem. Para combos, es un valor propio (HU-SER-02), no la suma de sus partes.</w:t>
            </w:r>
          </w:p>
        </w:tc>
      </w:tr>
      <w:tr>
        <w:tc>
          <w:tcPr>
            <w:tcW w:type="dxa" w:w="3324"/>
            <w:shd w:val="clear" w:color="auto" w:fill="F2F2F2"/>
          </w:tcPr>
          <w:p>
            <w:r/>
            <w:r>
              <w:rPr>
                <w:b/>
                <w:i w:val="0"/>
                <w:color w:val="2E5395"/>
                <w:sz w:val="20"/>
              </w:rPr>
              <w:t>duracion_minutos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/>
                <w:sz w:val="20"/>
              </w:rPr>
              <w:t>int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 w:val="0"/>
                <w:sz w:val="20"/>
              </w:rPr>
              <w:t>Duración estimada del ítem, usada para calcular el bloque de agenda (HU-TUR-04).</w:t>
            </w:r>
          </w:p>
        </w:tc>
      </w:tr>
    </w:tbl>
    <w:p/>
    <w:p>
      <w:pPr>
        <w:pStyle w:val="Heading2"/>
      </w:pPr>
      <w:r>
        <w:rPr>
          <w:color w:val="2E5395"/>
        </w:rPr>
        <w:t>SERVICIO</w:t>
      </w:r>
    </w:p>
    <w:p>
      <w:r>
        <w:t>Representa un servicio individual del catálogo (Corte, Barba, Cejas). Se gestiona mediante alta/baja/modificación (HU-SER-01).</w:t>
      </w:r>
    </w:p>
    <w:p>
      <w:r>
        <w:rPr>
          <w:b/>
          <w:i/>
          <w:color w:val="6B7280"/>
        </w:rPr>
        <w:t xml:space="preserve">Relaciones clave: </w:t>
      </w:r>
      <w:r>
        <w:rPr>
          <w:i/>
          <w:color w:val="6B7280"/>
        </w:rPr>
        <w:t>extiende ("es un") ITEM_CATALOGO. Compone Combos a través de Combo_Servicio. Consume Insumos a través de Servicio_Insumo.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3324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3324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3324"/>
            <w:shd w:val="clear" w:color="auto" w:fill="FFFFFF"/>
          </w:tcPr>
          <w:p>
            <w:r/>
            <w:r>
              <w:rPr>
                <w:b/>
                <w:i w:val="0"/>
                <w:color w:val="2E5395"/>
                <w:sz w:val="20"/>
              </w:rPr>
              <w:t>id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/>
                <w:sz w:val="20"/>
              </w:rPr>
              <w:t>bigint (PK)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 w:val="0"/>
                <w:sz w:val="20"/>
              </w:rPr>
              <w:t>Identificador único del servicio.</w:t>
            </w:r>
          </w:p>
        </w:tc>
      </w:tr>
      <w:tr>
        <w:tc>
          <w:tcPr>
            <w:tcW w:type="dxa" w:w="3324"/>
            <w:shd w:val="clear" w:color="auto" w:fill="F2F2F2"/>
          </w:tcPr>
          <w:p>
            <w:r/>
            <w:r>
              <w:rPr>
                <w:b/>
                <w:i w:val="0"/>
                <w:color w:val="2E5395"/>
                <w:sz w:val="20"/>
              </w:rPr>
              <w:t>item_catalogo_id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/>
                <w:sz w:val="20"/>
              </w:rPr>
              <w:t>bigint (FK)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 w:val="0"/>
                <w:sz w:val="20"/>
              </w:rPr>
              <w:t>Referencia al ítem de catálogo que contiene nombre, precio y duración de este servicio.</w:t>
            </w:r>
          </w:p>
        </w:tc>
      </w:tr>
      <w:tr>
        <w:tc>
          <w:tcPr>
            <w:tcW w:type="dxa" w:w="3324"/>
            <w:shd w:val="clear" w:color="auto" w:fill="FFFFFF"/>
          </w:tcPr>
          <w:p>
            <w:r/>
            <w:r>
              <w:rPr>
                <w:b/>
                <w:i w:val="0"/>
                <w:color w:val="2E5395"/>
                <w:sz w:val="20"/>
              </w:rPr>
              <w:t>cuenta_para_fidelizacion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/>
                <w:sz w:val="20"/>
              </w:rPr>
              <w:t>boolean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 w:val="0"/>
                <w:sz w:val="20"/>
              </w:rPr>
              <w:t>Indica si este servicio suma al contador de fidelización. Solo es verdadero para el servicio "Corte" (HU-CLI-03), evitando hardcodear el nombre del servicio en el código.</w:t>
            </w:r>
          </w:p>
        </w:tc>
      </w:tr>
    </w:tbl>
    <w:p/>
    <w:p>
      <w:pPr>
        <w:pStyle w:val="Heading2"/>
      </w:pPr>
      <w:r>
        <w:rPr>
          <w:color w:val="2E5395"/>
        </w:rPr>
        <w:t>COMBO</w:t>
      </w:r>
    </w:p>
    <w:p>
      <w:r>
        <w:t>Representa un paquete de servicios vendido a un precio propio (ej. Corte + Barba a $7.000, Barba + Cejas a $5.000 — HU-SER-02).</w:t>
      </w:r>
    </w:p>
    <w:p>
      <w:r>
        <w:rPr>
          <w:b/>
          <w:i/>
          <w:color w:val="6B7280"/>
        </w:rPr>
        <w:t xml:space="preserve">Relaciones clave: </w:t>
      </w:r>
      <w:r>
        <w:rPr>
          <w:i/>
          <w:color w:val="6B7280"/>
        </w:rPr>
        <w:t>extiende ("es un") ITEM_CATALOGO. Incluye Servicios a través de Combo_Servicio.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3324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3324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3324"/>
            <w:shd w:val="clear" w:color="auto" w:fill="FFFFFF"/>
          </w:tcPr>
          <w:p>
            <w:r/>
            <w:r>
              <w:rPr>
                <w:b/>
                <w:i w:val="0"/>
                <w:color w:val="2E5395"/>
                <w:sz w:val="20"/>
              </w:rPr>
              <w:t>id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/>
                <w:sz w:val="20"/>
              </w:rPr>
              <w:t>bigint (PK)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 w:val="0"/>
                <w:sz w:val="20"/>
              </w:rPr>
              <w:t>Identificador único del combo.</w:t>
            </w:r>
          </w:p>
        </w:tc>
      </w:tr>
      <w:tr>
        <w:tc>
          <w:tcPr>
            <w:tcW w:type="dxa" w:w="3324"/>
            <w:shd w:val="clear" w:color="auto" w:fill="F2F2F2"/>
          </w:tcPr>
          <w:p>
            <w:r/>
            <w:r>
              <w:rPr>
                <w:b/>
                <w:i w:val="0"/>
                <w:color w:val="2E5395"/>
                <w:sz w:val="20"/>
              </w:rPr>
              <w:t>item_catalogo_id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/>
                <w:sz w:val="20"/>
              </w:rPr>
              <w:t>bigint (FK)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 w:val="0"/>
                <w:sz w:val="20"/>
              </w:rPr>
              <w:t>Referencia al ítem de catálogo que contiene nombre, precio y duración de este combo.</w:t>
            </w:r>
          </w:p>
        </w:tc>
      </w:tr>
    </w:tbl>
    <w:p/>
    <w:p>
      <w:pPr>
        <w:pStyle w:val="Heading2"/>
      </w:pPr>
      <w:r>
        <w:rPr>
          <w:color w:val="2E5395"/>
        </w:rPr>
        <w:t>COMBO_SERVICIO</w:t>
      </w:r>
    </w:p>
    <w:p>
      <w:r>
        <w:t>Tabla intermedia (muchos a muchos) que define qué servicios componen cada combo. Por ejemplo, el Combo "Corte + Barba" está compuesto por los servicios "Corte" y "Barba". Permite que el sistema calcule automáticamente qué insumos descontar cuando se completa un turno de combo.</w:t>
      </w:r>
    </w:p>
    <w:p>
      <w:r>
        <w:rPr>
          <w:b/>
          <w:i/>
          <w:color w:val="6B7280"/>
        </w:rPr>
        <w:t xml:space="preserve">Relaciones clave: </w:t>
      </w:r>
      <w:r>
        <w:rPr>
          <w:i/>
          <w:color w:val="6B7280"/>
        </w:rPr>
        <w:t>conecta Combo con Servicio.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3324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3324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3324"/>
            <w:shd w:val="clear" w:color="auto" w:fill="FFFFFF"/>
          </w:tcPr>
          <w:p>
            <w:r/>
            <w:r>
              <w:rPr>
                <w:b/>
                <w:i w:val="0"/>
                <w:color w:val="2E5395"/>
                <w:sz w:val="20"/>
              </w:rPr>
              <w:t>id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/>
                <w:sz w:val="20"/>
              </w:rPr>
              <w:t>bigint (PK)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 w:val="0"/>
                <w:sz w:val="20"/>
              </w:rPr>
              <w:t>Identificador único de la relación.</w:t>
            </w:r>
          </w:p>
        </w:tc>
      </w:tr>
      <w:tr>
        <w:tc>
          <w:tcPr>
            <w:tcW w:type="dxa" w:w="3324"/>
            <w:shd w:val="clear" w:color="auto" w:fill="F2F2F2"/>
          </w:tcPr>
          <w:p>
            <w:r/>
            <w:r>
              <w:rPr>
                <w:b/>
                <w:i w:val="0"/>
                <w:color w:val="2E5395"/>
                <w:sz w:val="20"/>
              </w:rPr>
              <w:t>combo_id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/>
                <w:sz w:val="20"/>
              </w:rPr>
              <w:t>bigint (FK)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 w:val="0"/>
                <w:sz w:val="20"/>
              </w:rPr>
              <w:t>Combo al que pertenece esta composición.</w:t>
            </w:r>
          </w:p>
        </w:tc>
      </w:tr>
      <w:tr>
        <w:tc>
          <w:tcPr>
            <w:tcW w:type="dxa" w:w="3324"/>
            <w:shd w:val="clear" w:color="auto" w:fill="FFFFFF"/>
          </w:tcPr>
          <w:p>
            <w:r/>
            <w:r>
              <w:rPr>
                <w:b/>
                <w:i w:val="0"/>
                <w:color w:val="2E5395"/>
                <w:sz w:val="20"/>
              </w:rPr>
              <w:t>servicio_id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/>
                <w:sz w:val="20"/>
              </w:rPr>
              <w:t>bigint (FK)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 w:val="0"/>
                <w:sz w:val="20"/>
              </w:rPr>
              <w:t>Servicio incluido dentro del combo.</w:t>
            </w:r>
          </w:p>
        </w:tc>
      </w:tr>
    </w:tbl>
    <w:p/>
    <w:p>
      <w:pPr>
        <w:pStyle w:val="Heading2"/>
      </w:pPr>
      <w:r>
        <w:rPr>
          <w:color w:val="2E5395"/>
        </w:rPr>
        <w:t>INSUMO</w:t>
      </w:r>
    </w:p>
    <w:p>
      <w:r>
        <w:t>Representa un insumo consumible de la barbería (filos de navaja, cuellitos protectores). Permite llevar stock y avisar cuando se llega a un mínimo definido (HU-SER-03).</w:t>
      </w:r>
    </w:p>
    <w:p>
      <w:r>
        <w:rPr>
          <w:b/>
          <w:i/>
          <w:color w:val="6B7280"/>
        </w:rPr>
        <w:t xml:space="preserve">Relaciones clave: </w:t>
      </w:r>
      <w:r>
        <w:rPr>
          <w:i/>
          <w:color w:val="6B7280"/>
        </w:rPr>
        <w:t>pertenece a una Barbería. Es consumido por Servicios a través de Servicio_Insumo. Registra Movimientos de Stock.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3324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3324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3324"/>
            <w:shd w:val="clear" w:color="auto" w:fill="FFFFFF"/>
          </w:tcPr>
          <w:p>
            <w:r/>
            <w:r>
              <w:rPr>
                <w:b/>
                <w:i w:val="0"/>
                <w:color w:val="2E5395"/>
                <w:sz w:val="20"/>
              </w:rPr>
              <w:t>id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/>
                <w:sz w:val="20"/>
              </w:rPr>
              <w:t>bigint (PK)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 w:val="0"/>
                <w:sz w:val="20"/>
              </w:rPr>
              <w:t>Identificador único del insumo.</w:t>
            </w:r>
          </w:p>
        </w:tc>
      </w:tr>
      <w:tr>
        <w:tc>
          <w:tcPr>
            <w:tcW w:type="dxa" w:w="3324"/>
            <w:shd w:val="clear" w:color="auto" w:fill="F2F2F2"/>
          </w:tcPr>
          <w:p>
            <w:r/>
            <w:r>
              <w:rPr>
                <w:b/>
                <w:i w:val="0"/>
                <w:color w:val="2E5395"/>
                <w:sz w:val="20"/>
              </w:rPr>
              <w:t>barberia_id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/>
                <w:sz w:val="20"/>
              </w:rPr>
              <w:t>bigint (FK)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 w:val="0"/>
                <w:sz w:val="20"/>
              </w:rPr>
              <w:t>Barbería a la que pertenece este insumo.</w:t>
            </w:r>
          </w:p>
        </w:tc>
      </w:tr>
      <w:tr>
        <w:tc>
          <w:tcPr>
            <w:tcW w:type="dxa" w:w="3324"/>
            <w:shd w:val="clear" w:color="auto" w:fill="FFFFFF"/>
          </w:tcPr>
          <w:p>
            <w:r/>
            <w:r>
              <w:rPr>
                <w:b/>
                <w:i w:val="0"/>
                <w:color w:val="2E5395"/>
                <w:sz w:val="20"/>
              </w:rPr>
              <w:t>nombre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/>
                <w:sz w:val="20"/>
              </w:rPr>
              <w:t>string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 w:val="0"/>
                <w:sz w:val="20"/>
              </w:rPr>
              <w:t>Nombre del insumo (ej. "Filo de navaja", "Cuellito descartable").</w:t>
            </w:r>
          </w:p>
        </w:tc>
      </w:tr>
      <w:tr>
        <w:tc>
          <w:tcPr>
            <w:tcW w:type="dxa" w:w="3324"/>
            <w:shd w:val="clear" w:color="auto" w:fill="F2F2F2"/>
          </w:tcPr>
          <w:p>
            <w:r/>
            <w:r>
              <w:rPr>
                <w:b/>
                <w:i w:val="0"/>
                <w:color w:val="2E5395"/>
                <w:sz w:val="20"/>
              </w:rPr>
              <w:t>stock_actual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/>
                <w:sz w:val="20"/>
              </w:rPr>
              <w:t>int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 w:val="0"/>
                <w:sz w:val="20"/>
              </w:rPr>
              <w:t>Cantidad disponible actualmente. Se actualiza mediante Movimiento_Stock.</w:t>
            </w:r>
          </w:p>
        </w:tc>
      </w:tr>
      <w:tr>
        <w:tc>
          <w:tcPr>
            <w:tcW w:type="dxa" w:w="3324"/>
            <w:shd w:val="clear" w:color="auto" w:fill="FFFFFF"/>
          </w:tcPr>
          <w:p>
            <w:r/>
            <w:r>
              <w:rPr>
                <w:b/>
                <w:i w:val="0"/>
                <w:color w:val="2E5395"/>
                <w:sz w:val="20"/>
              </w:rPr>
              <w:t>stock_minimo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/>
                <w:sz w:val="20"/>
              </w:rPr>
              <w:t>int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 w:val="0"/>
                <w:sz w:val="20"/>
              </w:rPr>
              <w:t>Nivel mínimo definido por el dueño; al alcanzarlo o bajarlo, el sistema muestra un aviso.</w:t>
            </w:r>
          </w:p>
        </w:tc>
      </w:tr>
    </w:tbl>
    <w:p/>
    <w:p>
      <w:pPr>
        <w:pStyle w:val="Heading2"/>
      </w:pPr>
      <w:r>
        <w:rPr>
          <w:color w:val="2E5395"/>
        </w:rPr>
        <w:t>SERVICIO_INSUMO</w:t>
      </w:r>
    </w:p>
    <w:p>
      <w:r>
        <w:t>Tabla intermedia que define qué insumos consume cada servicio y en qué cantidad. Por ejemplo, el servicio "Barba" consume 1 unidad de "Filo de navaja" y 1 de "Cuellito". Es la base para el descuento automático de stock (confirmado por el usuario para esta versión).</w:t>
      </w:r>
    </w:p>
    <w:p>
      <w:r>
        <w:rPr>
          <w:b/>
          <w:i/>
          <w:color w:val="6B7280"/>
        </w:rPr>
        <w:t xml:space="preserve">Relaciones clave: </w:t>
      </w:r>
      <w:r>
        <w:rPr>
          <w:i/>
          <w:color w:val="6B7280"/>
        </w:rPr>
        <w:t>conecta Servicio con Insumo.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3324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3324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3324"/>
            <w:shd w:val="clear" w:color="auto" w:fill="FFFFFF"/>
          </w:tcPr>
          <w:p>
            <w:r/>
            <w:r>
              <w:rPr>
                <w:b/>
                <w:i w:val="0"/>
                <w:color w:val="2E5395"/>
                <w:sz w:val="20"/>
              </w:rPr>
              <w:t>id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/>
                <w:sz w:val="20"/>
              </w:rPr>
              <w:t>bigint (PK)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 w:val="0"/>
                <w:sz w:val="20"/>
              </w:rPr>
              <w:t>Identificador único de la relación.</w:t>
            </w:r>
          </w:p>
        </w:tc>
      </w:tr>
      <w:tr>
        <w:tc>
          <w:tcPr>
            <w:tcW w:type="dxa" w:w="3324"/>
            <w:shd w:val="clear" w:color="auto" w:fill="F2F2F2"/>
          </w:tcPr>
          <w:p>
            <w:r/>
            <w:r>
              <w:rPr>
                <w:b/>
                <w:i w:val="0"/>
                <w:color w:val="2E5395"/>
                <w:sz w:val="20"/>
              </w:rPr>
              <w:t>servicio_id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/>
                <w:sz w:val="20"/>
              </w:rPr>
              <w:t>bigint (FK)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 w:val="0"/>
                <w:sz w:val="20"/>
              </w:rPr>
              <w:t>Servicio que consume el insumo.</w:t>
            </w:r>
          </w:p>
        </w:tc>
      </w:tr>
      <w:tr>
        <w:tc>
          <w:tcPr>
            <w:tcW w:type="dxa" w:w="3324"/>
            <w:shd w:val="clear" w:color="auto" w:fill="FFFFFF"/>
          </w:tcPr>
          <w:p>
            <w:r/>
            <w:r>
              <w:rPr>
                <w:b/>
                <w:i w:val="0"/>
                <w:color w:val="2E5395"/>
                <w:sz w:val="20"/>
              </w:rPr>
              <w:t>insumo_id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/>
                <w:sz w:val="20"/>
              </w:rPr>
              <w:t>bigint (FK)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 w:val="0"/>
                <w:sz w:val="20"/>
              </w:rPr>
              <w:t>Insumo consumido.</w:t>
            </w:r>
          </w:p>
        </w:tc>
      </w:tr>
      <w:tr>
        <w:tc>
          <w:tcPr>
            <w:tcW w:type="dxa" w:w="3324"/>
            <w:shd w:val="clear" w:color="auto" w:fill="F2F2F2"/>
          </w:tcPr>
          <w:p>
            <w:r/>
            <w:r>
              <w:rPr>
                <w:b/>
                <w:i w:val="0"/>
                <w:color w:val="2E5395"/>
                <w:sz w:val="20"/>
              </w:rPr>
              <w:t>cantidad_consumida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/>
                <w:sz w:val="20"/>
              </w:rPr>
              <w:t>int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 w:val="0"/>
                <w:sz w:val="20"/>
              </w:rPr>
              <w:t>Cantidad de ese insumo que se descuenta cada vez que se presta el servicio (normalmente 1).</w:t>
            </w:r>
          </w:p>
        </w:tc>
      </w:tr>
    </w:tbl>
    <w:p/>
    <w:p>
      <w:pPr>
        <w:pStyle w:val="Heading2"/>
      </w:pPr>
      <w:r>
        <w:rPr>
          <w:color w:val="2E5395"/>
        </w:rPr>
        <w:t>TURNO</w:t>
      </w:r>
    </w:p>
    <w:p>
      <w:r>
        <w:t>Entidad central del sistema: representa una reserva de horario, agendada por el staff (HU-TUR-01) o por el propio cliente (HU-TUR-02). Se muestra en la agenda (HU-TUR-03), puede cancelarse o reprogramarse (HU-TUR-05), y puede marcarse como inasistencia (HU-TUR-06).</w:t>
      </w:r>
    </w:p>
    <w:p>
      <w:r>
        <w:rPr>
          <w:b/>
          <w:i/>
          <w:color w:val="6B7280"/>
        </w:rPr>
        <w:t xml:space="preserve">Relaciones clave: </w:t>
      </w:r>
      <w:r>
        <w:rPr>
          <w:i/>
          <w:color w:val="6B7280"/>
        </w:rPr>
        <w:t>pertenece a una Barbería, a un Cliente, a un Usuario (quien atiende) y a un Item_Catalogo (qué se agendó). Genera Movimientos de Stock al completarse.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3324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3324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3324"/>
            <w:shd w:val="clear" w:color="auto" w:fill="FFFFFF"/>
          </w:tcPr>
          <w:p>
            <w:r/>
            <w:r>
              <w:rPr>
                <w:b/>
                <w:i w:val="0"/>
                <w:color w:val="2E5395"/>
                <w:sz w:val="20"/>
              </w:rPr>
              <w:t>id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/>
                <w:sz w:val="20"/>
              </w:rPr>
              <w:t>bigint (PK)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 w:val="0"/>
                <w:sz w:val="20"/>
              </w:rPr>
              <w:t>Identificador único del turno.</w:t>
            </w:r>
          </w:p>
        </w:tc>
      </w:tr>
      <w:tr>
        <w:tc>
          <w:tcPr>
            <w:tcW w:type="dxa" w:w="3324"/>
            <w:shd w:val="clear" w:color="auto" w:fill="F2F2F2"/>
          </w:tcPr>
          <w:p>
            <w:r/>
            <w:r>
              <w:rPr>
                <w:b/>
                <w:i w:val="0"/>
                <w:color w:val="2E5395"/>
                <w:sz w:val="20"/>
              </w:rPr>
              <w:t>barberia_id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/>
                <w:sz w:val="20"/>
              </w:rPr>
              <w:t>bigint (FK)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 w:val="0"/>
                <w:sz w:val="20"/>
              </w:rPr>
              <w:t>Barbería en la que se agenda el turno.</w:t>
            </w:r>
          </w:p>
        </w:tc>
      </w:tr>
      <w:tr>
        <w:tc>
          <w:tcPr>
            <w:tcW w:type="dxa" w:w="3324"/>
            <w:shd w:val="clear" w:color="auto" w:fill="FFFFFF"/>
          </w:tcPr>
          <w:p>
            <w:r/>
            <w:r>
              <w:rPr>
                <w:b/>
                <w:i w:val="0"/>
                <w:color w:val="2E5395"/>
                <w:sz w:val="20"/>
              </w:rPr>
              <w:t>cliente_id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/>
                <w:sz w:val="20"/>
              </w:rPr>
              <w:t>bigint (FK)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 w:val="0"/>
                <w:sz w:val="20"/>
              </w:rPr>
              <w:t>Cliente que reservó el turno.</w:t>
            </w:r>
          </w:p>
        </w:tc>
      </w:tr>
      <w:tr>
        <w:tc>
          <w:tcPr>
            <w:tcW w:type="dxa" w:w="3324"/>
            <w:shd w:val="clear" w:color="auto" w:fill="F2F2F2"/>
          </w:tcPr>
          <w:p>
            <w:r/>
            <w:r>
              <w:rPr>
                <w:b/>
                <w:i w:val="0"/>
                <w:color w:val="2E5395"/>
                <w:sz w:val="20"/>
              </w:rPr>
              <w:t>usuario_id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/>
                <w:sz w:val="20"/>
              </w:rPr>
              <w:t>bigint (FK)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 w:val="0"/>
                <w:sz w:val="20"/>
              </w:rPr>
              <w:t>Usuario (staff) que atiende el turno.</w:t>
            </w:r>
          </w:p>
        </w:tc>
      </w:tr>
      <w:tr>
        <w:tc>
          <w:tcPr>
            <w:tcW w:type="dxa" w:w="3324"/>
            <w:shd w:val="clear" w:color="auto" w:fill="FFFFFF"/>
          </w:tcPr>
          <w:p>
            <w:r/>
            <w:r>
              <w:rPr>
                <w:b/>
                <w:i w:val="0"/>
                <w:color w:val="2E5395"/>
                <w:sz w:val="20"/>
              </w:rPr>
              <w:t>item_catalogo_id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/>
                <w:sz w:val="20"/>
              </w:rPr>
              <w:t>bigint (FK)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 w:val="0"/>
                <w:sz w:val="20"/>
              </w:rPr>
              <w:t>Servicio o combo agendado en este turno.</w:t>
            </w:r>
          </w:p>
        </w:tc>
      </w:tr>
      <w:tr>
        <w:tc>
          <w:tcPr>
            <w:tcW w:type="dxa" w:w="3324"/>
            <w:shd w:val="clear" w:color="auto" w:fill="F2F2F2"/>
          </w:tcPr>
          <w:p>
            <w:r/>
            <w:r>
              <w:rPr>
                <w:b/>
                <w:i w:val="0"/>
                <w:color w:val="2E5395"/>
                <w:sz w:val="20"/>
              </w:rPr>
              <w:t>fecha_hora_inicio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/>
                <w:sz w:val="20"/>
              </w:rPr>
              <w:t>datetime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 w:val="0"/>
                <w:sz w:val="20"/>
              </w:rPr>
              <w:t>Momento de inicio del turno.</w:t>
            </w:r>
          </w:p>
        </w:tc>
      </w:tr>
      <w:tr>
        <w:tc>
          <w:tcPr>
            <w:tcW w:type="dxa" w:w="3324"/>
            <w:shd w:val="clear" w:color="auto" w:fill="FFFFFF"/>
          </w:tcPr>
          <w:p>
            <w:r/>
            <w:r>
              <w:rPr>
                <w:b/>
                <w:i w:val="0"/>
                <w:color w:val="2E5395"/>
                <w:sz w:val="20"/>
              </w:rPr>
              <w:t>fecha_hora_fin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/>
                <w:sz w:val="20"/>
              </w:rPr>
              <w:t>datetime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 w:val="0"/>
                <w:sz w:val="20"/>
              </w:rPr>
              <w:t>Momento de fin, calculado según la duración del ítem de catálogo (HU-TUR-04).</w:t>
            </w:r>
          </w:p>
        </w:tc>
      </w:tr>
      <w:tr>
        <w:tc>
          <w:tcPr>
            <w:tcW w:type="dxa" w:w="3324"/>
            <w:shd w:val="clear" w:color="auto" w:fill="F2F2F2"/>
          </w:tcPr>
          <w:p>
            <w:r/>
            <w:r>
              <w:rPr>
                <w:b/>
                <w:i w:val="0"/>
                <w:color w:val="2E5395"/>
                <w:sz w:val="20"/>
              </w:rPr>
              <w:t>estado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/>
                <w:sz w:val="20"/>
              </w:rPr>
              <w:t>string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 w:val="0"/>
                <w:sz w:val="20"/>
              </w:rPr>
              <w:t>Estado del turno: reservado, completado, cancelado o ausente (HU-TUR-06).</w:t>
            </w:r>
          </w:p>
        </w:tc>
      </w:tr>
    </w:tbl>
    <w:p/>
    <w:p>
      <w:pPr>
        <w:pStyle w:val="Heading2"/>
      </w:pPr>
      <w:r>
        <w:rPr>
          <w:color w:val="2E5395"/>
        </w:rPr>
        <w:t>MOVIMIENTO_STOCK</w:t>
      </w:r>
    </w:p>
    <w:p>
      <w:r>
        <w:t>Registra cada entrada o salida de stock de un insumo: descuentos automáticos por turnos completados, o reposiciones manuales cargadas por el dueño (HU-SER-03).</w:t>
      </w:r>
    </w:p>
    <w:p>
      <w:r>
        <w:rPr>
          <w:b/>
          <w:i/>
          <w:color w:val="6B7280"/>
        </w:rPr>
        <w:t xml:space="preserve">Relaciones clave: </w:t>
      </w:r>
      <w:r>
        <w:rPr>
          <w:i/>
          <w:color w:val="6B7280"/>
        </w:rPr>
        <w:t>pertenece a un Insumo. Puede estar asociado a un Turno (si es un descuento automático) o no tenerlo (si es una reposición manual).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3324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3324"/>
            <w:shd w:val="clear" w:color="auto" w:fill="1F3864"/>
          </w:tcPr>
          <w:p>
            <w:r/>
            <w:r>
              <w:rPr>
                <w:b/>
                <w:i w:val="0"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3324"/>
            <w:shd w:val="clear" w:color="auto" w:fill="FFFFFF"/>
          </w:tcPr>
          <w:p>
            <w:r/>
            <w:r>
              <w:rPr>
                <w:b/>
                <w:i w:val="0"/>
                <w:color w:val="2E5395"/>
                <w:sz w:val="20"/>
              </w:rPr>
              <w:t>id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/>
                <w:sz w:val="20"/>
              </w:rPr>
              <w:t>bigint (PK)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 w:val="0"/>
                <w:sz w:val="20"/>
              </w:rPr>
              <w:t>Identificador único del movimiento.</w:t>
            </w:r>
          </w:p>
        </w:tc>
      </w:tr>
      <w:tr>
        <w:tc>
          <w:tcPr>
            <w:tcW w:type="dxa" w:w="3324"/>
            <w:shd w:val="clear" w:color="auto" w:fill="F2F2F2"/>
          </w:tcPr>
          <w:p>
            <w:r/>
            <w:r>
              <w:rPr>
                <w:b/>
                <w:i w:val="0"/>
                <w:color w:val="2E5395"/>
                <w:sz w:val="20"/>
              </w:rPr>
              <w:t>insumo_id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/>
                <w:sz w:val="20"/>
              </w:rPr>
              <w:t>bigint (FK)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 w:val="0"/>
                <w:sz w:val="20"/>
              </w:rPr>
              <w:t>Insumo afectado por el movimiento.</w:t>
            </w:r>
          </w:p>
        </w:tc>
      </w:tr>
      <w:tr>
        <w:tc>
          <w:tcPr>
            <w:tcW w:type="dxa" w:w="3324"/>
            <w:shd w:val="clear" w:color="auto" w:fill="FFFFFF"/>
          </w:tcPr>
          <w:p>
            <w:r/>
            <w:r>
              <w:rPr>
                <w:b/>
                <w:i w:val="0"/>
                <w:color w:val="2E5395"/>
                <w:sz w:val="20"/>
              </w:rPr>
              <w:t>turno_id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/>
                <w:sz w:val="20"/>
              </w:rPr>
              <w:t>bigint (FK)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 w:val="0"/>
                <w:sz w:val="20"/>
              </w:rPr>
              <w:t>Turno que generó el descuento automático (nulo si el movimiento es una reposición manual).</w:t>
            </w:r>
          </w:p>
        </w:tc>
      </w:tr>
      <w:tr>
        <w:tc>
          <w:tcPr>
            <w:tcW w:type="dxa" w:w="3324"/>
            <w:shd w:val="clear" w:color="auto" w:fill="F2F2F2"/>
          </w:tcPr>
          <w:p>
            <w:r/>
            <w:r>
              <w:rPr>
                <w:b/>
                <w:i w:val="0"/>
                <w:color w:val="2E5395"/>
                <w:sz w:val="20"/>
              </w:rPr>
              <w:t>cantidad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/>
                <w:sz w:val="20"/>
              </w:rPr>
              <w:t>int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 w:val="0"/>
                <w:sz w:val="20"/>
              </w:rPr>
              <w:t>Cantidad afectada por el movimiento (positiva para reposición, negativa para descuento).</w:t>
            </w:r>
          </w:p>
        </w:tc>
      </w:tr>
      <w:tr>
        <w:tc>
          <w:tcPr>
            <w:tcW w:type="dxa" w:w="3324"/>
            <w:shd w:val="clear" w:color="auto" w:fill="FFFFFF"/>
          </w:tcPr>
          <w:p>
            <w:r/>
            <w:r>
              <w:rPr>
                <w:b/>
                <w:i w:val="0"/>
                <w:color w:val="2E5395"/>
                <w:sz w:val="20"/>
              </w:rPr>
              <w:t>tipo_movimiento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/>
                <w:sz w:val="20"/>
              </w:rPr>
              <w:t>string</w:t>
            </w:r>
          </w:p>
        </w:tc>
        <w:tc>
          <w:tcPr>
            <w:tcW w:type="dxa" w:w="3324"/>
            <w:shd w:val="clear" w:color="auto" w:fill="FFFFFF"/>
          </w:tcPr>
          <w:p>
            <w:r/>
            <w:r>
              <w:rPr>
                <w:b w:val="0"/>
                <w:i w:val="0"/>
                <w:sz w:val="20"/>
              </w:rPr>
              <w:t>Tipo de movimiento: `descuento_por_servicio` o `reposicion_manual`.</w:t>
            </w:r>
          </w:p>
        </w:tc>
      </w:tr>
      <w:tr>
        <w:tc>
          <w:tcPr>
            <w:tcW w:type="dxa" w:w="3324"/>
            <w:shd w:val="clear" w:color="auto" w:fill="F2F2F2"/>
          </w:tcPr>
          <w:p>
            <w:r/>
            <w:r>
              <w:rPr>
                <w:b/>
                <w:i w:val="0"/>
                <w:color w:val="2E5395"/>
                <w:sz w:val="20"/>
              </w:rPr>
              <w:t>fecha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/>
                <w:sz w:val="20"/>
              </w:rPr>
              <w:t>datetime</w:t>
            </w:r>
          </w:p>
        </w:tc>
        <w:tc>
          <w:tcPr>
            <w:tcW w:type="dxa" w:w="3324"/>
            <w:shd w:val="clear" w:color="auto" w:fill="F2F2F2"/>
          </w:tcPr>
          <w:p>
            <w:r/>
            <w:r>
              <w:rPr>
                <w:b w:val="0"/>
                <w:i w:val="0"/>
                <w:sz w:val="20"/>
              </w:rPr>
              <w:t>Momento en que se registró el movimiento.</w:t>
            </w:r>
          </w:p>
        </w:tc>
      </w:tr>
    </w:tbl>
    <w:p/>
    <w:p>
      <w:pPr>
        <w:pStyle w:val="Heading1"/>
      </w:pPr>
      <w:r>
        <w:rPr>
          <w:color w:val="1F3864"/>
        </w:rPr>
        <w:t>3. Decisiones de modelado a tener en cuenta</w:t>
      </w:r>
    </w:p>
    <w:p>
      <w:pPr>
        <w:pStyle w:val="ListBullet"/>
      </w:pPr>
      <w:r>
        <w:t>Toda tabla con datos propios de la barbería lleva `barberia_id` desde el día 1 (ADR-03), incluso hoy con una única barbería en uso.</w:t>
      </w:r>
    </w:p>
    <w:p>
      <w:pPr>
        <w:pStyle w:val="ListBullet"/>
      </w:pPr>
      <w:r>
        <w:t>El patrón `Item_Catalogo` evita duplicar lógica de precio/duración entre Servicio y Combo, y simplifica la tabla Turno a una única referencia.</w:t>
      </w:r>
    </w:p>
    <w:p>
      <w:pPr>
        <w:pStyle w:val="ListBullet"/>
      </w:pPr>
      <w:r>
        <w:t>El descuento de stock nunca se hardcodea por nombre de servicio: se resuelve siempre a través de `Servicio_Insumo`, incluso para combos (recorriendo `Combo_Servicio`).</w:t>
      </w:r>
    </w:p>
    <w:p>
      <w:pPr>
        <w:pStyle w:val="ListBullet"/>
      </w:pPr>
      <w:r>
        <w:t>La fidelización usa un campo booleano en Servicio (`cuenta_para_fidelizacion`) en lugar de una lista fija de nombres, para que agregar o quitar servicios del programa no requiera cambios de código.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