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onsolas" w:hAnsi="Consolas"/>
          <w:b/>
          <w:color w:val="2F6B5F"/>
          <w:sz w:val="22"/>
        </w:rPr>
        <w:t>JURA MOGP · GROUP MEETING</w:t>
      </w:r>
    </w:p>
    <w:p>
      <w:pPr>
        <w:spacing w:before="80" w:after="80"/>
      </w:pPr>
      <w:r>
        <w:rPr>
          <w:b/>
          <w:color w:val="1C2321"/>
          <w:sz w:val="56"/>
        </w:rPr>
        <w:t>Presentation Script</w:t>
      </w:r>
    </w:p>
    <w:p>
      <w:pPr>
        <w:spacing w:after="360"/>
      </w:pPr>
      <w:r>
        <w:rPr>
          <w:i/>
          <w:color w:val="75817A"/>
          <w:sz w:val="26"/>
        </w:rPr>
        <w:t>Multi-Output Gaussian Processes for Soil Cadmium Prediction</w:t>
      </w:r>
    </w:p>
    <w:p>
      <w:pPr>
        <w:spacing w:after="80"/>
      </w:pPr>
      <w:r>
        <w:rPr>
          <w:color w:val="75817A"/>
          <w:sz w:val="20"/>
        </w:rPr>
        <w:t>17 slides  ·  approx. 30 minutes  ·  English, spoken register</w:t>
      </w:r>
    </w:p>
    <w:p>
      <w:pPr>
        <w:spacing w:after="400"/>
      </w:pPr>
      <w:r>
        <w:rPr>
          <w:i/>
          <w:color w:val="75817A"/>
          <w:sz w:val="20"/>
        </w:rPr>
        <w:t>This script matches the current deck exactly, slide for slide. Numbers, table values, and terminology are kept consistent with what is shown on screen. Read each section while that slide is visible; the bold time estimate is a pacing guide, not a hard limit.</w:t>
      </w:r>
    </w:p>
    <w:p>
      <w:pPr>
        <w:pBdr>
          <w:bottom w:val="single" w:sz="6" w:space="1" w:color="D3DAD4"/>
        </w:pBdr>
        <w:spacing w:after="400"/>
      </w:pPr>
    </w:p>
    <w:p>
      <w:pPr>
        <w:spacing w:before="440" w:after="80"/>
      </w:pPr>
      <w:r>
        <w:rPr>
          <w:rFonts w:ascii="Consolas" w:hAnsi="Consolas"/>
          <w:b/>
          <w:color w:val="2F6B5F"/>
          <w:sz w:val="19"/>
        </w:rPr>
        <w:t>SLIDE 01</w:t>
      </w:r>
      <w:r>
        <w:rPr>
          <w:rFonts w:ascii="Consolas" w:hAnsi="Consolas"/>
          <w:color w:val="75817A"/>
          <w:sz w:val="19"/>
        </w:rPr>
        <w:t xml:space="preserve">   ~1 min</w:t>
      </w:r>
    </w:p>
    <w:p>
      <w:pPr>
        <w:keepNext/>
        <w:spacing w:after="200"/>
      </w:pPr>
      <w:r>
        <w:rPr>
          <w:b/>
          <w:color w:val="1C2321"/>
          <w:sz w:val="30"/>
        </w:rPr>
        <w:t>Title</w:t>
      </w:r>
    </w:p>
    <w:p>
      <w:pPr>
        <w:spacing w:after="160"/>
      </w:pPr>
      <w:r>
        <w:t>Good morning, everyone. Thank you for the time today.</w:t>
      </w:r>
    </w:p>
    <w:p>
      <w:pPr>
        <w:spacing w:after="160"/>
      </w:pPr>
      <w:r>
        <w:t>My question for this project is simple to state: can we use cheap, easy-to-measure data to help us predict something that is expensive to measure? I use a soil dataset from Switzerland to test this. I compare an independent model against two multi-output models that can share information across different measured variables.</w:t>
      </w:r>
    </w:p>
    <w:p>
      <w:pPr>
        <w:spacing w:after="160"/>
      </w:pPr>
      <w:r>
        <w:t>Three numbers to keep in mind as we go: 359 sample sites in the dataset; a 10 out of 10 win rate across every robustness test I ran; and Q equals 2, meaning the best model I found resolves two distinct spatial scales, not one. I will explain what all of that means as we go through the slides.</w:t>
      </w:r>
    </w:p>
    <w:p>
      <w:pPr>
        <w:spacing w:before="440" w:after="80"/>
      </w:pPr>
      <w:r>
        <w:rPr>
          <w:rFonts w:ascii="Consolas" w:hAnsi="Consolas"/>
          <w:b/>
          <w:color w:val="2F6B5F"/>
          <w:sz w:val="19"/>
        </w:rPr>
        <w:t>SLIDE 02</w:t>
      </w:r>
      <w:r>
        <w:rPr>
          <w:rFonts w:ascii="Consolas" w:hAnsi="Consolas"/>
          <w:color w:val="75817A"/>
          <w:sz w:val="19"/>
        </w:rPr>
        <w:t xml:space="preserve">   ~1.75 min</w:t>
      </w:r>
    </w:p>
    <w:p>
      <w:pPr>
        <w:keepNext/>
        <w:spacing w:after="200"/>
      </w:pPr>
      <w:r>
        <w:rPr>
          <w:b/>
          <w:color w:val="1C2321"/>
          <w:sz w:val="30"/>
        </w:rPr>
        <w:t>Motivation</w:t>
      </w:r>
    </w:p>
    <w:p>
      <w:pPr>
        <w:spacing w:after="160"/>
      </w:pPr>
      <w:r>
        <w:t>Let me start with why I chose this problem.</w:t>
      </w:r>
    </w:p>
    <w:p>
      <w:pPr>
        <w:spacing w:after="160"/>
      </w:pPr>
      <w:r>
        <w:t>Cadmium, or Cd, is one of the standard indicators used to assess heavy-metal contamination in soil, but a laboratory assay for Cd costs noticeably more than an assay for nickel or zinc, which I will call Ni and Zn from here on. These three metals frequently share a common origin, either the same pollution source or the same underlying rock chemistry, so it is reasonable to expect them to co-occur spatially.</w:t>
      </w:r>
    </w:p>
    <w:p>
      <w:pPr>
        <w:spacing w:after="160"/>
      </w:pPr>
      <w:r>
        <w:t>That gave me my starting question: can the cheaper Ni and Zn measurements help predict Cd at locations where Cd itself was never measured?</w:t>
      </w:r>
    </w:p>
    <w:p>
      <w:pPr>
        <w:spacing w:after="160"/>
      </w:pPr>
      <w:r>
        <w:t>Before committing to any modelling, I checked whether this premise actually holds. I computed the pairwise correlations on the log scale and found 0.654 between Cd and Ni, 0.686 between Cd and Zn, and 0.699 between Ni and Zn. These are not small numbers. Had they been close to zero, none of the multi-output modelling that follows would have been worth attempting, so this single check is really the foundation the rest of the project stands on.</w:t>
      </w:r>
    </w:p>
    <w:p>
      <w:pPr>
        <w:spacing w:before="440" w:after="80"/>
      </w:pPr>
      <w:r>
        <w:rPr>
          <w:rFonts w:ascii="Consolas" w:hAnsi="Consolas"/>
          <w:b/>
          <w:color w:val="2F6B5F"/>
          <w:sz w:val="19"/>
        </w:rPr>
        <w:t>SLIDE 03</w:t>
      </w:r>
      <w:r>
        <w:rPr>
          <w:rFonts w:ascii="Consolas" w:hAnsi="Consolas"/>
          <w:color w:val="75817A"/>
          <w:sz w:val="19"/>
        </w:rPr>
        <w:t xml:space="preserve">   ~1.75 min</w:t>
      </w:r>
    </w:p>
    <w:p>
      <w:pPr>
        <w:keepNext/>
        <w:spacing w:after="200"/>
      </w:pPr>
      <w:r>
        <w:rPr>
          <w:b/>
          <w:color w:val="1C2321"/>
          <w:sz w:val="30"/>
        </w:rPr>
        <w:t>Looked at the Raw Data First</w:t>
      </w:r>
    </w:p>
    <w:p>
      <w:pPr>
        <w:spacing w:after="160"/>
      </w:pPr>
      <w:r>
        <w:t>Before I touched any model, I spent time simply looking at the raw distributions.</w:t>
      </w:r>
    </w:p>
    <w:p>
      <w:pPr>
        <w:spacing w:after="160"/>
      </w:pPr>
      <w:r>
        <w:t>Cd and Zn were strongly right-skewed: most sites had low concentrations, with a long tail of a few much higher values. A log transform is the standard fix here, and it worked as expected, bringing both distributions much closer to symmetric.</w:t>
      </w:r>
    </w:p>
    <w:p>
      <w:pPr>
        <w:spacing w:after="160"/>
      </w:pPr>
      <w:r>
        <w:t>Ni, however, told a different story. Its raw distribution was already close to symmetric, with a skew of about plus 0.11. After the log transform, the skew moved to about minus 1.13 - the transform actually made Ni's distribution less symmetric, not more.</w:t>
      </w:r>
    </w:p>
    <w:p>
      <w:pPr>
        <w:spacing w:after="160"/>
      </w:pPr>
      <w:r>
        <w:t>I want to be transparent about this rather than quietly smoothing over it. I kept the log transform for all three metals anyway, because the multi-output model needs all outputs on a shared scale for the cross-output covariance to be meaningful. But this was a deliberate trade-off, not a clean win across the board, and I think that is worth saying openly.</w:t>
      </w:r>
    </w:p>
    <w:p>
      <w:pPr>
        <w:spacing w:before="440" w:after="80"/>
      </w:pPr>
      <w:r>
        <w:rPr>
          <w:rFonts w:ascii="Consolas" w:hAnsi="Consolas"/>
          <w:b/>
          <w:color w:val="2F6B5F"/>
          <w:sz w:val="19"/>
        </w:rPr>
        <w:t>SLIDE 04</w:t>
      </w:r>
      <w:r>
        <w:rPr>
          <w:rFonts w:ascii="Consolas" w:hAnsi="Consolas"/>
          <w:color w:val="75817A"/>
          <w:sz w:val="19"/>
        </w:rPr>
        <w:t xml:space="preserve">   ~2.25 min</w:t>
      </w:r>
    </w:p>
    <w:p>
      <w:pPr>
        <w:keepNext/>
        <w:spacing w:after="200"/>
      </w:pPr>
      <w:r>
        <w:rPr>
          <w:b/>
          <w:color w:val="1C2321"/>
          <w:sz w:val="30"/>
        </w:rPr>
        <w:t>The Dataset and How I Split It</w:t>
      </w:r>
    </w:p>
    <w:p>
      <w:pPr>
        <w:spacing w:after="160"/>
      </w:pPr>
      <w:r>
        <w:t>Now let me describe the dataset itself and how I set up the prediction task.</w:t>
      </w:r>
    </w:p>
    <w:p>
      <w:pPr>
        <w:spacing w:after="160"/>
      </w:pPr>
      <w:r>
        <w:t>This is the Jura dataset: 359 sampling sites across the Swiss Jura region, originally published in Goovaerts' 1997 geostatistics textbook, and distributed today through OpenML.</w:t>
      </w:r>
    </w:p>
    <w:p>
      <w:pPr>
        <w:spacing w:after="160"/>
      </w:pPr>
      <w:r>
        <w:t>Look at this table. Cd has 259 observed points; I deliberately withheld 100 further sites to use as a held-out test set. Ni and Zn, by contrast, are observed at all 359 sites, with nothing withheld.</w:t>
      </w:r>
    </w:p>
    <w:p>
      <w:pPr>
        <w:spacing w:after="160"/>
      </w:pPr>
      <w:r>
        <w:t>The task is to predict Cd concentration at the 100 sites where it was hidden. This mirrors a realistic scenario in soil surveys, where the expensive variable is only measured at a subset of locations while cheaper auxiliary variables are collected everywhere.</w:t>
      </w:r>
    </w:p>
    <w:p>
      <w:pPr>
        <w:spacing w:after="160"/>
      </w:pPr>
      <w:r>
        <w:t>One methodological point I want to flag: when I standardize the data, I compute the mean and variance for Cd using only the 259 training points, never the full 359. If I had used all 359, information from the held-out test sites would leak into the standardization step, which would quietly inflate my results.</w:t>
      </w:r>
    </w:p>
    <w:p>
      <w:pPr>
        <w:spacing w:after="160"/>
      </w:pPr>
      <w:r>
        <w:t>The diagram shows this heterotopic design. At every site where Cd is missing, Ni and Zn are still available. This is the structural fact that makes multi-output modelling possible here at all - without it, there would be nothing for the model to borrow.</w:t>
      </w:r>
    </w:p>
    <w:p>
      <w:pPr>
        <w:spacing w:before="440" w:after="80"/>
      </w:pPr>
      <w:r>
        <w:rPr>
          <w:rFonts w:ascii="Consolas" w:hAnsi="Consolas"/>
          <w:b/>
          <w:color w:val="2F6B5F"/>
          <w:sz w:val="19"/>
        </w:rPr>
        <w:t>SLIDE 05</w:t>
      </w:r>
      <w:r>
        <w:rPr>
          <w:rFonts w:ascii="Consolas" w:hAnsi="Consolas"/>
          <w:color w:val="75817A"/>
          <w:sz w:val="19"/>
        </w:rPr>
        <w:t xml:space="preserve">   ~2.75 min</w:t>
      </w:r>
    </w:p>
    <w:p>
      <w:pPr>
        <w:keepNext/>
        <w:spacing w:after="200"/>
      </w:pPr>
      <w:r>
        <w:rPr>
          <w:b/>
          <w:color w:val="1C2321"/>
          <w:sz w:val="30"/>
        </w:rPr>
        <w:t>The Three Models I Compared</w:t>
      </w:r>
    </w:p>
    <w:p>
      <w:pPr>
        <w:spacing w:after="160"/>
      </w:pPr>
      <w:r>
        <w:t>With the setup in place, let me walk through the three models.</w:t>
      </w:r>
    </w:p>
    <w:p>
      <w:pPr>
        <w:spacing w:after="160"/>
      </w:pPr>
      <w:r>
        <w:t>The baseline is an independent Gaussian Process, or GP, trained using only the 259 Cd observations. It has no access to Ni or Zn whatsoever.</w:t>
      </w:r>
    </w:p>
    <w:p>
      <w:pPr>
        <w:spacing w:after="160"/>
      </w:pPr>
      <w:r>
        <w:t>The second model is called ICM. It is a multi-output Gaussian process with a single shared spatial kernel: K equals k of x, x prime, times B of i, j. All three outputs share exactly one spatial scale, or lengthscale.</w:t>
      </w:r>
    </w:p>
    <w:p>
      <w:pPr>
        <w:spacing w:after="160"/>
      </w:pPr>
      <w:r>
        <w:t>The third model is called LMC. Its kernel is a sum over several latent functions: K equals the sum over q of k sub q times B sub q. Each latent function gets its own independent lengthscale. In the model I present today, I use two latent functions, so Q equals 2.</w:t>
      </w:r>
    </w:p>
    <w:p>
      <w:pPr>
        <w:spacing w:after="160"/>
      </w:pPr>
      <w:r>
        <w:t>There is a precise relationship between them worth stating clearly: ICM is exactly the special case of LMC where Q equals 1. The task-covariance matrix B, in both models, comes from GPyTorch's IndexKernel and is parameterized as B equals W times W transpose, plus a diagonal term kappa.</w:t>
      </w:r>
    </w:p>
    <w:p>
      <w:pPr>
        <w:spacing w:after="160"/>
      </w:pPr>
      <w:r>
        <w:t>On the implementation side, all three models are built in what is called Hadamard long-table form: each row holds a coordinate pair, a task index, and one observed value. A standard wide table cannot represent Cd's missing entries cleanly, but this long format handles missing data naturally. The cost is that we give up a computational shortcut called the Kronecker speed-up. Training runs on 977 long-table rows in total.</w:t>
      </w:r>
    </w:p>
    <w:p>
      <w:pPr>
        <w:spacing w:before="440" w:after="80"/>
      </w:pPr>
      <w:r>
        <w:rPr>
          <w:rFonts w:ascii="Consolas" w:hAnsi="Consolas"/>
          <w:b/>
          <w:color w:val="2F6B5F"/>
          <w:sz w:val="19"/>
        </w:rPr>
        <w:t>SLIDE 06</w:t>
      </w:r>
      <w:r>
        <w:rPr>
          <w:rFonts w:ascii="Consolas" w:hAnsi="Consolas"/>
          <w:color w:val="75817A"/>
          <w:sz w:val="19"/>
        </w:rPr>
        <w:t xml:space="preserve">   ~2.25 min</w:t>
      </w:r>
    </w:p>
    <w:p>
      <w:pPr>
        <w:keepNext/>
        <w:spacing w:after="200"/>
      </w:pPr>
      <w:r>
        <w:rPr>
          <w:b/>
          <w:color w:val="1C2321"/>
          <w:sz w:val="30"/>
        </w:rPr>
        <w:t>How I Checked This Was Not Just Luck</w:t>
      </w:r>
    </w:p>
    <w:p>
      <w:pPr>
        <w:spacing w:after="160"/>
      </w:pPr>
      <w:r>
        <w:t>Before trusting any of these numbers, I wanted to rule out the possibility that a good result was simply a lucky draw of the test set.</w:t>
      </w:r>
    </w:p>
    <w:p>
      <w:pPr>
        <w:spacing w:after="160"/>
      </w:pPr>
      <w:r>
        <w:t>I did four things. First, I ran 10 random splits. Each split redraws the 259 versus 100 partition with a fresh random seed, and I re-standardize the data independently each time, rather than reusing one fixed split.</w:t>
      </w:r>
    </w:p>
    <w:p>
      <w:pPr>
        <w:spacing w:after="160"/>
      </w:pPr>
      <w:r>
        <w:t>Second, I used paired comparison: all three models are evaluated on the exact same split before I compare them, using both a paired t-test and a Wilcoxon signed-rank test as a cross-check.</w:t>
      </w:r>
    </w:p>
    <w:p>
      <w:pPr>
        <w:spacing w:after="160"/>
      </w:pPr>
      <w:r>
        <w:t>Third, my evaluation metrics are RMSE, MAE, and NLL, all computed on the 100 held-out Cd sites.</w:t>
      </w:r>
    </w:p>
    <w:p>
      <w:pPr>
        <w:spacing w:after="160"/>
      </w:pPr>
      <w:r>
        <w:t>Fourth, a numerical detail that turned out to matter more than I expected. GPyTorch only uses an exact Cholesky decomposition below 800 training points by default, and my long table has 977 rows. Left uncorrected, the library silently falls back to an approximate method, and I found this introduced real noise into my early results. I raised that limit manually for every run in this project.</w:t>
      </w:r>
    </w:p>
    <w:p>
      <w:pPr>
        <w:spacing w:before="440" w:after="80"/>
      </w:pPr>
      <w:r>
        <w:rPr>
          <w:rFonts w:ascii="Consolas" w:hAnsi="Consolas"/>
          <w:b/>
          <w:color w:val="2F6B5F"/>
          <w:sz w:val="19"/>
        </w:rPr>
        <w:t>SLIDE 07</w:t>
      </w:r>
      <w:r>
        <w:rPr>
          <w:rFonts w:ascii="Consolas" w:hAnsi="Consolas"/>
          <w:color w:val="75817A"/>
          <w:sz w:val="19"/>
        </w:rPr>
        <w:t xml:space="preserve">   ~3.25 min</w:t>
      </w:r>
    </w:p>
    <w:p>
      <w:pPr>
        <w:keepNext/>
        <w:spacing w:after="200"/>
      </w:pPr>
      <w:r>
        <w:rPr>
          <w:b/>
          <w:color w:val="1C2321"/>
          <w:sz w:val="30"/>
        </w:rPr>
        <w:t>Main Result</w:t>
      </w:r>
    </w:p>
    <w:p>
      <w:pPr>
        <w:spacing w:after="160"/>
      </w:pPr>
      <w:r>
        <w:t>This brings us to the central result.</w:t>
      </w:r>
    </w:p>
    <w:p>
      <w:pPr>
        <w:spacing w:after="160"/>
      </w:pPr>
      <w:r>
        <w:t>ICM reduces RMSE by 26.3 percent relative to the independent GP baseline, and LMC reduces it by 27.3 percent, both averaged over the 10 splits. The paired t-test against the baseline gives a p-value below 0.001 for LMC, and LMC wins on all 10 out of 10 splits.</w:t>
      </w:r>
    </w:p>
    <w:p>
      <w:pPr>
        <w:spacing w:after="160"/>
      </w:pPr>
      <w:r>
        <w:t>This table summarizes the standardized test RMSE for each model: 0.8694 for the independent GP, 0.6399 for ICM, and 0.6320 for LMC.</w:t>
      </w:r>
    </w:p>
    <w:p>
      <w:pPr>
        <w:spacing w:after="160"/>
      </w:pPr>
      <w:r>
        <w:t>I anticipated one obvious question here, so let me address it directly: why not simply use linear regression? I tested this. An ordinary least-squares regression of Cd on Ni and Zn, using co-located values at the same site, achieves an RMSE of 0.7629, compared to LMC's 0.7313 on that same single split. So a substantial part of the 27 percent improvement really does come from simply having Ni and Zn measured at the same location - the Gaussian process machinery itself adds only about 4 percent more on top of that.</w:t>
      </w:r>
    </w:p>
    <w:p>
      <w:pPr>
        <w:spacing w:after="160"/>
      </w:pPr>
      <w:r>
        <w:t>I still think the GP is worth the added complexity, for two concrete reasons. First, linear regression provides no calibrated measure of predictive uncertainty, whereas the GP's posterior variance gives one directly. Second, linear regression fails completely at any site lacking co-located Ni and Zn measurements, while the GP degrades gracefully in that situation, falling back on ordinary spatial interpolation from nearby points.</w:t>
      </w:r>
    </w:p>
    <w:p>
      <w:pPr>
        <w:spacing w:before="440" w:after="80"/>
      </w:pPr>
      <w:r>
        <w:rPr>
          <w:rFonts w:ascii="Consolas" w:hAnsi="Consolas"/>
          <w:b/>
          <w:color w:val="2F6B5F"/>
          <w:sz w:val="19"/>
        </w:rPr>
        <w:t>SLIDE 08</w:t>
      </w:r>
      <w:r>
        <w:rPr>
          <w:rFonts w:ascii="Consolas" w:hAnsi="Consolas"/>
          <w:color w:val="75817A"/>
          <w:sz w:val="19"/>
        </w:rPr>
        <w:t xml:space="preserve">   ~1.75 min</w:t>
      </w:r>
    </w:p>
    <w:p>
      <w:pPr>
        <w:keepNext/>
        <w:spacing w:after="200"/>
      </w:pPr>
      <w:r>
        <w:rPr>
          <w:b/>
          <w:color w:val="1C2321"/>
          <w:sz w:val="30"/>
        </w:rPr>
        <w:t>What the Predictions Actually Look Like</w:t>
      </w:r>
    </w:p>
    <w:p>
      <w:pPr>
        <w:spacing w:after="160"/>
      </w:pPr>
      <w:r>
        <w:t>Before moving to more abstract diagnostics, I want to show the predictions themselves.</w:t>
      </w:r>
    </w:p>
    <w:p>
      <w:pPr>
        <w:spacing w:after="160"/>
      </w:pPr>
      <w:r>
        <w:t>Each point in these three scatter plots is one of the 100 test sites. The horizontal axis is the true, standardized Cd value; the vertical axis is the model's prediction. A point sitting exactly on the dashed diagonal line represents a perfect prediction.</w:t>
      </w:r>
    </w:p>
    <w:p>
      <w:pPr>
        <w:spacing w:after="160"/>
      </w:pPr>
      <w:r>
        <w:t>Reading left to right - independent GP, then ICM, then LMC - you can see the point cloud visibly tighten around the diagonal. The R-squared values printed above each panel confirm this: 0.173 for the independent GP, 0.516 for ICM, and 0.531 for LMC. This is the same improvement we saw in the RMSE table, now made directly visible rather than summarized in a single number.</w:t>
      </w:r>
    </w:p>
    <w:p>
      <w:pPr>
        <w:spacing w:before="440" w:after="80"/>
      </w:pPr>
      <w:r>
        <w:rPr>
          <w:rFonts w:ascii="Consolas" w:hAnsi="Consolas"/>
          <w:b/>
          <w:color w:val="2F6B5F"/>
          <w:sz w:val="19"/>
        </w:rPr>
        <w:t>SLIDE 09</w:t>
      </w:r>
      <w:r>
        <w:rPr>
          <w:rFonts w:ascii="Consolas" w:hAnsi="Consolas"/>
          <w:color w:val="75817A"/>
          <w:sz w:val="19"/>
        </w:rPr>
        <w:t xml:space="preserve">   ~2.25 min</w:t>
      </w:r>
    </w:p>
    <w:p>
      <w:pPr>
        <w:keepNext/>
        <w:spacing w:after="200"/>
      </w:pPr>
      <w:r>
        <w:rPr>
          <w:b/>
          <w:color w:val="1C2321"/>
          <w:sz w:val="30"/>
        </w:rPr>
        <w:t>The Same Result Across All 10 Splits</w:t>
      </w:r>
    </w:p>
    <w:p>
      <w:pPr>
        <w:spacing w:after="160"/>
      </w:pPr>
      <w:r>
        <w:t>I want to confirm that this is not an artifact of one favourable split.</w:t>
      </w:r>
    </w:p>
    <w:p>
      <w:pPr>
        <w:spacing w:after="160"/>
      </w:pPr>
      <w:r>
        <w:t>Each grey line in this plot traces one random split, connecting its independent-GP result, its ICM result, and its LMC result. The green arrow marks the comparison between independent GP and ICM: a p-value below 0.001, winning on all 10 out of 10 splits.</w:t>
      </w:r>
    </w:p>
    <w:p>
      <w:pPr>
        <w:spacing w:after="160"/>
      </w:pPr>
      <w:r>
        <w:t>The plot also has a second, red arrow, and I want to explain that one directly rather than leave it unaddressed. It marks the comparison between ICM and LMC, and it only wins on 5 out of 10 splits, with a p-value of 0.19. That is not significant, and I will come back to exactly what that means on slide 14.</w:t>
      </w:r>
    </w:p>
    <w:p>
      <w:pPr>
        <w:spacing w:after="160"/>
      </w:pPr>
      <w:r>
        <w:t>For now, the point of this slide is the green comparison: the lines fall steadily from left to right and rarely cross one another. If the independent-GP-to-ICM advantage depended on one lucky partition, we would expect the lines to cross back and forth. Instead, the pattern holds consistently, which is why I am confident that particular improvement is structural rather than coincidental.</w:t>
      </w:r>
    </w:p>
    <w:p>
      <w:pPr>
        <w:spacing w:before="440" w:after="80"/>
      </w:pPr>
      <w:r>
        <w:rPr>
          <w:rFonts w:ascii="Consolas" w:hAnsi="Consolas"/>
          <w:b/>
          <w:color w:val="2F6B5F"/>
          <w:sz w:val="19"/>
        </w:rPr>
        <w:t>SLIDE 10</w:t>
      </w:r>
      <w:r>
        <w:rPr>
          <w:rFonts w:ascii="Consolas" w:hAnsi="Consolas"/>
          <w:color w:val="75817A"/>
          <w:sz w:val="19"/>
        </w:rPr>
        <w:t xml:space="preserve">   ~1.75 min</w:t>
      </w:r>
    </w:p>
    <w:p>
      <w:pPr>
        <w:keepNext/>
        <w:spacing w:after="200"/>
      </w:pPr>
      <w:r>
        <w:rPr>
          <w:b/>
          <w:color w:val="1C2321"/>
          <w:sz w:val="30"/>
        </w:rPr>
        <w:t>Where the Improvement Comes From</w:t>
      </w:r>
    </w:p>
    <w:p>
      <w:pPr>
        <w:spacing w:after="160"/>
      </w:pPr>
      <w:r>
        <w:t>The next question I wanted to answer was mechanistic: where, physically, does this gain actually come from?</w:t>
      </w:r>
    </w:p>
    <w:p>
      <w:pPr>
        <w:spacing w:after="160"/>
      </w:pPr>
      <w:r>
        <w:t>Averaged across the 100 test sites, predictive uncertainty narrows by about 23 percent - from 0.75 for the independent GP down to 0.58 for LMC. But this narrowing is highly localized: it only occurs within roughly 0.05 kilometres of an existing sampling site.</w:t>
      </w:r>
    </w:p>
    <w:p>
      <w:pPr>
        <w:spacing w:after="160"/>
      </w:pPr>
      <w:r>
        <w:t>That figure, 0.05 kilometres, sits almost exactly on top of a number the model learned independently: the short-range lengthscale of 0.052 kilometres. A lengthscale is the distance parameter inside the spatial kernel that governs how quickly correlation decays with distance. The fact that these two numbers agree so closely is what convinced me that the gain is coming from borrowing co-located information, rather than from broad spatial smoothing over the whole region.</w:t>
      </w:r>
    </w:p>
    <w:p>
      <w:pPr>
        <w:spacing w:before="440" w:after="80"/>
      </w:pPr>
      <w:r>
        <w:rPr>
          <w:rFonts w:ascii="Consolas" w:hAnsi="Consolas"/>
          <w:b/>
          <w:color w:val="2F6B5F"/>
          <w:sz w:val="19"/>
        </w:rPr>
        <w:t>SLIDE 11</w:t>
      </w:r>
      <w:r>
        <w:rPr>
          <w:rFonts w:ascii="Consolas" w:hAnsi="Consolas"/>
          <w:color w:val="75817A"/>
          <w:sz w:val="19"/>
        </w:rPr>
        <w:t xml:space="preserve">   ~2 min</w:t>
      </w:r>
    </w:p>
    <w:p>
      <w:pPr>
        <w:keepNext/>
        <w:spacing w:after="200"/>
      </w:pPr>
      <w:r>
        <w:rPr>
          <w:b/>
          <w:color w:val="1C2321"/>
          <w:sz w:val="30"/>
        </w:rPr>
        <w:t>Where on the Map Does the Model Gain Confidence?</w:t>
      </w:r>
    </w:p>
    <w:p>
      <w:pPr>
        <w:spacing w:after="160"/>
      </w:pPr>
      <w:r>
        <w:t>This slide makes the same point spatially rather than as a single averaged number.</w:t>
      </w:r>
    </w:p>
    <w:p>
      <w:pPr>
        <w:spacing w:after="160"/>
      </w:pPr>
      <w:r>
        <w:t>The top row compares the predicted Cd surface for the independent GP and for LMC, along with the difference between them; LMC tracks local detail more closely and aligns better with the actual observed values.</w:t>
      </w:r>
    </w:p>
    <w:p>
      <w:pPr>
        <w:spacing w:after="160"/>
      </w:pPr>
      <w:r>
        <w:t>The bottom row shows posterior uncertainty for each model, with the percentage reduction on the right. The red regions - where LMC is more confident than the independent GP - sit almost entirely on top of the sampling locations themselves. In the gaps between sites, the blue regions show that LMC gains almost nothing over the baseline. I think this is the single clearest piece of evidence in the whole project for the 'local borrowing' explanation, precisely because you can see it directly on the map rather than having to infer it from a table of numbers.</w:t>
      </w:r>
    </w:p>
    <w:p>
      <w:pPr>
        <w:spacing w:before="440" w:after="80"/>
      </w:pPr>
      <w:r>
        <w:rPr>
          <w:rFonts w:ascii="Consolas" w:hAnsi="Consolas"/>
          <w:b/>
          <w:color w:val="2F6B5F"/>
          <w:sz w:val="19"/>
        </w:rPr>
        <w:t>SLIDE 12</w:t>
      </w:r>
      <w:r>
        <w:rPr>
          <w:rFonts w:ascii="Consolas" w:hAnsi="Consolas"/>
          <w:color w:val="75817A"/>
          <w:sz w:val="19"/>
        </w:rPr>
        <w:t xml:space="preserve">   ~1.75 min</w:t>
      </w:r>
    </w:p>
    <w:p>
      <w:pPr>
        <w:keepNext/>
        <w:spacing w:after="200"/>
      </w:pPr>
      <w:r>
        <w:rPr>
          <w:b/>
          <w:color w:val="1C2321"/>
          <w:sz w:val="30"/>
        </w:rPr>
        <w:t>Quantifying the Borrowing Radius</w:t>
      </w:r>
    </w:p>
    <w:p>
      <w:pPr>
        <w:spacing w:after="160"/>
      </w:pPr>
      <w:r>
        <w:t>This slide puts a precise number on the claim from the last two slides.</w:t>
      </w:r>
    </w:p>
    <w:p>
      <w:pPr>
        <w:spacing w:after="160"/>
      </w:pPr>
      <w:r>
        <w:t>The two uncertainty curves - independent GP and LMC - cross at approximately 0.05 kilometres. LMC's learned short-range lengthscale is 0.052 kilometres. For reference, the mean nearest-neighbour distance across the survey is 0.125 kilometres, and the regular sampling grid spacing is 0.25 kilometres.</w:t>
      </w:r>
    </w:p>
    <w:p>
      <w:pPr>
        <w:spacing w:after="160"/>
      </w:pPr>
      <w:r>
        <w:t>Because the crossing point matches the learned lengthscale so precisely, and both are considerably smaller than the typical spacing between sites, I read this as direct, quantitative confirmation that the borrowing effect really is confined to roughly one lengthscale, and does not extend meaningfully further than that.</w:t>
      </w:r>
    </w:p>
    <w:p>
      <w:pPr>
        <w:spacing w:before="440" w:after="80"/>
      </w:pPr>
      <w:r>
        <w:rPr>
          <w:rFonts w:ascii="Consolas" w:hAnsi="Consolas"/>
          <w:b/>
          <w:color w:val="2F6B5F"/>
          <w:sz w:val="19"/>
        </w:rPr>
        <w:t>SLIDE 13</w:t>
      </w:r>
      <w:r>
        <w:rPr>
          <w:rFonts w:ascii="Consolas" w:hAnsi="Consolas"/>
          <w:color w:val="75817A"/>
          <w:sz w:val="19"/>
        </w:rPr>
        <w:t xml:space="preserve">   ~2.75 min</w:t>
      </w:r>
    </w:p>
    <w:p>
      <w:pPr>
        <w:keepNext/>
        <w:spacing w:after="200"/>
      </w:pPr>
      <w:r>
        <w:rPr>
          <w:b/>
          <w:color w:val="1C2321"/>
          <w:sz w:val="30"/>
        </w:rPr>
        <w:t>Two Scales, and What I Think They Mean</w:t>
      </w:r>
    </w:p>
    <w:p>
      <w:pPr>
        <w:spacing w:after="160"/>
      </w:pPr>
      <w:r>
        <w:t>This is the finding I find most interesting in the whole project.</w:t>
      </w:r>
    </w:p>
    <w:p>
      <w:pPr>
        <w:spacing w:after="160"/>
      </w:pPr>
      <w:r>
        <w:t>With Q equals 2, LMC resolves two clearly separated spatial scales. The first is short-range, with a lengthscale of about 0.052 by 0.042 kilometres. It accounts for 77.7 percent of Cd's prior variance, and its correlation with Ni is a moderate 0.673. My reading of this component is local, human-caused input - contamination close to the surface, spatially concentrated rather than spread out.</w:t>
      </w:r>
    </w:p>
    <w:p>
      <w:pPr>
        <w:spacing w:after="160"/>
      </w:pPr>
      <w:r>
        <w:t>The second is long-range, with a lengthscale of about 0.511 by 0.347 kilometres. It accounts for only 22.3 percent of Cd's prior variance, but its correlation with Ni is 0.941 - close enough to 1 that, at this scale, the three metals behave almost like linear rescalings of a single shared underlying field. I read this as the regional geological background, the broad signature of shared parent rock across the survey area.</w:t>
      </w:r>
    </w:p>
    <w:p>
      <w:pPr>
        <w:spacing w:after="160"/>
      </w:pPr>
      <w:r>
        <w:t>One result here genuinely surprised me. Although the long-range component carries only 22.3 percent of Cd's prior variance, it contributes 62.9 percent of the amplitude in the actual posterior prediction surface, compared with 37.1 percent for the short-range component. In other words, a component's share of prior variance is not the same thing as its real influence on what the model finally predicts, and I had not appreciated that distinction before running this decomposition.</w:t>
      </w:r>
    </w:p>
    <w:p>
      <w:pPr>
        <w:spacing w:before="440" w:after="80"/>
      </w:pPr>
      <w:r>
        <w:rPr>
          <w:rFonts w:ascii="Consolas" w:hAnsi="Consolas"/>
          <w:b/>
          <w:color w:val="2F6B5F"/>
          <w:sz w:val="19"/>
        </w:rPr>
        <w:t>SLIDE 14</w:t>
      </w:r>
      <w:r>
        <w:rPr>
          <w:rFonts w:ascii="Consolas" w:hAnsi="Consolas"/>
          <w:color w:val="75817A"/>
          <w:sz w:val="19"/>
        </w:rPr>
        <w:t xml:space="preserve">   ~2.75 min</w:t>
      </w:r>
    </w:p>
    <w:p>
      <w:pPr>
        <w:keepNext/>
        <w:spacing w:after="200"/>
      </w:pPr>
      <w:r>
        <w:rPr>
          <w:b/>
          <w:color w:val="1C2321"/>
          <w:sz w:val="30"/>
        </w:rPr>
        <w:t>A Result I Want to State Up Front</w:t>
      </w:r>
    </w:p>
    <w:p>
      <w:pPr>
        <w:spacing w:after="160"/>
      </w:pPr>
      <w:r>
        <w:t>Before anyone in the room asks, I want to raise this result myself.</w:t>
      </w:r>
    </w:p>
    <w:p>
      <w:pPr>
        <w:spacing w:after="160"/>
      </w:pPr>
      <w:r>
        <w:t>I expected LMC to predict more accurately than ICM, given that it can express two scales instead of one. The paired test says otherwise: LMC wins only 5 of the 10 splits against ICM, with a p-value of 0.19, which is not significant by the conventional 0.05 threshold. So I cannot claim LMC improves predictive accuracy over ICM, and I do not want to overstate what this result shows.</w:t>
      </w:r>
    </w:p>
    <w:p>
      <w:pPr>
        <w:spacing w:after="160"/>
      </w:pPr>
      <w:r>
        <w:t>What I did notice, looking more closely at the parameters, is this. ICM has exactly one correlation value between Cd and Ni, about 0.743. LMC splits that same relationship into two distinct values, 0.673 for the short-range component and 0.941 for the long-range component, and ICM's single number sits almost precisely between them.</w:t>
      </w:r>
    </w:p>
    <w:p>
      <w:pPr>
        <w:spacing w:after="160"/>
      </w:pPr>
      <w:r>
        <w:t>My interpretation is that ICM's structure forces it to report a variance-weighted average of two genuinely different processes, and it has no way to separate them, because it only has one spatial scale available. This same averaging effect is what led me, earlier in the project, to the mistaken impression that Cd's spatial correlation was simply weak. It was not weak - it was two different correlations, one strong and one moderate, blended into a single misleading number.</w:t>
      </w:r>
    </w:p>
    <w:p>
      <w:pPr>
        <w:spacing w:before="440" w:after="80"/>
      </w:pPr>
      <w:r>
        <w:rPr>
          <w:rFonts w:ascii="Consolas" w:hAnsi="Consolas"/>
          <w:b/>
          <w:color w:val="2F6B5F"/>
          <w:sz w:val="19"/>
        </w:rPr>
        <w:t>SLIDE 15</w:t>
      </w:r>
      <w:r>
        <w:rPr>
          <w:rFonts w:ascii="Consolas" w:hAnsi="Consolas"/>
          <w:color w:val="75817A"/>
          <w:sz w:val="19"/>
        </w:rPr>
        <w:t xml:space="preserve">   ~1.75 min</w:t>
      </w:r>
    </w:p>
    <w:p>
      <w:pPr>
        <w:keepNext/>
        <w:spacing w:after="200"/>
      </w:pPr>
      <w:r>
        <w:rPr>
          <w:b/>
          <w:color w:val="1C2321"/>
          <w:sz w:val="30"/>
        </w:rPr>
        <w:t>Summary</w:t>
      </w:r>
    </w:p>
    <w:p>
      <w:pPr>
        <w:spacing w:after="160"/>
      </w:pPr>
      <w:r>
        <w:t>Let me pull the threads together.</w:t>
      </w:r>
    </w:p>
    <w:p>
      <w:pPr>
        <w:spacing w:after="160"/>
      </w:pPr>
      <w:r>
        <w:t>On performance: both multi-output models beat the single-output baseline, significantly and consistently, across all 10 splits. Most of that gain traces back to the structural fact of having co-located Ni and Zn measurements. Relative to plain co-located linear regression, the GP still adds real value, in the form of calibrated uncertainty and graceful degradation where co-located data are missing.</w:t>
      </w:r>
    </w:p>
    <w:p>
      <w:pPr>
        <w:spacing w:after="160"/>
      </w:pPr>
      <w:r>
        <w:t>On interpretability: LMC resolves what looks like a genuine two-scale physical process, local contamination against regional geology, and in doing so corrects an earlier misreading of Cd's spatial structure that came directly from ICM's single-scale constraint.</w:t>
      </w:r>
    </w:p>
    <w:p>
      <w:pPr>
        <w:spacing w:after="160"/>
      </w:pPr>
      <w:r>
        <w:t>The overall argument runs as a chain: the correlation exists, which motivates the whole project; borrowing information lowers uncertainty, both on average and spatially; relaxing the single-scale constraint reveals the true two-scale structure; and finally, I tested whether that structure improves prediction, found that it does not significantly, and am reporting that honestly rather than only reporting the positive results.</w:t>
      </w:r>
    </w:p>
    <w:p>
      <w:pPr>
        <w:spacing w:before="440" w:after="80"/>
      </w:pPr>
      <w:r>
        <w:rPr>
          <w:rFonts w:ascii="Consolas" w:hAnsi="Consolas"/>
          <w:b/>
          <w:color w:val="2F6B5F"/>
          <w:sz w:val="19"/>
        </w:rPr>
        <w:t>SLIDE 16</w:t>
      </w:r>
      <w:r>
        <w:rPr>
          <w:rFonts w:ascii="Consolas" w:hAnsi="Consolas"/>
          <w:color w:val="75817A"/>
          <w:sz w:val="19"/>
        </w:rPr>
        <w:t xml:space="preserve">   ~2 min</w:t>
      </w:r>
    </w:p>
    <w:p>
      <w:pPr>
        <w:keepNext/>
        <w:spacing w:after="200"/>
      </w:pPr>
      <w:r>
        <w:rPr>
          <w:b/>
          <w:color w:val="1C2321"/>
          <w:sz w:val="30"/>
        </w:rPr>
        <w:t>What I Have, and What I Do Not</w:t>
      </w:r>
    </w:p>
    <w:p>
      <w:pPr>
        <w:spacing w:after="160"/>
      </w:pPr>
      <w:r>
        <w:t>I want to close by being explicit about the boundary of what I currently understand.</w:t>
      </w:r>
    </w:p>
    <w:p>
      <w:pPr>
        <w:spacing w:after="160"/>
      </w:pPr>
      <w:r>
        <w:t>The full pipeline runs end to end, and every number in these slides is reproducible from my code. The improvement over the baseline holds robustly across all 10 splits.</w:t>
      </w:r>
    </w:p>
    <w:p>
      <w:pPr>
        <w:spacing w:after="160"/>
      </w:pPr>
      <w:r>
        <w:t>But three things remain open. First, choosing Q properly. I only compared Q equals 1 against Q equals 2, which is the minimal test of whether more than one scale exists at all. Deciding how many scales to keep in general requires a model-selection criterion, such as BIC or AIC, which penalizes added complexity against the improvement in fit it buys. I understand the reasoning behind why such a penalty is necessary, but I have not yet applied it carefully enough to defend a specific choice beyond Q equals 2.</w:t>
      </w:r>
    </w:p>
    <w:p>
      <w:pPr>
        <w:spacing w:after="160"/>
      </w:pPr>
      <w:r>
        <w:t>Second, the current model uses one shared noise term across all three metals, rather than a separate noise variance per metal. I would like to check whether that assumption matters.</w:t>
      </w:r>
    </w:p>
    <w:p>
      <w:pPr>
        <w:spacing w:after="160"/>
      </w:pPr>
      <w:r>
        <w:t>Third, I have only validated this pipeline on one dataset, and the entire gain depends on Ni and Zn being measured at the same locations as Cd. I do not yet know how the method behaves as that co-location assumption is relaxed.</w:t>
      </w:r>
    </w:p>
    <w:p>
      <w:pPr>
        <w:spacing w:before="440" w:after="80"/>
      </w:pPr>
      <w:r>
        <w:rPr>
          <w:rFonts w:ascii="Consolas" w:hAnsi="Consolas"/>
          <w:b/>
          <w:color w:val="2F6B5F"/>
          <w:sz w:val="19"/>
        </w:rPr>
        <w:t>SLIDE 17</w:t>
      </w:r>
      <w:r>
        <w:rPr>
          <w:rFonts w:ascii="Consolas" w:hAnsi="Consolas"/>
          <w:color w:val="75817A"/>
          <w:sz w:val="19"/>
        </w:rPr>
        <w:t xml:space="preserve">   ~0.5 min</w:t>
      </w:r>
    </w:p>
    <w:p>
      <w:pPr>
        <w:keepNext/>
        <w:spacing w:after="200"/>
      </w:pPr>
      <w:r>
        <w:rPr>
          <w:b/>
          <w:color w:val="1C2321"/>
          <w:sz w:val="30"/>
        </w:rPr>
        <w:t>Thank You</w:t>
      </w:r>
    </w:p>
    <w:p>
      <w:pPr>
        <w:spacing w:after="160"/>
      </w:pPr>
      <w:r>
        <w:t>Thank you very much for your attention.</w:t>
      </w:r>
    </w:p>
    <w:p>
      <w:pPr>
        <w:spacing w:after="160"/>
      </w:pPr>
      <w:r>
        <w:t>Every number in this presentation can be reproduced directly from the result files in my repository, and the full ten-stage pipeline is organized in the source directory.</w:t>
      </w:r>
    </w:p>
    <w:p>
      <w:pPr>
        <w:spacing w:after="160"/>
      </w:pPr>
      <w:r>
        <w:t>I would be glad to take any questions now.</w:t>
      </w:r>
    </w:p>
    <w:p/>
    <w:p>
      <w:pPr>
        <w:spacing w:before="360"/>
      </w:pPr>
      <w:r>
        <w:rPr>
          <w:i/>
          <w:color w:val="75817A"/>
          <w:sz w:val="20"/>
        </w:rPr>
        <w:t>About 2861 words. At a careful, non-native speaking pace, this reads in roughly 20-27 minutes; slide transitions and pauses for questions typically bring the total delivery close to 30 minutes.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eastAsia="Calibri"/>
      <w:color w:val="1C232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