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360"/>
        <w:contextualSpacing w:val="0"/>
        <w:jc w:val="center"/>
        <w:rPr/>
      </w:pPr>
      <w:r w:rsidRPr="00000000" w:rsidR="00000000" w:rsidDel="00000000">
        <w:rPr>
          <w:rFonts w:cs="Times New Roman" w:hAnsi="Times New Roman" w:eastAsia="Times New Roman" w:ascii="Times New Roman"/>
          <w:b w:val="1"/>
          <w:sz w:val="24"/>
          <w:rtl w:val="0"/>
        </w:rPr>
        <w:t xml:space="preserve">ADVISOR MEETING MINUTES</w:t>
      </w:r>
    </w:p>
    <w:p w:rsidP="00000000" w:rsidRPr="00000000" w:rsidR="00000000" w:rsidDel="00000000" w:rsidRDefault="00000000">
      <w:pPr>
        <w:spacing w:lineRule="auto" w:line="360"/>
        <w:contextualSpacing w:val="0"/>
        <w:jc w:val="center"/>
        <w:rPr/>
      </w:pPr>
      <w:r w:rsidRPr="00000000" w:rsidR="00000000" w:rsidDel="00000000">
        <w:rPr>
          <w:i w:val="1"/>
          <w:color w:val="0000ff"/>
          <w:sz w:val="24"/>
          <w:shd w:val="clear" w:fill="fff2cc"/>
          <w:rtl w:val="0"/>
        </w:rPr>
        <w:t xml:space="preserve">For meeting: Wednesday 04/09/2014</w:t>
      </w:r>
    </w:p>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b w:val="1"/>
          <w:sz w:val="24"/>
          <w:rtl w:val="0"/>
        </w:rPr>
        <w:t xml:space="preserve">Team Name:  jBehaving</w:t>
      </w:r>
    </w:p>
    <w:p w:rsidP="00000000" w:rsidRPr="00000000" w:rsidR="00000000" w:rsidDel="00000000" w:rsidRDefault="00000000">
      <w:pPr>
        <w:contextualSpacing w:val="0"/>
        <w:rPr/>
      </w:pPr>
      <w:r w:rsidRPr="00000000" w:rsidR="00000000" w:rsidDel="00000000">
        <w:rPr>
          <w:rtl w:val="0"/>
        </w:rPr>
      </w:r>
    </w:p>
    <w:tbl>
      <w:tblPr>
        <w:tblStyle w:val="KixTable1"/>
        <w:bidiVisual w:val="0"/>
        <w:tblW w:w="5690.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Look w:val="0600"/>
      </w:tblPr>
      <w:tblGrid>
        <w:gridCol w:w="1355"/>
        <w:gridCol w:w="1475"/>
        <w:gridCol w:w="1280"/>
        <w:gridCol w:w="1580"/>
      </w:tblGrid>
      <w:tr>
        <w:tc>
          <w:tcPr>
            <w:tcMar>
              <w:top w:w="100.0" w:type="dxa"/>
              <w:left w:w="100.0" w:type="dxa"/>
              <w:bottom w:w="100.0" w:type="dxa"/>
              <w:right w:w="100.0" w:type="dxa"/>
            </w:tcMar>
          </w:tcPr>
          <w:p w:rsidP="00000000" w:rsidRPr="00000000" w:rsidR="00000000" w:rsidDel="00000000" w:rsidRDefault="00000000">
            <w:pPr>
              <w:spacing w:lineRule="auto" w:line="240"/>
              <w:ind w:right="120"/>
              <w:contextualSpacing w:val="0"/>
              <w:jc w:val="center"/>
              <w:rPr/>
            </w:pPr>
            <w:r w:rsidRPr="00000000" w:rsidR="00000000" w:rsidDel="00000000">
              <w:rPr>
                <w:rFonts w:cs="Times New Roman" w:hAnsi="Times New Roman" w:eastAsia="Times New Roman" w:ascii="Times New Roman"/>
                <w:sz w:val="24"/>
                <w:rtl w:val="0"/>
              </w:rPr>
              <w:t xml:space="preserve">Start Time:</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6:45pm</w:t>
            </w:r>
          </w:p>
        </w:tc>
        <w:tc>
          <w:tcPr>
            <w:tcMar>
              <w:top w:w="100.0" w:type="dxa"/>
              <w:left w:w="100.0" w:type="dxa"/>
              <w:bottom w:w="100.0" w:type="dxa"/>
              <w:right w:w="100.0" w:type="dxa"/>
            </w:tcMar>
          </w:tcPr>
          <w:p w:rsidP="00000000" w:rsidRPr="00000000" w:rsidR="00000000" w:rsidDel="00000000" w:rsidRDefault="00000000">
            <w:pPr>
              <w:spacing w:lineRule="auto" w:line="240"/>
              <w:ind w:right="120"/>
              <w:contextualSpacing w:val="0"/>
              <w:rPr/>
            </w:pPr>
            <w:r w:rsidRPr="00000000" w:rsidR="00000000" w:rsidDel="00000000">
              <w:rPr>
                <w:rFonts w:cs="Times New Roman" w:hAnsi="Times New Roman" w:eastAsia="Times New Roman" w:ascii="Times New Roman"/>
                <w:sz w:val="24"/>
                <w:rtl w:val="0"/>
              </w:rPr>
              <w:t xml:space="preserve">End Time:</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7:15pm</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i w:val="1"/>
          <w:u w:val="single"/>
          <w:rtl w:val="0"/>
        </w:rPr>
        <w:t xml:space="preserve">Attendance:</w:t>
      </w:r>
      <w:r w:rsidRPr="00000000" w:rsidR="00000000" w:rsidDel="00000000">
        <w:rPr>
          <w:rtl w:val="0"/>
        </w:rPr>
        <w:t xml:space="preserve"> </w:t>
      </w:r>
      <w:r w:rsidRPr="00000000" w:rsidR="00000000" w:rsidDel="00000000">
        <w:rPr>
          <w:color w:val="6aa84f"/>
          <w:rtl w:val="0"/>
        </w:rPr>
        <w:t xml:space="preserve">✔ </w:t>
      </w:r>
      <w:r w:rsidRPr="00000000" w:rsidR="00000000" w:rsidDel="00000000">
        <w:rPr>
          <w:rtl w:val="0"/>
        </w:rPr>
        <w:t xml:space="preserve">or </w:t>
      </w:r>
      <w:r w:rsidRPr="00000000" w:rsidR="00000000" w:rsidDel="00000000">
        <w:rPr>
          <w:color w:val="980000"/>
          <w:rtl w:val="0"/>
        </w:rPr>
        <w:t xml:space="preserve">✖</w:t>
      </w:r>
    </w:p>
    <w:tbl>
      <w:tblPr>
        <w:tblStyle w:val="KixTable2"/>
        <w:bidiVisual w:val="0"/>
        <w:tblW w:w="2755.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105"/>
        <w:gridCol w:w="650"/>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i w:val="1"/>
                <w:rtl w:val="0"/>
              </w:rPr>
              <w:t xml:space="preserve">Ashley Finger</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color w:val="6aa84f"/>
                <w:rtl w:val="0"/>
              </w:rPr>
              <w:t xml:space="preserve">✔</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i w:val="1"/>
                <w:rtl w:val="0"/>
              </w:rPr>
              <w:t xml:space="preserve">Bai Xiong</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color w:val="6aa84f"/>
                <w:rtl w:val="0"/>
              </w:rPr>
              <w:t xml:space="preserve">✔</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i w:val="1"/>
                <w:rtl w:val="0"/>
              </w:rPr>
              <w:t xml:space="preserve">Cody Lanier</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color w:val="6aa84f"/>
                <w:rtl w:val="0"/>
              </w:rPr>
              <w:t xml:space="preserve">✔</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i w:val="1"/>
                <w:rtl w:val="0"/>
              </w:rPr>
              <w:t xml:space="preserve">Cody Prior</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color w:val="6aa84f"/>
                <w:rtl w:val="0"/>
              </w:rPr>
              <w:t xml:space="preserve">✔</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i w:val="1"/>
                <w:rtl w:val="0"/>
              </w:rPr>
              <w:t xml:space="preserve">Daniel Gallegos</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color w:val="6aa84f"/>
                <w:rtl w:val="0"/>
              </w:rPr>
              <w:t xml:space="preserve">✔</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i w:val="1"/>
                <w:rtl w:val="0"/>
              </w:rPr>
              <w:t xml:space="preserve">Michel Watson</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color w:val="6aa84f"/>
                <w:rtl w:val="0"/>
              </w:rPr>
              <w:t xml:space="preserve">✔</w:t>
            </w: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AGENDA ITEMS - </w:t>
      </w:r>
      <w:r w:rsidRPr="00000000" w:rsidR="00000000" w:rsidDel="00000000">
        <w:rPr>
          <w:rFonts w:cs="Times New Roman" w:hAnsi="Times New Roman" w:eastAsia="Times New Roman" w:ascii="Times New Roman"/>
          <w:sz w:val="24"/>
          <w:rtl w:val="0"/>
        </w:rPr>
        <w:t xml:space="preserve">Agenda prepared by </w:t>
      </w:r>
      <w:r w:rsidRPr="00000000" w:rsidR="00000000" w:rsidDel="00000000">
        <w:rPr>
          <w:rFonts w:cs="Times New Roman" w:hAnsi="Times New Roman" w:eastAsia="Times New Roman" w:ascii="Times New Roman"/>
          <w:i w:val="1"/>
          <w:sz w:val="24"/>
          <w:rtl w:val="0"/>
        </w:rPr>
        <w:t xml:space="preserve">Ashley Finger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4"/>
        </w:numPr>
        <w:spacing w:lineRule="auto" w:line="240"/>
        <w:ind w:left="360"/>
        <w:contextualSpacing w:val="1"/>
        <w:rPr>
          <w:sz w:val="24"/>
        </w:rPr>
      </w:pPr>
      <w:r w:rsidRPr="00000000" w:rsidR="00000000" w:rsidDel="00000000">
        <w:rPr>
          <w:rFonts w:cs="Times New Roman" w:hAnsi="Times New Roman" w:eastAsia="Times New Roman" w:ascii="Times New Roman"/>
          <w:b w:val="1"/>
          <w:sz w:val="24"/>
          <w:rtl w:val="0"/>
        </w:rPr>
        <w:t xml:space="preserve">Review and approve the minutes of the previous week’s Faculty Adviser meeting.</w:t>
      </w:r>
    </w:p>
    <w:p w:rsidP="00000000" w:rsidRPr="00000000" w:rsidR="00000000" w:rsidDel="00000000" w:rsidRDefault="00000000">
      <w:pPr>
        <w:numPr>
          <w:ilvl w:val="0"/>
          <w:numId w:val="2"/>
        </w:numPr>
        <w:spacing w:lineRule="auto" w:line="24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Approved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5"/>
        </w:numPr>
        <w:spacing w:lineRule="auto" w:line="240"/>
        <w:ind w:left="360"/>
        <w:contextualSpacing w:val="1"/>
        <w:rPr>
          <w:sz w:val="24"/>
        </w:rPr>
      </w:pPr>
      <w:r w:rsidRPr="00000000" w:rsidR="00000000" w:rsidDel="00000000">
        <w:rPr>
          <w:rFonts w:cs="Times New Roman" w:hAnsi="Times New Roman" w:eastAsia="Times New Roman" w:ascii="Times New Roman"/>
          <w:b w:val="1"/>
          <w:sz w:val="24"/>
          <w:rtl w:val="0"/>
        </w:rPr>
        <w:t xml:space="preserve">Review “Weekly Status Report”</w:t>
      </w:r>
      <w:r w:rsidRPr="00000000" w:rsidR="00000000" w:rsidDel="00000000">
        <w:rPr>
          <w:rFonts w:cs="Times New Roman" w:hAnsi="Times New Roman" w:eastAsia="Times New Roman" w:ascii="Times New Roman"/>
          <w:sz w:val="24"/>
          <w:rtl w:val="0"/>
        </w:rPr>
        <w:t xml:space="preserve">.  Review the prior week’s reported work, including team member tasks (the times reported, the work completed and work yet to be done).  The status report should reflect the impact of the prior week’s work on the phase* reported in the Project Schedule and detailed in the associated Work Breakdown Structure (WBS).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ind w:left="360" w:firstLine="0"/>
        <w:contextualSpacing w:val="0"/>
      </w:pPr>
      <w:r w:rsidRPr="00000000" w:rsidR="00000000" w:rsidDel="00000000">
        <w:rPr>
          <w:rFonts w:cs="Times New Roman" w:hAnsi="Times New Roman" w:eastAsia="Times New Roman" w:ascii="Times New Roman"/>
          <w:sz w:val="24"/>
          <w:rtl w:val="0"/>
        </w:rPr>
        <w:t xml:space="preserve">* The Project Work Phases are the following: PROJECT CHARTER, PMP (Project Management Plan), Req't Prototypes, SRS (Software Requirements Specification), Requirements Review with Sponsor, Architectural Design Prototypes, Interaction Design for each feature, SDS (Software Design Specification), BASELINE CODE, STS (System Test Plan &amp; System Text Cases), TESTING &amp; STR (System Testing &amp; System Test Report), UM (User Manual), DELIVERY–CD, and he Delivery Meeting with Sponsor.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ind w:left="360" w:firstLine="0"/>
        <w:contextualSpacing w:val="0"/>
      </w:pPr>
      <w:r w:rsidRPr="00000000" w:rsidR="00000000" w:rsidDel="00000000">
        <w:rPr>
          <w:rFonts w:cs="Times New Roman" w:hAnsi="Times New Roman" w:eastAsia="Times New Roman" w:ascii="Times New Roman"/>
          <w:sz w:val="24"/>
          <w:rtl w:val="0"/>
        </w:rPr>
        <w:t xml:space="preserve">At the start of each phase of work, the team is to prepare a WBS which shows the week by week list of tasks necessary to complete the phase.  If the completion milestone for the phase is an approved document, the Technical Review and delivery of the draft document to the Faculty Adviser should be included in the WBS.  The initial WBS and updated versions of the WBS are to be submitted to the Faculty Adviser.  </w:t>
      </w:r>
      <w:r w:rsidRPr="00000000" w:rsidR="00000000" w:rsidDel="00000000">
        <w:rPr>
          <w:rFonts w:cs="Times New Roman" w:hAnsi="Times New Roman" w:eastAsia="Times New Roman" w:ascii="Times New Roman"/>
          <w:i w:val="1"/>
          <w:sz w:val="24"/>
          <w:rtl w:val="0"/>
        </w:rPr>
        <w:t xml:space="preserve">Note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If needed, the team’s Faculty Adviser will work with the team in preparing the WBS</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ind w:left="360" w:firstLine="0"/>
        <w:contextualSpacing w:val="0"/>
      </w:pPr>
      <w:r w:rsidRPr="00000000" w:rsidR="00000000" w:rsidDel="00000000">
        <w:rPr>
          <w:rFonts w:cs="Times New Roman" w:hAnsi="Times New Roman" w:eastAsia="Times New Roman" w:ascii="Times New Roman"/>
          <w:sz w:val="24"/>
          <w:rtl w:val="0"/>
        </w:rPr>
        <w:t xml:space="preserve">The WBS is to be used to assign team members to weekly tasks.  The team is to review with the Faculty Adviser the previous week’s assigned work and the status of the work yet to be done.  This review should be similar to the review the team performs at their weekly meeting.  If the project schedule for the phases of work and/or the WBS need to be updated, this should be discussed with the Faculty Adviser.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ind w:left="360" w:firstLine="0"/>
        <w:contextualSpacing w:val="0"/>
        <w:rPr/>
      </w:pPr>
      <w:r w:rsidRPr="00000000" w:rsidR="00000000" w:rsidDel="00000000">
        <w:rPr>
          <w:rFonts w:cs="Times New Roman" w:hAnsi="Times New Roman" w:eastAsia="Times New Roman" w:ascii="Times New Roman"/>
          <w:sz w:val="24"/>
          <w:rtl w:val="0"/>
        </w:rPr>
        <w:t xml:space="preserve">If the team has met with the sponsor in the previous week, review minutes of meeting (</w:t>
      </w:r>
      <w:r w:rsidRPr="00000000" w:rsidR="00000000" w:rsidDel="00000000">
        <w:rPr>
          <w:rFonts w:cs="Times New Roman" w:hAnsi="Times New Roman" w:eastAsia="Times New Roman" w:ascii="Times New Roman"/>
          <w:i w:val="1"/>
          <w:sz w:val="24"/>
          <w:rtl w:val="0"/>
        </w:rPr>
        <w:t xml:space="preserve">Note. Sponsor meetings should be included in the WBS</w:t>
      </w:r>
      <w:r w:rsidRPr="00000000" w:rsidR="00000000" w:rsidDel="00000000">
        <w:rPr>
          <w:rFonts w:cs="Times New Roman" w:hAnsi="Times New Roman" w:eastAsia="Times New Roman" w:ascii="Times New Roman"/>
          <w:sz w:val="24"/>
          <w:rtl w:val="0"/>
        </w:rPr>
        <w:t xml:space="preserve">).  In addition, the team should discuss with the Faculty Adviser the current state of the team’s relationship with the sponsor, especially if there has been any changes and/or issues raised.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OLD business items</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numPr>
          <w:ilvl w:val="0"/>
          <w:numId w:val="3"/>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Sponsor meeting went very well and we got a really good clear idea of how the end product will look as well as all the users that will be accessing the system.</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NEW business items. </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Status Update</w:t>
      </w:r>
    </w:p>
    <w:p w:rsidP="00000000" w:rsidRPr="00000000" w:rsidR="00000000" w:rsidDel="00000000" w:rsidRDefault="00000000">
      <w:pPr>
        <w:numPr>
          <w:ilvl w:val="1"/>
          <w:numId w:val="1"/>
        </w:numPr>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Still working on SRS</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Pushing back due date for SRS </w:t>
      </w:r>
    </w:p>
    <w:p w:rsidP="00000000" w:rsidRPr="00000000" w:rsidR="00000000" w:rsidDel="00000000" w:rsidRDefault="00000000">
      <w:pPr>
        <w:numPr>
          <w:ilvl w:val="1"/>
          <w:numId w:val="1"/>
        </w:numPr>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Not yet</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Will there be a sample SRS posted for us to look at?</w:t>
      </w:r>
    </w:p>
    <w:p w:rsidP="00000000" w:rsidRPr="00000000" w:rsidR="00000000" w:rsidDel="00000000" w:rsidRDefault="00000000">
      <w:pPr>
        <w:numPr>
          <w:ilvl w:val="1"/>
          <w:numId w:val="1"/>
        </w:numPr>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Sample already posted on sacct</w:t>
      </w:r>
    </w:p>
    <w:p w:rsidP="00000000" w:rsidRPr="00000000" w:rsidR="00000000" w:rsidDel="00000000" w:rsidRDefault="00000000">
      <w:pPr>
        <w:numPr>
          <w:ilvl w:val="1"/>
          <w:numId w:val="1"/>
        </w:numPr>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Sample is of ‘A’ standard work</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Additional Comments</w:t>
      </w:r>
    </w:p>
    <w:p w:rsidP="00000000" w:rsidRPr="00000000" w:rsidR="00000000" w:rsidDel="00000000" w:rsidRDefault="00000000">
      <w:pPr>
        <w:numPr>
          <w:ilvl w:val="1"/>
          <w:numId w:val="1"/>
        </w:numPr>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Make sure to know the schema for viewing/searching events, adding, etc.</w:t>
      </w:r>
    </w:p>
    <w:p w:rsidP="00000000" w:rsidRPr="00000000" w:rsidR="00000000" w:rsidDel="00000000" w:rsidRDefault="00000000">
      <w:pPr>
        <w:numPr>
          <w:ilvl w:val="1"/>
          <w:numId w:val="1"/>
        </w:numPr>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Ideally - meet on April 30th and submit on May 1 (Thursday)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0"/>
          <w:rtl w:val="0"/>
        </w:rPr>
        <w:t xml:space="preserve">NOTE</w:t>
      </w:r>
      <w:r w:rsidRPr="00000000" w:rsidR="00000000" w:rsidDel="00000000">
        <w:rPr>
          <w:rFonts w:cs="Times New Roman" w:hAnsi="Times New Roman" w:eastAsia="Times New Roman" w:ascii="Times New Roman"/>
          <w:sz w:val="20"/>
          <w:rtl w:val="0"/>
        </w:rPr>
        <w:t xml:space="preserve">:  The faculty adviser is responsible for the review and approval of all documents.  The team is responsible for the technical review and subsequent approval of all documents prior to submittal to the Faculty Adviser.  The approved documents must be submitted to the team’s Faculty Adviser for review. The Adviser will review with the team whatever revisions are necessary.  The initial submittal of a document would be indicated as a NEW Business item.  The submittal of subsequent revisions would be listed under OLD Business.</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A0409M.docx</dc:title>
</cp:coreProperties>
</file>