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AGENDA</w:t>
      </w:r>
    </w:p>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i w:val="1"/>
          <w:color w:val="0000ff"/>
          <w:sz w:val="24"/>
          <w:shd w:val="clear" w:fill="fff2cc"/>
          <w:rtl w:val="0"/>
        </w:rPr>
        <w:t xml:space="preserve">For meeting: Wednesday 4/16/2014</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6:45pm</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7:00pm</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Bai Xiong</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numPr>
          <w:ilvl w:val="0"/>
          <w:numId w:val="3"/>
        </w:numPr>
        <w:spacing w:lineRule="auto" w:line="240"/>
        <w:ind w:hanging="359"/>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numPr>
          <w:ilvl w:val="0"/>
          <w:numId w:val="3"/>
        </w:numPr>
        <w:spacing w:lineRule="auto" w:line="240"/>
        <w:ind w:hanging="359"/>
        <w:contextualSpacing w:val="1"/>
        <w:rPr>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None</w:t>
      </w:r>
      <w:r w:rsidRPr="00000000" w:rsidR="00000000" w:rsidDel="00000000">
        <w:rPr>
          <w:rtl w:val="0"/>
        </w:rPr>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Team Status Update</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Continuing work on SRS - ERD and Use Case Model</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be setting up second meeting with sponsor to finalize SRS requirements</w:t>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A0414M.docx</dc:title>
</cp:coreProperties>
</file>