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04/09/2014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75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5"/>
        <w:gridCol w:w="6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Approved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Copied list of tasks</w:t>
            </w: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 assigned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Finish Assignments from the week before and make a list of use cases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Everyone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The agenda should include  whether or not team member reports were submitted as required.  </w:t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16 - 18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4 - 6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1 - 3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10 - 12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13 - 15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7 - 9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440"/>
        <w:gridCol w:w="1155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04/16/14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04/16/14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any questions about sponsor meeting we had on Saturday?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 Questions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 over Use Cases that everyone came up with: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Register Account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Sign-in/Sign-out (*Remember Forgot Password Request)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View Photos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Search/View Events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View/Update Account Profile (registered users)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Request Refund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View/Edit Forum Posting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Manage Accounts (internal)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Manage Photos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Manage Announcements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Generate Financial Reports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Manage Track Day Events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Manage Garage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View/Print Event Manifests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Share on social Media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Register/Pay for Events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View/Submit Account Profiles (Employee)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Calculator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Divide up use cases for assignments for the week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See Assignments listed in section 3 above.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Push back due date for SRS to be turned in?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Consensus - Wait for another week or two to see the status of the document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Bai will be taking over after this so make sure to contact her if you have any questions or concerns.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/16/14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T0409M.docx</dc:title>
</cp:coreProperties>
</file>