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MINUTES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04/27/2014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11:00am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12:00pm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55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Approved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Hours calculated 4/22-4/26</w:t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140"/>
        <w:gridCol w:w="1485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Ashley: 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L: 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Bai: 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Cody P: 1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Daniel: 3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Michel: 3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 and Functional Requirements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95%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 Diagram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80%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Michel: 3.25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Cody P: 1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80%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(same groups as last week)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4/29/2014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11:59 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newly added Use Cases to SRS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Ashley, Bai, Cody L, Daniel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4/29/2014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11:59 PM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Complete 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Michel, Cody P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4/28/2014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11:59 PM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 : Technical Review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04/30/2014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6:00 PM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9:00 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Progress of Data Dictionary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Still needs additional fields per the sponsor meeting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Schedule of tasks for remainder of week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Additional Use Cases that have been added need to be completed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QA of Data dictionary needs to be completed by Tuesday as assigned.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Recap of Sponsor meeting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Additional Use cases have been added and reorganizing of the use cases to match with the Use Case Diagram needs to be done.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ERD needs to be fixed with the users separated out to Members and Employees.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Data Dictionary needs to be updated per the discussions from the sponsor meeting.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External User - *needed fields: emergency contact (name and phone number), address (city state and zip), phone number x2 (1 mandatory, 1 optional), personal email, flag for deletion, password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Internal User - *needed fields address (city state and zip), work email, flag for inactive, personal email, phone number x2 (option and mandatory, emergency contact (name and phone number), password, permissions level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Forum - event ID, date entered (oldest and newest displayed), user ID, comment, link to forum posting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Vehicle - *needed fields: make color year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Event - Event ID, date, time (start and finish), track, price, autocreated forum log and manifest, employees working event (1-3 employees per event), max amount of people who can attend for event and per level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Track - contact name, address, phone number, track name, deactivated flag (</w:t>
      </w:r>
      <w:r w:rsidRPr="00000000" w:rsidR="00000000" w:rsidDel="00000000">
        <w:rPr>
          <w:rtl w:val="0"/>
        </w:rPr>
        <w:t xml:space="preserve">need use cases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Manifest - user ID, level registered as, willing to give ride alongs, wants a rider, confirmation number user gets when they register and pay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Refund - user ID (registered for event and the one granting refund), event ID, amount, reason for request, reason for approving or denying, approved or denied field, register for event confirmation number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 CASES TO ADD/EDIT/DELETE: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Manage Accounts: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delete account - HR *change to Account Admin?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anonymize external, flag as inactive for internal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Deactivate external account: standard employee can do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view accounts: change from view internal account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search accounts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view all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update permission levels for internal account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change use case: update account: now everyone can update their own info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Delete view announcement use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Events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view all events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alternate courses: sort, search, view past events and view individual event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Tracks: event manager and owner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view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search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update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set as inactive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Photos: add to current use cases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caption photo - in add photo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edit caption - in edit photo use case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Event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rename to cancel event instead of delete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fix use case to send out automatic refund request for any registered members on the manifest if there are any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remove from event manifest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Forum Log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 forum log entry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 comment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6:00pm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T0427M.docx</dc:title>
</cp:coreProperties>
</file>