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halalseq-introduction-and-motivation"/>
    <w:p>
      <w:pPr>
        <w:pStyle w:val="Heading1"/>
      </w:pPr>
      <w:r>
        <w:t xml:space="preserve">HalalSeq: Introduction and Motivation</w:t>
      </w:r>
    </w:p>
    <w:bookmarkStart w:id="9" w:name="Xc36b95739ec8787b705127eb3e4ea3f9e817519"/>
    <w:p>
      <w:pPr>
        <w:pStyle w:val="Heading2"/>
      </w:pPr>
      <w:r>
        <w:t xml:space="preserve">The Problem: Meat Fraud and the Limits of Current Detection Methods</w:t>
      </w:r>
    </w:p>
    <w:p>
      <w:pPr>
        <w:pStyle w:val="FirstParagraph"/>
      </w:pPr>
      <w:r>
        <w:t xml:space="preserve">The global halal food market exceeds $2.5 trillion and serves over two billion Muslim consumers worldwide. Ensuring the authenticity of halal-certified meat is not simply a matter of consumer preference — it is a religious obligation enforced by national regulatory bodies such as JAKIM (Malaysia), the Saudi Food and Drug Authority, and BPJPH (Indonesia). Yet meat fraud is accelerating: DigiComply documented a 1,041% increase in food fraud incidents between 2020 and 2023, with meat products as the most frequently adulterated category. High-profile cases — from the 2013 European horsemeat scandal to pork detected in Indonesian beef meatballs and mislabeled sausages in South Korea — demonstrate that the existing regulatory infrastructure is insufficient.</w:t>
      </w:r>
    </w:p>
    <w:p>
      <w:pPr>
        <w:pStyle w:val="BodyText"/>
      </w:pPr>
      <w:r>
        <w:t xml:space="preserve">Current laboratory methods for species identification in meat products fall into two categories, each with fundamental limitations:</w:t>
      </w:r>
    </w:p>
    <w:p>
      <w:pPr>
        <w:pStyle w:val="BodyText"/>
      </w:pPr>
      <w:r>
        <w:rPr>
          <w:b/>
          <w:bCs/>
        </w:rPr>
        <w:t xml:space="preserve">Targeted methods (qPCR/dPCR)</w:t>
      </w:r>
      <w:r>
        <w:t xml:space="preserve"> </w:t>
      </w:r>
      <w:r>
        <w:t xml:space="preserve">use species-specific primers and probes to detect the presence or absence of a single target species per assay. While sensitive and well-standardized, they are inherently blind to unexpected adulterants: a sample contaminated with horse DNA will test negative if only pork-specific primers are used. Moreover, these methods provide limited quantitative accuracy for estimating how much of a given species is present by mass.</w:t>
      </w:r>
    </w:p>
    <w:p>
      <w:pPr>
        <w:pStyle w:val="BodyText"/>
      </w:pPr>
      <w:r>
        <w:rPr>
          <w:b/>
          <w:bCs/>
        </w:rPr>
        <w:t xml:space="preserve">Untargeted methods (DNA metabarcoding)</w:t>
      </w:r>
      <w:r>
        <w:t xml:space="preserve"> </w:t>
      </w:r>
      <w:r>
        <w:t xml:space="preserve">amplify conserved mitochondrial loci using universal primers, sequence the resulting amplicon pool via next-generation sequencing, and assign reads to species using reference databases. This approach can detect all vertebrate species in a single assay without prior knowledge of what might be present. However, metabarcoding has a well-recognized quantification problem: raw read counts are poor proxies for actual species weight fractions. Multiple biological and technical confounders — including inter-species variation in mitochondrial copy number (ranging from ~200 to ~2,000 copies per cell depending on species and tissue type), differential DNA extraction efficiency across tissue matrices, primer-specific PCR amplification bias, and fragment length-dependent DNA degradation — can distort read proportions by 5–50× relative to true mass fractions (Ballin et al. 2009; Giusti et al. 2024).</w:t>
      </w:r>
    </w:p>
    <w:p>
      <w:pPr>
        <w:pStyle w:val="BodyText"/>
      </w:pPr>
      <w:r>
        <w:t xml:space="preserve">Existing metabarcoding pipelines such as FooDMe (Denay et al. 2023), Kraken2 (Wood et al. 2019), and All-Food-Seq (Hedderich et al. 2019) perform taxonomic classification but treat none of these biases. Recent systematic reviews have concluded that DNA metabarcoding is</w:t>
      </w:r>
      <w:r>
        <w:t xml:space="preserve"> </w:t>
      </w:r>
      <w:r>
        <w:t xml:space="preserve">“not yet ready”</w:t>
      </w:r>
      <w:r>
        <w:t xml:space="preserve"> </w:t>
      </w:r>
      <w:r>
        <w:t xml:space="preserve">for routine regulatory adoption in food authentication, primarily due to the absence of standardized, bias-aware computational workflows (Giusti et al. 2024; Ferraris et al. 2024).</w:t>
      </w:r>
    </w:p>
    <w:bookmarkEnd w:id="9"/>
    <w:bookmarkStart w:id="16" w:name="what-halalseq-offers"/>
    <w:p>
      <w:pPr>
        <w:pStyle w:val="Heading2"/>
      </w:pPr>
      <w:r>
        <w:t xml:space="preserve">What HalalSeq Offers</w:t>
      </w:r>
    </w:p>
    <w:p>
      <w:pPr>
        <w:pStyle w:val="FirstParagraph"/>
      </w:pPr>
      <w:r>
        <w:t xml:space="preserve">HalalSeq is a computational framework purpose-built for quantitative halal food authentication from amplicon metabarcoding data. It addresses the limitations above by integrating species identification, bias correction, and statistical inference into a single end-to-end pipeline.</w:t>
      </w:r>
    </w:p>
    <w:bookmarkStart w:id="10" w:name="Xa165c188376c0db51f7124f476e598cb6d99f7d"/>
    <w:p>
      <w:pPr>
        <w:pStyle w:val="Heading3"/>
      </w:pPr>
      <w:r>
        <w:t xml:space="preserve">1. Untargeted species discovery from raw sequencing data</w:t>
      </w:r>
    </w:p>
    <w:p>
      <w:pPr>
        <w:pStyle w:val="FirstParagraph"/>
      </w:pPr>
      <w:r>
        <w:t xml:space="preserve">HalalSeq accepts raw FASTQ files (Illumina or Oxford Nanopore) with no preprocessing required — no adapter trimming, no quality filtering, no demultiplexing. It screens reads against a curated mitochondrial reference database covering multiple markers (COI, cytb, 16S rRNA) and detects all species present in the sample without requiring prior knowledge of potential adulterants. This means a single sequencing run can simultaneously detect pork, horse, dog, or any other species in the database, unlike qPCR which requires a separate assay for each target.</w:t>
      </w:r>
    </w:p>
    <w:bookmarkEnd w:id="10"/>
    <w:bookmarkStart w:id="11" w:name="X371b41c9343308762d1dd1eaaa8d447a1991040"/>
    <w:p>
      <w:pPr>
        <w:pStyle w:val="Heading3"/>
      </w:pPr>
      <w:r>
        <w:t xml:space="preserve">2. Bias-aware quantification via joint probabilistic modeling</w:t>
      </w:r>
    </w:p>
    <w:p>
      <w:pPr>
        <w:pStyle w:val="FirstParagraph"/>
      </w:pPr>
      <w:r>
        <w:t xml:space="preserve">The central innovation of HalalSeq is a mixture model that treats the true species weight fractions as latent parameters and jointly estimates them alongside five confounding factors:</w:t>
      </w:r>
    </w:p>
    <w:p>
      <w:pPr>
        <w:pStyle w:val="Compact"/>
        <w:numPr>
          <w:ilvl w:val="0"/>
          <w:numId w:val="1001"/>
        </w:numPr>
      </w:pPr>
      <w:r>
        <w:rPr>
          <w:b/>
          <w:bCs/>
        </w:rPr>
        <w:t xml:space="preserve">Mitochondrial copy number</w:t>
      </w:r>
      <w:r>
        <w:t xml:space="preserve"> </w:t>
      </w:r>
      <w:r>
        <w:t xml:space="preserve">— corrects for the fact that species with higher mitochondrial density per cell (e.g., cattle at ~2,000 copies/cell vs. chicken at ~1,000) will generate disproportionately more reads per unit mass of tissue.</w:t>
      </w:r>
    </w:p>
    <w:p>
      <w:pPr>
        <w:pStyle w:val="Compact"/>
        <w:numPr>
          <w:ilvl w:val="0"/>
          <w:numId w:val="1001"/>
        </w:numPr>
      </w:pPr>
      <w:r>
        <w:rPr>
          <w:b/>
          <w:bCs/>
        </w:rPr>
        <w:t xml:space="preserve">DNA extraction yield</w:t>
      </w:r>
      <w:r>
        <w:t xml:space="preserve"> </w:t>
      </w:r>
      <w:r>
        <w:t xml:space="preserve">— accounts for tissue-type-dependent differences in DNA recovery (e.g., connective tissue vs. skeletal muscle).</w:t>
      </w:r>
    </w:p>
    <w:p>
      <w:pPr>
        <w:pStyle w:val="Compact"/>
        <w:numPr>
          <w:ilvl w:val="0"/>
          <w:numId w:val="1001"/>
        </w:numPr>
      </w:pPr>
      <w:r>
        <w:rPr>
          <w:b/>
          <w:bCs/>
        </w:rPr>
        <w:t xml:space="preserve">PCR amplification bias</w:t>
      </w:r>
      <w:r>
        <w:t xml:space="preserve"> </w:t>
      </w:r>
      <w:r>
        <w:t xml:space="preserve">— models the species- and marker-specific amplification efficiency differences introduced by universal primer degeneracy and template-primer mismatch.</w:t>
      </w:r>
    </w:p>
    <w:p>
      <w:pPr>
        <w:pStyle w:val="Compact"/>
        <w:numPr>
          <w:ilvl w:val="0"/>
          <w:numId w:val="1001"/>
        </w:numPr>
      </w:pPr>
      <w:r>
        <w:rPr>
          <w:b/>
          <w:bCs/>
        </w:rPr>
        <w:t xml:space="preserve">DNA degradation</w:t>
      </w:r>
      <w:r>
        <w:t xml:space="preserve"> </w:t>
      </w:r>
      <w:r>
        <w:t xml:space="preserve">— applies a fragment length-dependent survival model, critical for processed food samples (cooked, cured, or canned) where longer amplicons are preferentially lost.</w:t>
      </w:r>
    </w:p>
    <w:p>
      <w:pPr>
        <w:pStyle w:val="Compact"/>
        <w:numPr>
          <w:ilvl w:val="0"/>
          <w:numId w:val="1001"/>
        </w:numPr>
      </w:pPr>
      <w:r>
        <w:rPr>
          <w:b/>
          <w:bCs/>
        </w:rPr>
        <w:t xml:space="preserve">Multi-marker reconciliation</w:t>
      </w:r>
      <w:r>
        <w:t xml:space="preserve"> </w:t>
      </w:r>
      <w:r>
        <w:t xml:space="preserve">— integrates evidence across multiple mitochondrial loci, resolving cases where different markers yield conflicting species assignments due to varying primer specificity.</w:t>
      </w:r>
    </w:p>
    <w:p>
      <w:pPr>
        <w:pStyle w:val="FirstParagraph"/>
      </w:pPr>
      <w:r>
        <w:t xml:space="preserve">These parameters are estimated via expectation-maximization (EM). A Dirichlet prior (α=0.5) on the weight fraction vector enforces sparsity, preventing the model from hallucinating trace species from sequencing noise. The result is a set of corrected weight-by-weight (w/w%) species proportions that approximate the actual mass composition of the sample, rather than the raw read proportions that existing tools report.</w:t>
      </w:r>
    </w:p>
    <w:bookmarkEnd w:id="11"/>
    <w:bookmarkStart w:id="12" w:name="X4fe56214dec14b84da99216ccb5e2b419fab998"/>
    <w:p>
      <w:pPr>
        <w:pStyle w:val="Heading3"/>
      </w:pPr>
      <w:r>
        <w:t xml:space="preserve">3. Statistically rigorous confidence intervals and detection thresholds</w:t>
      </w:r>
    </w:p>
    <w:p>
      <w:pPr>
        <w:pStyle w:val="FirstParagraph"/>
      </w:pPr>
      <w:r>
        <w:t xml:space="preserve">Rather than reporting point estimates alone, HalalSeq computes 95% confidence intervals for each species weight fraction using the observed Fisher Information Matrix. Species presence is assessed via a likelihood ratio test (LRT) comparing the model with and without each candidate species, providing a formal statistical basis for inclusion or exclusion. This replaces the arbitrary percentage cutoffs (e.g.,</w:t>
      </w:r>
      <w:r>
        <w:t xml:space="preserve"> </w:t>
      </w:r>
      <w:r>
        <w:t xml:space="preserve">“report anything above 1% of reads”</w:t>
      </w:r>
      <w:r>
        <w:t xml:space="preserve">) used by most existing tools with a principled framework that controls the false discovery rate.</w:t>
      </w:r>
    </w:p>
    <w:bookmarkEnd w:id="12"/>
    <w:bookmarkStart w:id="13" w:name="halalharam-verdict-with-audit-trail"/>
    <w:p>
      <w:pPr>
        <w:pStyle w:val="Heading3"/>
      </w:pPr>
      <w:r>
        <w:t xml:space="preserve">4. Halal/Haram verdict with audit trail</w:t>
      </w:r>
    </w:p>
    <w:p>
      <w:pPr>
        <w:pStyle w:val="FirstParagraph"/>
      </w:pPr>
      <w:r>
        <w:t xml:space="preserve">HalalSeq classifies each detected species according to Islamic dietary law — Halal (e.g., cattle, sheep, goat, chicken), Haram (e.g., pig, dog), and issues a sample-level verdict. Every verdict is backed by the quantitative estimates and confidence intervals, producing a transparent, reproducible report suitable for submission to certification bodies or use as evidence in regulatory proceedings.</w:t>
      </w:r>
    </w:p>
    <w:bookmarkEnd w:id="13"/>
    <w:bookmarkStart w:id="14" w:name="Xf11cb790f04070de796684c22e2bab064ec225d"/>
    <w:p>
      <w:pPr>
        <w:pStyle w:val="Heading3"/>
      </w:pPr>
      <w:r>
        <w:t xml:space="preserve">5. Accessible to laboratory scientists without bioinformatics expertise</w:t>
      </w:r>
    </w:p>
    <w:p>
      <w:pPr>
        <w:pStyle w:val="FirstParagraph"/>
      </w:pPr>
      <w:r>
        <w:t xml:space="preserve">HalalSeq provides both a command-line interface for batch processing and integration into automated workflows, and a cross-platform graphical user interface (GUI) that allows food safety inspectors and laboratory technicians to load FASTQ files, run the full analysis pipeline, and interpret results through interactive species bar charts and verdict displays — without writing code or configuring bioinformatics dependencies. This directly addresses the adoption barrier identified by Giusti et al. (2024): that the gap between sequencing capability and routine regulatory use is primarily computational, not experimental.</w:t>
      </w:r>
    </w:p>
    <w:bookmarkEnd w:id="14"/>
    <w:bookmarkStart w:id="15" w:name="fast-lightweight-and-dependency-free"/>
    <w:p>
      <w:pPr>
        <w:pStyle w:val="Heading3"/>
      </w:pPr>
      <w:r>
        <w:t xml:space="preserve">6. Fast, lightweight, and dependency-free</w:t>
      </w:r>
    </w:p>
    <w:p>
      <w:pPr>
        <w:pStyle w:val="FirstParagraph"/>
      </w:pPr>
      <w:r>
        <w:t xml:space="preserve">The core pipeline is implemented in C (~6,900 lines) with no external bioinformatics dependencies. It processes 500,000 amplicon reads in seconds on commodity hardware, making it practical for deployment in resource-constrained laboratory settings where installing complex software stacks (Snakemake, Conda, BLAST databases) is not feasible.</w:t>
      </w:r>
    </w:p>
    <w:bookmarkEnd w:id="15"/>
    <w:bookmarkEnd w:id="16"/>
    <w:bookmarkStart w:id="17" w:name="summary"/>
    <w:p>
      <w:pPr>
        <w:pStyle w:val="Heading2"/>
      </w:pPr>
      <w:r>
        <w:t xml:space="preserve">Summary</w:t>
      </w:r>
    </w:p>
    <w:p>
      <w:pPr>
        <w:pStyle w:val="FirstParagraph"/>
      </w:pPr>
      <w:r>
        <w:t xml:space="preserve">HalalSeq bridges the gap between the raw detection power of DNA metabarcoding and the quantitative, statistically defensible results that regulatory adoption demands. By jointly modeling the biological and technical biases that distort amplicon read counts, it converts sequencing data into corrected species weight fractions with confidence intervals and a formal halal/haram verdict — capabilities that no existing tool provides in an integrated, accessible package.</w:t>
      </w:r>
    </w:p>
    <w:bookmarkEnd w:id="17"/>
    <w:bookmarkStart w:id="18" w:name="references"/>
    <w:p>
      <w:pPr>
        <w:pStyle w:val="Heading2"/>
      </w:pPr>
      <w:r>
        <w:t xml:space="preserve">References</w:t>
      </w:r>
    </w:p>
    <w:p>
      <w:pPr>
        <w:pStyle w:val="FirstParagraph"/>
      </w:pPr>
      <w:r>
        <w:t xml:space="preserve">Ballin NZ, Vogensen FK, Karlsson AH. (2009). Species determination — can we detect and quantify meat adulteration?</w:t>
      </w:r>
      <w:r>
        <w:t xml:space="preserve"> </w:t>
      </w:r>
      <w:r>
        <w:rPr>
          <w:i/>
          <w:iCs/>
        </w:rPr>
        <w:t xml:space="preserve">Meat Science</w:t>
      </w:r>
      <w:r>
        <w:t xml:space="preserve"> </w:t>
      </w:r>
      <w:r>
        <w:t xml:space="preserve">83(2):165–174.</w:t>
      </w:r>
    </w:p>
    <w:p>
      <w:pPr>
        <w:pStyle w:val="BodyText"/>
      </w:pPr>
      <w:r>
        <w:t xml:space="preserve">Denay G, et al. (2023). Food authentication by metabarcoding: Development and validation of an integrated bioinformatics pipeline FooDMe.</w:t>
      </w:r>
      <w:r>
        <w:t xml:space="preserve"> </w:t>
      </w:r>
      <w:r>
        <w:rPr>
          <w:i/>
          <w:iCs/>
        </w:rPr>
        <w:t xml:space="preserve">Foods</w:t>
      </w:r>
      <w:r>
        <w:t xml:space="preserve"> </w:t>
      </w:r>
      <w:r>
        <w:t xml:space="preserve">12(16):3130.</w:t>
      </w:r>
    </w:p>
    <w:p>
      <w:pPr>
        <w:pStyle w:val="BodyText"/>
      </w:pPr>
      <w:r>
        <w:t xml:space="preserve">Ferraris C, et al. (2024). DNA Metabarcoding Approach as a Potential Tool for Supporting Official Food Control Programs.</w:t>
      </w:r>
      <w:r>
        <w:t xml:space="preserve"> </w:t>
      </w:r>
      <w:r>
        <w:rPr>
          <w:i/>
          <w:iCs/>
        </w:rPr>
        <w:t xml:space="preserve">Foods</w:t>
      </w:r>
      <w:r>
        <w:t xml:space="preserve"> </w:t>
      </w:r>
      <w:r>
        <w:t xml:space="preserve">13(18):2941.</w:t>
      </w:r>
    </w:p>
    <w:p>
      <w:pPr>
        <w:pStyle w:val="BodyText"/>
      </w:pPr>
      <w:r>
        <w:t xml:space="preserve">Giusti A, et al. (2024). Is the metabarcoding ripe enough to be applied to the authentication of foodstuff of animal origin?</w:t>
      </w:r>
      <w:r>
        <w:t xml:space="preserve"> </w:t>
      </w:r>
      <w:r>
        <w:rPr>
          <w:i/>
          <w:iCs/>
        </w:rPr>
        <w:t xml:space="preserve">Comprehensive Reviews in Food Science and Food Safety</w:t>
      </w:r>
      <w:r>
        <w:t xml:space="preserve"> </w:t>
      </w:r>
      <w:r>
        <w:t xml:space="preserve">23(1):e13256.</w:t>
      </w:r>
    </w:p>
    <w:p>
      <w:pPr>
        <w:pStyle w:val="BodyText"/>
      </w:pPr>
      <w:r>
        <w:t xml:space="preserve">Hedderich R, et al. (2019). All-Food-Seq (AFS): A quantifiable screen for species in biological samples by deep DNA sequencing.</w:t>
      </w:r>
      <w:r>
        <w:t xml:space="preserve"> </w:t>
      </w:r>
      <w:r>
        <w:rPr>
          <w:i/>
          <w:iCs/>
        </w:rPr>
        <w:t xml:space="preserve">BMC Genomics</w:t>
      </w:r>
      <w:r>
        <w:t xml:space="preserve"> </w:t>
      </w:r>
      <w:r>
        <w:t xml:space="preserve">20(1):1–12.</w:t>
      </w:r>
    </w:p>
    <w:p>
      <w:pPr>
        <w:pStyle w:val="BodyText"/>
      </w:pPr>
      <w:r>
        <w:t xml:space="preserve">Wobst B, et al. (2023). Meat species identification in food products using DNA metabarcoding by next-generation sequencing in the context of Operation OPSON.</w:t>
      </w:r>
      <w:r>
        <w:t xml:space="preserve"> </w:t>
      </w:r>
      <w:r>
        <w:rPr>
          <w:i/>
          <w:iCs/>
        </w:rPr>
        <w:t xml:space="preserve">Journal of Consumer Protection and Food Safety</w:t>
      </w:r>
      <w:r>
        <w:t xml:space="preserve"> </w:t>
      </w:r>
      <w:r>
        <w:t xml:space="preserve">18:431–441.</w:t>
      </w:r>
    </w:p>
    <w:p>
      <w:pPr>
        <w:pStyle w:val="BodyText"/>
      </w:pPr>
      <w:r>
        <w:t xml:space="preserve">Wood DE, Lu J, Langmead B. (2019). Improved metagenomic analysis with Kraken 2.</w:t>
      </w:r>
      <w:r>
        <w:t xml:space="preserve"> </w:t>
      </w:r>
      <w:r>
        <w:rPr>
          <w:i/>
          <w:iCs/>
        </w:rPr>
        <w:t xml:space="preserve">Genome Biology</w:t>
      </w:r>
      <w:r>
        <w:t xml:space="preserve"> </w:t>
      </w:r>
      <w:r>
        <w:t xml:space="preserve">20(1):257.</w:t>
      </w:r>
    </w:p>
    <w:bookmarkEnd w:id="18"/>
    <w:bookmarkEnd w:id="19"/>
    <w:bookmarkStart w:id="24" w:name="step-by-step-usage-manual"/>
    <w:p>
      <w:pPr>
        <w:pStyle w:val="Heading1"/>
      </w:pPr>
      <w:r>
        <w:t xml:space="preserve">Step-by-Step Usage Manual</w:t>
      </w:r>
    </w:p>
    <w:bookmarkStart w:id="20" w:name="part-a-installation"/>
    <w:p>
      <w:pPr>
        <w:pStyle w:val="Heading2"/>
      </w:pPr>
      <w:r>
        <w:t xml:space="preserve">Part A — Installation</w:t>
      </w:r>
    </w:p>
    <w:p>
      <w:pPr>
        <w:numPr>
          <w:ilvl w:val="0"/>
          <w:numId w:val="1002"/>
        </w:numPr>
      </w:pPr>
      <w:r>
        <w:t>macOS: Download HalalSeq.app from the official distribution site. The application is fully self-contained — all dependencies (including SDL2) are embedded inside the bundle. Drag HalalSeq.app to the Applications folder, then double-click to launch. No Homebrew, Xcode, or other tools are required.</w:t>
      </w:r>
    </w:p>
    <w:p>
      <w:pPr>
        <w:numPr>
          <w:ilvl w:val="0"/>
          <w:numId w:val="1002"/>
        </w:numPr>
      </w:pPr>
      <w:r>
        <w:t>Windows: Download the HalalSeq installer (HalalSeq-setup.exe). Run the installer, follow the on-screen prompts, and launch HalalSeq from the Start Menu. All dependencies are bundled with the installer.</w:t>
      </w:r>
    </w:p>
    <w:p>
      <w:pPr>
        <w:numPr>
          <w:ilvl w:val="0"/>
          <w:numId w:val="1002"/>
        </w:numPr>
      </w:pPr>
      <w:r>
        <w:t>First launch: On first launch, HalalSeq displays a setup wizard. If no reference index is found, the wizard offers to build one from the built-in reference sequences (19 species across 3 mitochondrial markers). This takes a few seconds and requires no internet connection. The wizard also verifies supported input formats and confirms the application is ready for analysis.</w:t>
      </w:r>
    </w:p>
    <w:p>
      <w:pPr>
        <w:numPr>
          <w:ilvl w:val="0"/>
          <w:numId w:val="1002"/>
        </w:numPr>
      </w:pPr>
      <w:r>
        <w:t>Automatic updates: On each launch, HalalSeq checks a central server for database updates in the background. When a newer reference index is available, a notification banner appears in the main window with the option to update immediately or dismiss. Updates are downloaded, verified via SHA-256 checksum, and installed atomically. The wizard also provides a "Check for Updates" button for manual checks. Database versions are tracked locally in ~/.halalseq/db_version (macOS/Linux) or %APPDATA%\HalalSeq\db_version (Windows).</w:t>
      </w:r>
    </w:p>
    <w:bookmarkEnd w:id="20"/>
    <w:bookmarkStart w:id="21" w:name="part-b-gui-workflow-primary-usage"/>
    <w:p>
      <w:pPr>
        <w:pStyle w:val="Heading2"/>
      </w:pPr>
      <w:r>
        <w:t xml:space="preserve">Part B — GUI Workflow (Primary Usage)</w:t>
      </w:r>
    </w:p>
    <w:p>
      <w:pPr>
        <w:pStyle w:val="FirstParagraph"/>
      </w:pPr>
      <w:r>
        <w:t xml:space="preserve">The graphical user interface is the recommended way to use HalalSeq for individual sample analysis.</w:t>
      </w:r>
    </w:p>
    <w:p>
      <w:pPr>
        <w:pStyle w:val="BodyText"/>
      </w:pPr>
      <w:r>
        <w:rPr>
          <w:b/>
          <w:bCs/>
        </w:rPr>
        <w:t xml:space="preserve">Step 1: Launch and setup wizard</w:t>
      </w:r>
    </w:p>
    <w:p>
      <w:pPr>
        <w:pStyle w:val="BodyText"/>
      </w:pPr>
      <w:r>
        <w:t xml:space="preserve">Launch HalalSeq. On first use, a setup wizard guides through four steps:</w:t>
      </w:r>
    </w:p>
    <w:p>
      <w:pPr>
        <w:pStyle w:val="Compact"/>
        <w:numPr>
          <w:ilvl w:val="0"/>
          <w:numId w:val="1003"/>
        </w:numPr>
      </w:pPr>
      <w:r>
        <w:rPr>
          <w:b/>
          <w:bCs/>
        </w:rPr>
        <w:t xml:space="preserve">Welcome</w:t>
      </w:r>
      <w:r>
        <w:t xml:space="preserve"> </w:t>
      </w:r>
      <w:r>
        <w:t xml:space="preserve">— overview of the application</w:t>
      </w:r>
    </w:p>
    <w:p>
      <w:pPr>
        <w:pStyle w:val="Compact"/>
        <w:numPr>
          <w:ilvl w:val="0"/>
          <w:numId w:val="1003"/>
        </w:numPr>
      </w:pPr>
      <w:r>
        <w:t>Reference index verification — confirms the database is present and offers to build it if missing. Also provides a "Check for Updates" button to verify the index is up to date with the central server.</w:t>
      </w:r>
    </w:p>
    <w:p>
      <w:pPr>
        <w:pStyle w:val="Compact"/>
        <w:numPr>
          <w:ilvl w:val="0"/>
          <w:numId w:val="1003"/>
        </w:numPr>
      </w:pPr>
      <w:r>
        <w:rPr>
          <w:b/>
          <w:bCs/>
        </w:rPr>
        <w:t xml:space="preserve">Supported input formats</w:t>
      </w:r>
      <w:r>
        <w:t xml:space="preserve"> </w:t>
      </w:r>
      <w:r>
        <w:t xml:space="preserve">— lists compatible file types</w:t>
      </w:r>
    </w:p>
    <w:p>
      <w:pPr>
        <w:pStyle w:val="Compact"/>
        <w:numPr>
          <w:ilvl w:val="0"/>
          <w:numId w:val="1003"/>
        </w:numPr>
      </w:pPr>
      <w:r>
        <w:rPr>
          <w:b/>
          <w:bCs/>
        </w:rPr>
        <w:t xml:space="preserve">Ready</w:t>
      </w:r>
      <w:r>
        <w:t xml:space="preserve"> </w:t>
      </w:r>
      <w:r>
        <w:t xml:space="preserve">— confirms the application is ready for analysis</w:t>
      </w:r>
    </w:p>
    <w:p>
      <w:pPr>
        <w:pStyle w:val="FirstParagraph"/>
      </w:pPr>
      <w:r>
        <w:rPr>
          <w:b/>
          <w:bCs/>
        </w:rPr>
        <w:t xml:space="preserve">Step 2: Load sample files</w:t>
      </w:r>
    </w:p>
    <w:p>
      <w:pPr>
        <w:pStyle w:val="BodyText"/>
      </w:pPr>
      <w:r>
        <w:t xml:space="preserve">Click</w:t>
      </w:r>
      <w:r>
        <w:t xml:space="preserve"> </w:t>
      </w:r>
      <w:r>
        <w:rPr>
          <w:b/>
          <w:bCs/>
        </w:rPr>
        <w:t xml:space="preserve">“Choose Files…”</w:t>
      </w:r>
      <w:r>
        <w:t xml:space="preserve"> </w:t>
      </w:r>
      <w:r>
        <w:t xml:space="preserve">to select one or more FASTQ or FASTA sample files. Supported formats: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Format</w:t>
            </w:r>
          </w:p>
        </w:tc>
        <w:tc>
          <w:tcPr/>
          <w:p>
            <w:pPr>
              <w:pStyle w:val="Compact"/>
            </w:pPr>
            <w:r>
              <w:t xml:space="preserve">Extensions</w:t>
            </w:r>
          </w:p>
        </w:tc>
      </w:tr>
      <w:tr>
        <w:tc>
          <w:tcPr/>
          <w:p>
            <w:pPr>
              <w:pStyle w:val="Compact"/>
            </w:pPr>
            <w:r>
              <w:t xml:space="preserve">FASTQ (uncompressed)</w:t>
            </w:r>
          </w:p>
        </w:tc>
        <w:tc>
          <w:tcPr/>
          <w:p>
            <w:pPr>
              <w:pStyle w:val="Compact"/>
            </w:pPr>
            <w:r>
              <w:rPr>
                <w:rStyle w:val="VerbatimChar"/>
              </w:rPr>
              <w:t xml:space="preserve">.fq</w:t>
            </w:r>
            <w:r>
              <w:t xml:space="preserve">,</w:t>
            </w:r>
            <w:r>
              <w:t xml:space="preserve"> </w:t>
            </w:r>
            <w:r>
              <w:rPr>
                <w:rStyle w:val="VerbatimChar"/>
              </w:rPr>
              <w:t xml:space="preserve">.fastq</w:t>
            </w:r>
          </w:p>
        </w:tc>
      </w:tr>
      <w:tr>
        <w:tc>
          <w:tcPr/>
          <w:p>
            <w:pPr>
              <w:pStyle w:val="Compact"/>
            </w:pPr>
            <w:r>
              <w:t xml:space="preserve">FASTQ (gzip-compressed)</w:t>
            </w:r>
          </w:p>
        </w:tc>
        <w:tc>
          <w:tcPr/>
          <w:p>
            <w:pPr>
              <w:pStyle w:val="Compact"/>
            </w:pPr>
            <w:r>
              <w:rPr>
                <w:rStyle w:val="VerbatimChar"/>
              </w:rPr>
              <w:t xml:space="preserve">.fq.gz</w:t>
            </w:r>
            <w:r>
              <w:t xml:space="preserve">,</w:t>
            </w:r>
            <w:r>
              <w:t xml:space="preserve"> </w:t>
            </w:r>
            <w:r>
              <w:rPr>
                <w:rStyle w:val="VerbatimChar"/>
              </w:rPr>
              <w:t xml:space="preserve">.fastq.gz</w:t>
            </w:r>
          </w:p>
        </w:tc>
      </w:tr>
      <w:tr>
        <w:tc>
          <w:tcPr/>
          <w:p>
            <w:pPr>
              <w:pStyle w:val="Compact"/>
            </w:pPr>
            <w:r>
              <w:t xml:space="preserve">FASTA (uncompressed)</w:t>
            </w:r>
          </w:p>
        </w:tc>
        <w:tc>
          <w:tcPr/>
          <w:p>
            <w:pPr>
              <w:pStyle w:val="Compact"/>
            </w:pPr>
            <w:r>
              <w:rPr>
                <w:rStyle w:val="VerbatimChar"/>
              </w:rPr>
              <w:t xml:space="preserve">.fa</w:t>
            </w:r>
            <w:r>
              <w:t xml:space="preserve">,</w:t>
            </w:r>
            <w:r>
              <w:t xml:space="preserve"> </w:t>
            </w:r>
            <w:r>
              <w:rPr>
                <w:rStyle w:val="VerbatimChar"/>
              </w:rPr>
              <w:t xml:space="preserve">.fasta</w:t>
            </w:r>
          </w:p>
        </w:tc>
      </w:tr>
    </w:tbl>
    <w:p>
      <w:pPr>
        <w:pStyle w:val="BodyText"/>
      </w:pPr>
      <w:r>
        <w:t xml:space="preserve">Paired-end R1/R2 files are auto-detected and merged when both mates are present in the same directory.</w:t>
      </w:r>
    </w:p>
    <w:p>
      <w:pPr>
        <w:pStyle w:val="BodyText"/>
      </w:pPr>
      <w:r>
        <w:rPr>
          <w:b/>
          <w:bCs/>
        </w:rPr>
        <w:t xml:space="preserve">Step 3: Review file summary</w:t>
      </w:r>
    </w:p>
    <w:p>
      <w:pPr>
        <w:pStyle w:val="BodyText"/>
      </w:pPr>
      <w:r>
        <w:t xml:space="preserve">Before analysis, HalalSeq displays a summary panel showing:</w:t>
      </w:r>
    </w:p>
    <w:p>
      <w:pPr>
        <w:pStyle w:val="Compact"/>
        <w:numPr>
          <w:ilvl w:val="0"/>
          <w:numId w:val="1004"/>
        </w:numPr>
      </w:pPr>
      <w:r>
        <w:t xml:space="preserve">Number of samples loaded</w:t>
      </w:r>
    </w:p>
    <w:p>
      <w:pPr>
        <w:pStyle w:val="Compact"/>
        <w:numPr>
          <w:ilvl w:val="0"/>
          <w:numId w:val="1004"/>
        </w:numPr>
      </w:pPr>
      <w:r>
        <w:t xml:space="preserve">Estimated read count per sample</w:t>
      </w:r>
    </w:p>
    <w:p>
      <w:pPr>
        <w:pStyle w:val="Compact"/>
        <w:numPr>
          <w:ilvl w:val="0"/>
          <w:numId w:val="1004"/>
        </w:numPr>
      </w:pPr>
      <w:r>
        <w:t xml:space="preserve">Estimated RAM usage</w:t>
      </w:r>
    </w:p>
    <w:p>
      <w:pPr>
        <w:pStyle w:val="FirstParagraph"/>
      </w:pPr>
      <w:r>
        <w:t xml:space="preserve">Verify the summary is correct before proceeding.</w:t>
      </w:r>
    </w:p>
    <w:p>
      <w:pPr>
        <w:pStyle w:val="BodyText"/>
      </w:pPr>
      <w:r>
        <w:rPr>
          <w:b/>
          <w:bCs/>
        </w:rPr>
        <w:t xml:space="preserve">Step 4: Run analysis</w:t>
      </w:r>
    </w:p>
    <w:p>
      <w:pPr>
        <w:pStyle w:val="BodyText"/>
      </w:pPr>
      <w:r>
        <w:t xml:space="preserve">Click</w:t>
      </w:r>
      <w:r>
        <w:t xml:space="preserve"> </w:t>
      </w:r>
      <w:r>
        <w:rPr>
          <w:b/>
          <w:bCs/>
        </w:rPr>
        <w:t xml:space="preserve">“Run Analysis”</w:t>
      </w:r>
      <w:r>
        <w:t xml:space="preserve">. A progress bar advances through five stages:</w:t>
      </w:r>
    </w:p>
    <w:p>
      <w:pPr>
        <w:pStyle w:val="Compact"/>
        <w:numPr>
          <w:ilvl w:val="0"/>
          <w:numId w:val="1005"/>
        </w:numPr>
      </w:pPr>
      <w:r>
        <w:t xml:space="preserve">Loading index</w:t>
      </w:r>
    </w:p>
    <w:p>
      <w:pPr>
        <w:pStyle w:val="Compact"/>
        <w:numPr>
          <w:ilvl w:val="0"/>
          <w:numId w:val="1005"/>
        </w:numPr>
      </w:pPr>
      <w:r>
        <w:t xml:space="preserve">Reading sequences</w:t>
      </w:r>
    </w:p>
    <w:p>
      <w:pPr>
        <w:pStyle w:val="Compact"/>
        <w:numPr>
          <w:ilvl w:val="0"/>
          <w:numId w:val="1005"/>
        </w:numPr>
      </w:pPr>
      <w:r>
        <w:t xml:space="preserve">Classifying species</w:t>
      </w:r>
    </w:p>
    <w:p>
      <w:pPr>
        <w:pStyle w:val="Compact"/>
        <w:numPr>
          <w:ilvl w:val="0"/>
          <w:numId w:val="1005"/>
        </w:numPr>
      </w:pPr>
      <w:r>
        <w:t xml:space="preserve">Running EM (expectation-maximization for bias correction)</w:t>
      </w:r>
    </w:p>
    <w:p>
      <w:pPr>
        <w:pStyle w:val="Compact"/>
        <w:numPr>
          <w:ilvl w:val="0"/>
          <w:numId w:val="1005"/>
        </w:numPr>
      </w:pPr>
      <w:r>
        <w:t xml:space="preserve">Generating report</w:t>
      </w:r>
    </w:p>
    <w:p>
      <w:pPr>
        <w:pStyle w:val="FirstParagraph"/>
      </w:pPr>
      <w:r>
        <w:rPr>
          <w:b/>
          <w:bCs/>
        </w:rPr>
        <w:t xml:space="preserve">Step 5: View results</w:t>
      </w:r>
    </w:p>
    <w:p>
      <w:pPr>
        <w:pStyle w:val="BodyText"/>
      </w:pPr>
      <w:r>
        <w:t xml:space="preserve">The results screen displays:</w:t>
      </w:r>
    </w:p>
    <w:p>
      <w:pPr>
        <w:pStyle w:val="Compact"/>
        <w:numPr>
          <w:ilvl w:val="0"/>
          <w:numId w:val="1006"/>
        </w:numPr>
      </w:pPr>
      <w:r>
        <w:rPr>
          <w:b/>
          <w:bCs/>
        </w:rPr>
        <w:t xml:space="preserve">Verdict banner</w:t>
      </w:r>
      <w:r>
        <w:t xml:space="preserve">: A large banner showing the overall sample verdict:</w:t>
      </w:r>
    </w:p>
    <w:p>
      <w:pPr>
        <w:pStyle w:val="Compact"/>
        <w:numPr>
          <w:ilvl w:val="1"/>
          <w:numId w:val="1007"/>
        </w:numPr>
      </w:pPr>
      <w:r>
        <w:rPr>
          <w:b/>
          <w:bCs/>
        </w:rPr>
        <w:t xml:space="preserve">HALAL</w:t>
      </w:r>
      <w:r>
        <w:t xml:space="preserve"> </w:t>
      </w:r>
      <w:r>
        <w:t xml:space="preserve">(green background) — no haram species detected</w:t>
      </w:r>
    </w:p>
    <w:p>
      <w:pPr>
        <w:pStyle w:val="Compact"/>
        <w:numPr>
          <w:ilvl w:val="1"/>
          <w:numId w:val="1007"/>
        </w:numPr>
      </w:pPr>
      <w:r>
        <w:rPr>
          <w:b/>
          <w:bCs/>
        </w:rPr>
        <w:t xml:space="preserve">NOT HALAL</w:t>
      </w:r>
      <w:r>
        <w:t xml:space="preserve"> </w:t>
      </w:r>
      <w:r>
        <w:t xml:space="preserve">(red background) — haram species detected above significance threshold</w:t>
      </w:r>
    </w:p>
    <w:p>
      <w:pPr>
        <w:pStyle w:val="Compact"/>
        <w:numPr>
          <w:ilvl w:val="1"/>
          <w:numId w:val="1007"/>
        </w:numPr>
      </w:pPr>
      <w:r>
        <w:rPr>
          <w:b/>
          <w:bCs/>
        </w:rPr>
        <w:t xml:space="preserve">INCONCLUSIVE</w:t>
      </w:r>
      <w:r>
        <w:t xml:space="preserve"> </w:t>
      </w:r>
      <w:r>
        <w:t xml:space="preserve">(amber background) — insufficient data or statistically ambiguous result</w:t>
      </w:r>
    </w:p>
    <w:p>
      <w:pPr>
        <w:pStyle w:val="Compact"/>
        <w:numPr>
          <w:ilvl w:val="0"/>
          <w:numId w:val="1006"/>
        </w:numPr>
      </w:pPr>
      <w:r>
        <w:rPr>
          <w:b/>
          <w:bCs/>
        </w:rPr>
        <w:t xml:space="preserve">Species bar chart</w:t>
      </w:r>
      <w:r>
        <w:t xml:space="preserve">: A horizontal bar chart showing each detected species’ estimated weight fraction (w/w%), with confidence interval whiskers indicating statistical uncertainty.</w:t>
      </w:r>
    </w:p>
    <w:p>
      <w:pPr>
        <w:pStyle w:val="Compact"/>
        <w:numPr>
          <w:ilvl w:val="0"/>
          <w:numId w:val="1006"/>
        </w:numPr>
      </w:pPr>
      <w:r>
        <w:rPr>
          <w:b/>
          <w:bCs/>
        </w:rPr>
        <w:t xml:space="preserve">Data table</w:t>
      </w:r>
      <w:r>
        <w:t xml:space="preserve">: A tabular summary with columns for species name, halal/haram status, estimated w/w%, and 95% confidence interval range.</w:t>
      </w:r>
    </w:p>
    <w:p>
      <w:pPr>
        <w:pStyle w:val="Compact"/>
        <w:numPr>
          <w:ilvl w:val="0"/>
          <w:numId w:val="1006"/>
        </w:numPr>
      </w:pPr>
      <w:r>
        <w:rPr>
          <w:b/>
          <w:bCs/>
        </w:rPr>
        <w:t xml:space="preserve">Metadata footer</w:t>
      </w:r>
      <w:r>
        <w:t xml:space="preserve">: Total reads analyzed and cross-marker agreement score.</w:t>
      </w:r>
    </w:p>
    <w:p>
      <w:pPr>
        <w:pStyle w:val="FirstParagraph"/>
      </w:pPr>
      <w:r>
        <w:rPr>
          <w:b/>
          <w:bCs/>
        </w:rPr>
        <w:t xml:space="preserve">Step 6: Multi-sample and display options</w:t>
      </w:r>
    </w:p>
    <w:p>
      <w:pPr>
        <w:pStyle w:val="Compact"/>
        <w:numPr>
          <w:ilvl w:val="0"/>
          <w:numId w:val="1008"/>
        </w:numPr>
      </w:pPr>
      <w:r>
        <w:t xml:space="preserve">For multi-sample runs, click the</w:t>
      </w:r>
      <w:r>
        <w:t xml:space="preserve"> </w:t>
      </w:r>
      <w:r>
        <w:rPr>
          <w:b/>
          <w:bCs/>
        </w:rPr>
        <w:t xml:space="preserve">tabs</w:t>
      </w:r>
      <w:r>
        <w:t xml:space="preserve"> </w:t>
      </w:r>
      <w:r>
        <w:t xml:space="preserve">at the top of the results panel to switch between individual sample results.</w:t>
      </w:r>
    </w:p>
    <w:p>
      <w:pPr>
        <w:pStyle w:val="Compact"/>
        <w:numPr>
          <w:ilvl w:val="0"/>
          <w:numId w:val="1008"/>
        </w:numPr>
      </w:pPr>
      <w:r>
        <w:t xml:space="preserve">Adjust the</w:t>
      </w:r>
      <w:r>
        <w:t xml:space="preserve"> </w:t>
      </w:r>
      <w:r>
        <w:rPr>
          <w:b/>
          <w:bCs/>
        </w:rPr>
        <w:t xml:space="preserve">display threshold slider</w:t>
      </w:r>
      <w:r>
        <w:t xml:space="preserve"> </w:t>
      </w:r>
      <w:r>
        <w:t xml:space="preserve">to show or hide trace-level species detections.</w:t>
      </w:r>
    </w:p>
    <w:p>
      <w:pPr>
        <w:pStyle w:val="Compact"/>
        <w:numPr>
          <w:ilvl w:val="0"/>
          <w:numId w:val="1008"/>
        </w:numPr>
      </w:pPr>
      <w:r>
        <w:t xml:space="preserve">Click the</w:t>
      </w:r>
      <w:r>
        <w:t xml:space="preserve"> </w:t>
      </w:r>
      <w:r>
        <w:rPr>
          <w:b/>
          <w:bCs/>
        </w:rPr>
        <w:t xml:space="preserve">“Database”</w:t>
      </w:r>
      <w:r>
        <w:t xml:space="preserve"> </w:t>
      </w:r>
      <w:r>
        <w:t xml:space="preserve">tab to inspect the loaded reference species list, marker sequences, and primer sequences used for classification.</w:t>
      </w:r>
    </w:p>
    <w:bookmarkEnd w:id="21"/>
    <w:bookmarkStart w:id="22" w:name="X7e0e3cc3e34cb1e95421e49e21751517e8fc320"/>
    <w:p>
      <w:pPr>
        <w:pStyle w:val="Heading2"/>
      </w:pPr>
      <w:r>
        <w:t xml:space="preserve">Part C — CLI Workflow (Batch and Automated Processing)</w:t>
      </w:r>
    </w:p>
    <w:p>
      <w:pPr>
        <w:pStyle w:val="FirstParagraph"/>
      </w:pPr>
      <w:r>
        <w:t xml:space="preserve">The command-line interface supports high-throughput and automated workflows.</w:t>
      </w:r>
    </w:p>
    <w:p>
      <w:pPr>
        <w:pStyle w:val="BodyText"/>
      </w:pPr>
      <w:r>
        <w:rPr>
          <w:b/>
          <w:bCs/>
        </w:rPr>
        <w:t xml:space="preserve">Basic usage:</w:t>
      </w:r>
    </w:p>
    <w:p>
      <w:pPr>
        <w:pStyle w:val="SourceCode"/>
      </w:pPr>
      <w:r>
        <w:rPr>
          <w:rStyle w:val="VerbatimChar"/>
        </w:rPr>
        <w:t xml:space="preserve">halalseq run -x halal.idx -r sample.fq.gz -o report.json -f json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Flag</w:t>
            </w:r>
          </w:p>
        </w:tc>
        <w:tc>
          <w:tcPr/>
          <w:p>
            <w:pPr>
              <w:pStyle w:val="Compact"/>
            </w:pPr>
            <w:r>
              <w:t xml:space="preserve">Description</w:t>
            </w:r>
          </w:p>
        </w:tc>
      </w:tr>
      <w:tr>
        <w:tc>
          <w:tcPr/>
          <w:p>
            <w:pPr>
              <w:pStyle w:val="Compact"/>
            </w:pPr>
            <w:r>
              <w:rPr>
                <w:rStyle w:val="VerbatimChar"/>
              </w:rPr>
              <w:t xml:space="preserve">-x</w:t>
            </w:r>
          </w:p>
        </w:tc>
        <w:tc>
          <w:tcPr/>
          <w:p>
            <w:pPr>
              <w:pStyle w:val="Compact"/>
            </w:pPr>
            <w:r>
              <w:t xml:space="preserve">Path to the reference index file</w:t>
            </w:r>
          </w:p>
        </w:tc>
      </w:tr>
      <w:tr>
        <w:tc>
          <w:tcPr/>
          <w:p>
            <w:pPr>
              <w:pStyle w:val="Compact"/>
            </w:pPr>
            <w:r>
              <w:rPr>
                <w:rStyle w:val="VerbatimChar"/>
              </w:rPr>
              <w:t xml:space="preserve">-r</w:t>
            </w:r>
          </w:p>
        </w:tc>
        <w:tc>
          <w:tcPr/>
          <w:p>
            <w:pPr>
              <w:pStyle w:val="Compact"/>
            </w:pPr>
            <w:r>
              <w:t xml:space="preserve">Input reads file (FASTQ or FASTA, optionally gzip-compressed)</w:t>
            </w:r>
          </w:p>
        </w:tc>
      </w:tr>
      <w:tr>
        <w:tc>
          <w:tcPr/>
          <w:p>
            <w:pPr>
              <w:pStyle w:val="Compact"/>
            </w:pPr>
            <w:r>
              <w:rPr>
                <w:rStyle w:val="VerbatimChar"/>
              </w:rPr>
              <w:t xml:space="preserve">-o</w:t>
            </w:r>
          </w:p>
        </w:tc>
        <w:tc>
          <w:tcPr/>
          <w:p>
            <w:pPr>
              <w:pStyle w:val="Compact"/>
            </w:pPr>
            <w:r>
              <w:t xml:space="preserve">Output report file path</w:t>
            </w:r>
          </w:p>
        </w:tc>
      </w:tr>
      <w:tr>
        <w:tc>
          <w:tcPr/>
          <w:p>
            <w:pPr>
              <w:pStyle w:val="Compact"/>
            </w:pPr>
            <w:r>
              <w:rPr>
                <w:rStyle w:val="VerbatimChar"/>
              </w:rPr>
              <w:t xml:space="preserve">-f</w:t>
            </w:r>
          </w:p>
        </w:tc>
        <w:tc>
          <w:tcPr/>
          <w:p>
            <w:pPr>
              <w:pStyle w:val="Compact"/>
            </w:pPr>
            <w:r>
              <w:t xml:space="preserve">Output format:</w:t>
            </w:r>
            <w:r>
              <w:t xml:space="preserve"> </w:t>
            </w:r>
            <w:r>
              <w:rPr>
                <w:rStyle w:val="VerbatimChar"/>
              </w:rPr>
              <w:t xml:space="preserve">summary</w:t>
            </w:r>
            <w:r>
              <w:t xml:space="preserve">,</w:t>
            </w:r>
            <w:r>
              <w:t xml:space="preserve"> </w:t>
            </w:r>
            <w:r>
              <w:rPr>
                <w:rStyle w:val="VerbatimChar"/>
              </w:rPr>
              <w:t xml:space="preserve">json</w:t>
            </w:r>
            <w:r>
              <w:t xml:space="preserve">, or</w:t>
            </w:r>
            <w:r>
              <w:t xml:space="preserve"> </w:t>
            </w:r>
            <w:r>
              <w:rPr>
                <w:rStyle w:val="VerbatimChar"/>
              </w:rPr>
              <w:t xml:space="preserve">tsv</w:t>
            </w:r>
          </w:p>
        </w:tc>
      </w:tr>
      <w:tr>
        <w:tc>
          <w:tcPr/>
          <w:p>
            <w:pPr>
              <w:pStyle w:val="Compact"/>
            </w:pPr>
            <w:r>
              <w:rPr>
                <w:rStyle w:val="VerbatimChar"/>
              </w:rPr>
              <w:t xml:space="preserve">-n</w:t>
            </w:r>
          </w:p>
        </w:tc>
        <w:tc>
          <w:tcPr/>
          <w:p>
            <w:pPr>
              <w:pStyle w:val="Compact"/>
            </w:pPr>
            <w:r>
              <w:t xml:space="preserve">Enable Nanopore long-read mode</w:t>
            </w:r>
          </w:p>
        </w:tc>
      </w:tr>
    </w:tbl>
    <w:p>
      <w:pPr>
        <w:pStyle w:val="BodyText"/>
      </w:pPr>
      <w:r>
        <w:rPr>
          <w:b/>
          <w:bCs/>
        </w:rPr>
        <w:t xml:space="preserve">Output formats:</w:t>
      </w:r>
    </w:p>
    <w:p>
      <w:pPr>
        <w:pStyle w:val="Compact"/>
        <w:numPr>
          <w:ilvl w:val="0"/>
          <w:numId w:val="1009"/>
        </w:numPr>
      </w:pPr>
      <w:r>
        <w:rPr>
          <w:rStyle w:val="VerbatimChar"/>
        </w:rPr>
        <w:t xml:space="preserve">summary</w:t>
      </w:r>
      <w:r>
        <w:t xml:space="preserve"> </w:t>
      </w:r>
      <w:r>
        <w:t xml:space="preserve">— Human-readable text report for quick inspection</w:t>
      </w:r>
    </w:p>
    <w:p>
      <w:pPr>
        <w:pStyle w:val="Compact"/>
        <w:numPr>
          <w:ilvl w:val="0"/>
          <w:numId w:val="1009"/>
        </w:numPr>
      </w:pPr>
      <w:r>
        <w:rPr>
          <w:rStyle w:val="VerbatimChar"/>
        </w:rPr>
        <w:t xml:space="preserve">json</w:t>
      </w:r>
      <w:r>
        <w:t xml:space="preserve"> </w:t>
      </w:r>
      <w:r>
        <w:t xml:space="preserve">— Structured JSON for programmatic consumption and integration with LIMS</w:t>
      </w:r>
    </w:p>
    <w:p>
      <w:pPr>
        <w:pStyle w:val="Compact"/>
        <w:numPr>
          <w:ilvl w:val="0"/>
          <w:numId w:val="1009"/>
        </w:numPr>
      </w:pPr>
      <w:r>
        <w:rPr>
          <w:rStyle w:val="VerbatimChar"/>
        </w:rPr>
        <w:t xml:space="preserve">tsv</w:t>
      </w:r>
      <w:r>
        <w:t xml:space="preserve"> </w:t>
      </w:r>
      <w:r>
        <w:t xml:space="preserve">— Tab-separated values for import into spreadsheet applications</w:t>
      </w:r>
    </w:p>
    <w:p>
      <w:pPr>
        <w:pStyle w:val="FirstParagraph"/>
      </w:pPr>
      <w:r>
        <w:rPr>
          <w:b/>
          <w:bCs/>
        </w:rPr>
        <w:t xml:space="preserve">Report contents:</w:t>
      </w:r>
    </w:p>
    <w:p>
      <w:pPr>
        <w:pStyle w:val="BodyText"/>
      </w:pPr>
      <w:r>
        <w:t xml:space="preserve">Each output report includes, for every detected species:</w:t>
      </w:r>
    </w:p>
    <w:p>
      <w:pPr>
        <w:pStyle w:val="Compact"/>
        <w:numPr>
          <w:ilvl w:val="0"/>
          <w:numId w:val="1010"/>
        </w:numPr>
      </w:pPr>
      <w:r>
        <w:t xml:space="preserve">Estimated weight fraction (w/w%)</w:t>
      </w:r>
    </w:p>
    <w:p>
      <w:pPr>
        <w:pStyle w:val="Compact"/>
        <w:numPr>
          <w:ilvl w:val="0"/>
          <w:numId w:val="1010"/>
        </w:numPr>
      </w:pPr>
      <w:r>
        <w:t xml:space="preserve">95% confidence interval</w:t>
      </w:r>
    </w:p>
    <w:p>
      <w:pPr>
        <w:pStyle w:val="Compact"/>
        <w:numPr>
          <w:ilvl w:val="0"/>
          <w:numId w:val="1010"/>
        </w:numPr>
      </w:pPr>
      <w:r>
        <w:t xml:space="preserve">P-value for species presence</w:t>
      </w:r>
    </w:p>
    <w:p>
      <w:pPr>
        <w:pStyle w:val="Compact"/>
        <w:numPr>
          <w:ilvl w:val="0"/>
          <w:numId w:val="1010"/>
        </w:numPr>
      </w:pPr>
      <w:r>
        <w:t xml:space="preserve">Halal/haram classification</w:t>
      </w:r>
    </w:p>
    <w:p>
      <w:pPr>
        <w:pStyle w:val="FirstParagraph"/>
      </w:pPr>
      <w:r>
        <w:t xml:space="preserve">The report also includes an overall sample verdict (PASS / FAIL / INCONCLUSIVE).</w:t>
      </w:r>
    </w:p>
    <w:bookmarkEnd w:id="22"/>
    <w:bookmarkStart w:id="23" w:name="part-d-interpreting-results"/>
    <w:p>
      <w:pPr>
        <w:pStyle w:val="Heading2"/>
      </w:pPr>
      <w:r>
        <w:t xml:space="preserve">Part D — Interpreting Results</w:t>
      </w:r>
    </w:p>
    <w:p>
      <w:pPr>
        <w:pStyle w:val="FirstParagraph"/>
      </w:pPr>
      <w:r>
        <w:t xml:space="preserve">The results screen provides multiple layers of information to support decision-making. Understanding each component ensures correct interpretation.</w:t>
      </w:r>
    </w:p>
    <w:p>
      <w:pPr>
        <w:pStyle w:val="BodyText"/>
      </w:pPr>
      <w:r>
        <w:t xml:space="preserve">Verdict banner: The large banner at the top of the results panel shows the overall determination for the sample. HALAL (green) means no haram species were detected above the statistical significance threshold. NOT HALAL (red) means at least one haram species (e.g., pig, dog) was detected with high confidence. INCONCLUSIVE (amber) means the data is ambiguous — this may occur with very low read counts, degraded DNA, or trace-level detections that fall within the confidence interval of zero.</w:t>
      </w:r>
    </w:p>
    <w:p>
      <w:pPr>
        <w:pStyle w:val="BodyText"/>
      </w:pPr>
      <w:r>
        <w:t xml:space="preserve">Weight fractions (w/w%): These are the estimated proportions of each species by tissue weight in the original sample, not by read count. HalalSeq corrects for mitochondrial copy number, DNA extraction yield, PCR amplification bias, and DNA degradation. A species reported at 5.0% w/w means approximately 5% of the meat tissue mass in the sample originated from that species.</w:t>
      </w:r>
    </w:p>
    <w:p>
      <w:pPr>
        <w:pStyle w:val="BodyText"/>
      </w:pPr>
      <w:r>
        <w:t xml:space="preserve">Confidence intervals: Each weight fraction is accompanied by a 95% confidence interval derived from the Fisher Information matrix. Narrow intervals (e.g., 4.2–5.8%) indicate high statistical confidence. Wide intervals (e.g., 1.0–12.0%) suggest the estimate is uncertain, often due to low read count or conflicting marker evidence. If the confidence interval for a haram species includes zero, the verdict may be INCONCLUSIVE rather than NOT HALAL.</w:t>
      </w:r>
    </w:p>
    <w:p>
      <w:pPr>
        <w:pStyle w:val="BodyText"/>
      </w:pPr>
      <w:r>
        <w:t xml:space="preserve">Cross-marker agreement: When multiple mitochondrial loci are analyzed (e.g., 12S, 16S, cytochrome b), HalalSeq reports a cross-marker agreement score. Very High (&gt;95%) means all markers agree on species composition. Low (&lt;70%) may indicate primer dropout, contamination, or novel species not in the reference database.</w:t>
      </w:r>
    </w:p>
    <w:p>
      <w:pPr>
        <w:pStyle w:val="BodyText"/>
      </w:pPr>
      <w:r>
        <w:t xml:space="preserve">Species bar chart: The horizontal bar chart provides a visual summary. Bar length corresponds to estimated weight fraction. Whisker lines show the 95% confidence interval. Green bars indicate halal species, red bars indicate haram species, and amber bars indicate mashbooh (doubtful) species. The display threshold slider controls which trace-level detections are shown — species below the threshold are hidden but reported in the full data table.</w:t>
      </w:r>
    </w:p>
    <w:p>
      <w:pPr>
        <w:pStyle w:val="BodyText"/>
      </w:pPr>
      <w:r>
        <w:t xml:space="preserve">Common interpretation scenarios:</w:t>
      </w:r>
    </w:p>
    <w:p>
      <w:pPr>
        <w:pStyle w:val="Compact"/>
      </w:pPr>
      <w:r>
        <w:t xml:space="preserve">Single species at ~100%: The sample contains only one detectable species. This is the expected result for a pure, unadulterated product.</w:t>
      </w:r>
    </w:p>
    <w:p>
      <w:pPr>
        <w:pStyle w:val="Compact"/>
      </w:pPr>
      <w:r>
        <w:t xml:space="preserve">Two species with one dominant: Possible contamination or intentional mixing. Check the minor species' confidence interval — if it excludes zero, the detection is statistically significant.</w:t>
      </w:r>
    </w:p>
    <w:p>
      <w:pPr>
        <w:pStyle w:val="Compact"/>
      </w:pPr>
      <w:r>
        <w:t xml:space="preserve">Many species at low levels: May indicate environmental contamination during processing rather than intentional adulteration. Cross-marker agreement helps distinguish true detections from noise.</w:t>
      </w:r>
    </w:p>
    <w:p>
      <w:pPr>
        <w:pStyle w:val="Compact"/>
      </w:pPr>
      <w:r>
        <w:t xml:space="preserve">Haram species below 1%: Trace-level detections may reflect shared-equipment contamination rather than intentional adulteration. Regulatory thresholds vary by jurisdiction. HalalSeq reports the detection but the verdict depends on the confidence interval and applicable regulatory standards.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Meaning</w:t>
            </w:r>
          </w:p>
        </w:tc>
      </w:tr>
      <w:tr>
        <w:tc>
          <w:tcPr/>
          <w:p>
            <w:pPr>
              <w:pStyle w:val="Compact"/>
            </w:pPr>
            <w:r>
              <w:rPr>
                <w:b/>
                <w:bCs/>
              </w:rPr>
              <w:t xml:space="preserve">Weight fraction (w/w%)</w:t>
            </w:r>
          </w:p>
        </w:tc>
        <w:tc>
          <w:tcPr/>
          <w:p>
            <w:pPr>
              <w:pStyle w:val="Compact"/>
            </w:pPr>
            <w:r>
              <w:t xml:space="preserve">Bias-corrected estimate of each species’ mass proportion in the sample, accounting for mitochondrial copy number, extraction yield, PCR bias, and DNA degradation.</w:t>
            </w:r>
          </w:p>
        </w:tc>
      </w:tr>
      <w:tr>
        <w:tc>
          <w:tcPr/>
          <w:p>
            <w:pPr>
              <w:pStyle w:val="Compact"/>
            </w:pPr>
            <w:r>
              <w:rPr>
                <w:b/>
                <w:bCs/>
              </w:rPr>
              <w:t xml:space="preserve">95% Confidence Interval</w:t>
            </w:r>
          </w:p>
        </w:tc>
        <w:tc>
          <w:tcPr/>
          <w:p>
            <w:pPr>
              <w:pStyle w:val="Compact"/>
            </w:pPr>
            <w:r>
              <w:t xml:space="preserve">Statistical uncertainty range derived from the observed Fisher Information Matrix. A narrow interval indicates high certainty; a wide interval suggests the estimate may shift with additional sequencing depth.</w:t>
            </w:r>
          </w:p>
        </w:tc>
      </w:tr>
      <w:tr>
        <w:tc>
          <w:tcPr/>
          <w:p>
            <w:pPr>
              <w:pStyle w:val="Compact"/>
            </w:pPr>
            <w:r>
              <w:rPr>
                <w:b/>
                <w:bCs/>
              </w:rPr>
              <w:t xml:space="preserve">P-value</w:t>
            </w:r>
          </w:p>
        </w:tc>
        <w:tc>
          <w:tcPr/>
          <w:p>
            <w:pPr>
              <w:pStyle w:val="Compact"/>
            </w:pPr>
            <w:r>
              <w:t xml:space="preserve">Result of a likelihood ratio test for species presence. A small p-value (&lt; 0.05) indicates statistically significant evidence that the species is present; a large p-value suggests the signal may be attributable to noise.</w:t>
            </w:r>
          </w:p>
        </w:tc>
      </w:tr>
      <w:tr>
        <w:tc>
          <w:tcPr/>
          <w:p>
            <w:pPr>
              <w:pStyle w:val="Compact"/>
            </w:pPr>
            <w:r>
              <w:rPr>
                <w:b/>
                <w:bCs/>
              </w:rPr>
              <w:t xml:space="preserve">Cross-marker agreement</w:t>
            </w:r>
          </w:p>
        </w:tc>
        <w:tc>
          <w:tcPr/>
          <w:p>
            <w:pPr>
              <w:pStyle w:val="Compact"/>
            </w:pPr>
            <w:r>
              <w:t xml:space="preserve">Consistency score measuring how well species assignments agree across multiple mitochondrial loci (COI, cytb, 16S). Scores above 95% indicate Very High confidence.</w:t>
            </w:r>
          </w:p>
        </w:tc>
      </w:tr>
      <w:tr>
        <w:tc>
          <w:tcPr/>
          <w:p>
            <w:pPr>
              <w:pStyle w:val="Compact"/>
            </w:pPr>
            <w:r>
              <w:rPr>
                <w:b/>
                <w:bCs/>
              </w:rPr>
              <w:t xml:space="preserve">Verdict</w:t>
            </w:r>
          </w:p>
        </w:tc>
        <w:tc>
          <w:tcPr/>
          <w:p>
            <w:pPr>
              <w:pStyle w:val="Compact"/>
            </w:pPr>
            <w:r>
              <w:rPr>
                <w:b/>
                <w:bCs/>
              </w:rPr>
              <w:t xml:space="preserve">PASS</w:t>
            </w:r>
            <w:r>
              <w:t xml:space="preserve">: No haram species detected above the significance threshold.</w:t>
            </w:r>
            <w:r>
              <w:t xml:space="preserve"> </w:t>
            </w:r>
            <w:r>
              <w:rPr>
                <w:b/>
                <w:bCs/>
              </w:rPr>
              <w:t xml:space="preserve">FAIL</w:t>
            </w:r>
            <w:r>
              <w:t xml:space="preserve">: One or more haram species detected with statistical significance.</w:t>
            </w:r>
            <w:r>
              <w:t xml:space="preserve"> </w:t>
            </w:r>
            <w:r>
              <w:rPr>
                <w:b/>
                <w:bCs/>
              </w:rPr>
              <w:t xml:space="preserve">INCONCLUSIVE</w:t>
            </w:r>
            <w:r>
              <w:t xml:space="preserve">: Insufficient sequencing depth or ambiguous statistical evidence to make a determination.</w:t>
            </w:r>
          </w:p>
        </w:tc>
      </w:tr>
    </w:tbl>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2026-02-10T05:04:57Z</dcterms:created>
  <dcterms:modified xsi:type="dcterms:W3CDTF">2026-02-10T05:04:57Z</dcterms:modified>
</cp:coreProperties>
</file>

<file path=docProps/custom.xml><?xml version="1.0" encoding="utf-8"?>
<Properties xmlns="http://schemas.openxmlformats.org/officeDocument/2006/custom-properties" xmlns:vt="http://schemas.openxmlformats.org/officeDocument/2006/docPropsVTypes"/>
</file>