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АИС «eSport»</w:t>
      </w:r>
    </w:p>
    <w:p>
      <w:pPr>
        <w:spacing w:before="0" w:after="60"/>
        <w:jc w:val="center"/>
      </w:pPr>
      <w:r>
        <w:rPr>
          <w:color w:val="4A5568"/>
          <w:sz w:val="24"/>
          <w:szCs w:val="24"/>
        </w:rPr>
        <w:t xml:space="preserve">Предварительная оценка стоимости разработки и анализ ТЗ</w:t>
      </w:r>
    </w:p>
    <w:p>
      <w:pPr>
        <w:spacing w:before="60" w:after="60"/>
        <w:jc w:val="center"/>
      </w:pPr>
      <w:r>
        <w:rPr>
          <w:color w:val="718096"/>
          <w:sz w:val="20"/>
          <w:szCs w:val="20"/>
        </w:rPr>
        <w:t xml:space="preserve">Государственное агентство физической культуры и спорта КР</w:t>
      </w:r>
    </w:p>
    <w:p>
      <w:pPr>
        <w:spacing w:before="60" w:after="400"/>
        <w:jc w:val="center"/>
      </w:pPr>
      <w:r>
        <w:rPr>
          <w:i/>
          <w:iCs/>
          <w:color w:val="718096"/>
          <w:sz w:val="20"/>
          <w:szCs w:val="20"/>
        </w:rPr>
        <w:t xml:space="preserve">Март 2026 г.</w:t>
      </w:r>
    </w:p>
    <w:p>
      <w:pPr>
        <w:pBdr>
          <w:bottom w:val="single" w:color="BEE3F8" w:sz="4" w:space="1"/>
        </w:pBd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2C5282"/>
                <w:sz w:val="20"/>
                <w:szCs w:val="20"/>
              </w:rPr>
              <w:t xml:space="preserve">⚠️  Данный документ содержит предварительную оценку стоимости на основе поверхностного ТЗ. Реальная стоимость может значительно отличаться после уточнения бизнес-процессов, детальных требований и технических спецификаций. Диапазон погрешности оценки — от ±30% до ±50%.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1. Краткое резюме</w:t>
      </w:r>
    </w:p>
    <w:p>
      <w:pPr>
        <w:spacing w:before="100" w:after="100"/>
      </w:pPr>
      <w:r>
        <w:rPr>
          <w:sz w:val="22"/>
          <w:szCs w:val="22"/>
        </w:rPr>
        <w:t xml:space="preserve">Настоящий документ содержит: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предварительную оценку стоимости разработки АИС «eSport»;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анализ технического задания — его сильные и слабые стороны;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перечень критически недостающих элементов ТЗ;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рекомендации по подготовке к тендеру.</w:t>
      </w:r>
    </w:p>
    <w:p>
      <w:pPr>
        <w:spacing w:after="200"/>
      </w:pPr>
    </w:p>
    <w:p>
      <w:pPr>
        <w:spacing w:before="100" w:after="100"/>
      </w:pPr>
      <w:r>
        <w:rPr>
          <w:sz w:val="22"/>
          <w:szCs w:val="22"/>
        </w:rPr>
        <w:t xml:space="preserve">Система включает 5 основных модулей, рассчитана на ~11 000 пользователей (1 000 внутренних и 10 000 внешних), предполагает интеграцию со СМЭВ «Түндүк» и АИС Е-Кызмат.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2. Предварительная оценка стоимости</w:t>
      </w: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2.1. Методология оценки</w:t>
      </w:r>
    </w:p>
    <w:p>
      <w:pPr>
        <w:spacing w:before="100" w:after="100"/>
      </w:pPr>
      <w:r>
        <w:rPr>
          <w:sz w:val="22"/>
          <w:szCs w:val="22"/>
        </w:rPr>
        <w:t xml:space="preserve">Оценка выполнена на основе: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ролевой модели (тимлид, старший/junior разработчик, дизайнер, аналитик, DevOps, QA, PM);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среднерыночных ставок специалистов в Кыргызстане и СНГ (с учётом аутсорс-рынка);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экспертного разбивания каждого модуля на задачи методом Function Point / Story Points;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коэффициента неопределённости x1.35–1.5 ввиду неполноты ТЗ.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2C5282"/>
                <w:sz w:val="20"/>
                <w:szCs w:val="20"/>
              </w:rPr>
              <w:t xml:space="preserve">Ставки специалистов (базис): Senior backend/frontend — 150 000–200 000 сом/мес; Middle — 90 000–130 000 сом/мес; Junior/QA — 50 000–80 000 сом/мес; DevOps/Аналитик — 120 000–160 000 сом/мес; PM/Tимлид — 160 000–220 000 сом/мес.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2.2. Оценка по модулям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6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Объём работ (чел/мес)</w:t>
            </w:r>
          </w:p>
        </w:tc>
        <w:tc>
          <w:tcPr>
            <w:tcW w:type="dxa" w:w="22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разработки (KGS)</w:t>
            </w:r>
          </w:p>
        </w:tc>
        <w:tc>
          <w:tcPr>
            <w:tcW w:type="dxa" w:w="24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Внешний портал (веб-сайт)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12–18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3 500 000 – 5 500 000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Включает CMS, личный кабинет, QR-верификацию, 2 языка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Внутренний портал + БД eSport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30–45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8 500 000 – 14 000 000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Реестры, маршруты, интранет, аналитика — самый объёмный модуль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Онлайн-заявления (уточнение)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8–15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2 500 000 – 5 000 000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Зависит от числа типов заявлений и сложности маршрутов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Администрирование + Права доступа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5–7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1 200 000 – 2 000 000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RBAC, журналирование, AD-интеграция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Интеграции (Түндүк, Е-Кызмат, Минздрав)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8–12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2 000 000 – 4 000 000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Риск задержек от внешних ведомств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UX/UI дизайн (все модули)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4–6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800 000 – 1 500 000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Прототипы, дизайн-система, адаптив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DevOps, инфраструктура, тестирование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6–8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1 200 000 – 2 000 000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CI/CD, мониторинг, нагрузочное тестирование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Документация и обучение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2–3 чел/мес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400 000 – 700 000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ТЗ, руководства, обучение 1 000 сотрудников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Управление проектом (PM)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19 мес × 1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1 500 000 – 2 800 000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Весь жизненный цикл</w:t>
            </w:r>
          </w:p>
        </w:tc>
      </w:tr>
    </w:tbl>
    <w:p>
      <w:pPr>
        <w:spacing w:after="3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2.3. Итоговый диапазон стоимости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5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(KGS)</w:t>
            </w:r>
          </w:p>
        </w:tc>
        <w:tc>
          <w:tcPr>
            <w:tcW w:type="dxa" w:w="40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Оптимистичный (минимум)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21 600 000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Чёткое ТЗ, нет значимых доработок, опытная команда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Реалистичный (базовый)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30 000 000 – 35 000 000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 учётом уточнения БП, итераций, интеграций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Пессимистичный (с рисками)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до 45 000 000+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Сложные интеграции, смена требований, задержки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Плановая стоимость в ТЗ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13 000 000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Указана заказчиком — крайне занижена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2C5282"/>
                <w:sz w:val="20"/>
                <w:szCs w:val="20"/>
              </w:rPr>
              <w:t xml:space="preserve">🔴 ВАЖНО: Заявленная в ТЗ стоимость (13 000 000 KGS) не соответствует реальному объёму работ. По базовому реалистичному сценарию — разрыв в 2.3–2.7 раза. Это связано с тем, что ТЗ не учитывает полный цикл: аналитику, дизайн, DevOps, тестирование, документацию и управление проектом. Рекомендуется пересмотреть бюджет или существенно сократить первоначальный функционал.</w:t>
            </w:r>
          </w:p>
        </w:tc>
      </w:tr>
    </w:tbl>
    <w:p>
      <w:pPr>
        <w:spacing w:after="3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2.4. Разбивка по этапам (реалистичный сценарий)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5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(KGS)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Аналитика и уточнение ТЗ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1 500 000 – 2 000 000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Дизайн UI/UX + прототипирование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2–3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800 000 – 1 500 000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Разработка ядра: БД + API + авторизация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2–5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4 000 000 – 6 000 000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Внешний портал (веб-сайт)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4–7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3 500 000 – 5 500 000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Внутренний портал + реестры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5–12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6 000 000 – 9 000 000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Онлайн-заявления + маршруты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8–13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2 500 000 – 5 000 000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Интеграции (Түндүк и др.)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9–15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2 000 000 – 4 000 000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Тестирование + опытная эксплуатация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14–17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1 500 000 – 2 500 000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Обучение + документация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16–18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400 000 – 700 000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Техническая поддержка (12 мес)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Мес. 19–31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3 000 000 – 5 000 000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3. Анализ технического задания</w:t>
      </w: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3.1. Сильные стороны ТЗ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12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0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Структура документа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Следует стандартной структуре ТЗ, есть оглавление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Нормативная база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Перечислены 12 НПА, включая законы об электронном управлении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Предварительная схема данных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Есть предварительные поля (UUID, типы данных) для основных реестров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Модульность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Система разделена на логичные, независимые модули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Требования к безопасности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Достаточно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Перечислены требования по защите, аудиту,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Указан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Перечислены языки: .NET, Java, Go, Vue, React, Flutter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Требования к веб-сайту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Детально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Подробные требования согласно Распоряжению КМ №59-р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Определены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Перечислены ключевые интеграции (Түндүк, Е-Кызмат, Минздрав)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Стоимость по модулям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⚠️ Есть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Есть, но существенно занижена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График работ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⚠️ Есть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Обзорный график из 19 месяцев — без детализации</w:t>
            </w:r>
          </w:p>
        </w:tc>
      </w:tr>
    </w:tbl>
    <w:p>
      <w:pPr>
        <w:spacing w:after="3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3.2. Критические слабости и пробелы</w:t>
      </w:r>
    </w:p>
    <w:p>
      <w:pPr>
        <w:spacing w:after="12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3.2.1. Отсутствие описания бизнес-процессов (критично)</w:t>
      </w:r>
    </w:p>
    <w:p>
      <w:pPr>
        <w:spacing w:before="100" w:after="100"/>
      </w:pPr>
      <w:r>
        <w:rPr>
          <w:sz w:val="22"/>
          <w:szCs w:val="22"/>
        </w:rPr>
        <w:t xml:space="preserve">ТЗ описывает ЧТО должна делать система, но не КАК работают процессы в реальности. Без этого разработчик не может корректно спроектировать логику системы.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присвоения спортивного звания: кто инициирует, какие документы нужны, сколько этапов согласования, какие роли участвуют, каковы сроки рассмотрения.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выдачи тренерского сертификата и судейской категории — аналогично.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формирования сборной команды: кто включает спортсмена, кто утверждает, какие критерии отбора.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проведения спортивного мероприятия: регистрация, распределение судей, фиксация результатов.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закупки и учёта инвентаря — кто заказывает, кто утверждает, как списывается.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онлайн-согласования внутренних документов — сколько уровней, кто может создавать маршруты.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3.2.2. Неопределённость онлайн-заявлений (критично для стоимости)</w:t>
      </w:r>
    </w:p>
    <w:p>
      <w:pPr>
        <w:spacing w:before="100" w:after="100"/>
      </w:pPr>
      <w:r>
        <w:rPr>
          <w:sz w:val="22"/>
          <w:szCs w:val="22"/>
        </w:rPr>
        <w:t xml:space="preserve">Раздел «Онлайн заявления» является одним из самых трудоёмких, но при этом наименее проработанным в ТЗ.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указано количество типов заявлений (10? 50? 100?).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описаны конкретные формы для каждого типа заявления.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указаны SLA и сроки обработки заявлений.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описана логика статусов: черновик, подано, на рассмотрении, отклонено, исполнено.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процесс уведомлений (email/SMS/push) при изменении статуса.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 механизм возврата на доработку заявителю.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описана логика электронной подписи при подаче заявления.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3.2.3. Отсутствие требований к отчётности и аналитике</w:t>
      </w:r>
    </w:p>
    <w:p>
      <w:pPr>
        <w:spacing w:before="100" w:after="100"/>
      </w:pPr>
      <w:r>
        <w:rPr>
          <w:sz w:val="22"/>
          <w:szCs w:val="22"/>
        </w:rPr>
        <w:t xml:space="preserve">Раздел «Аналитические отчёты» содержит только: «Будут определены в ходе реализации» — это неприемлемо для ТЗ.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Какие отчёты нужны руководству ГАФКиС?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Какие KPI и метрики нужно отслеживать?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Нужен ли BI-инструмент (дашборды) или только выгрузки в Excel?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Кто получает какие отчёты (роли в системе)?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3.2.4. Неопределённость подсистем, помеченных как «Ошибка! Закладка не определена»</w:t>
      </w:r>
    </w:p>
    <w:p>
      <w:pPr>
        <w:spacing w:before="100" w:after="100"/>
      </w:pPr>
      <w:r>
        <w:rPr>
          <w:sz w:val="22"/>
          <w:szCs w:val="22"/>
        </w:rPr>
        <w:t xml:space="preserve">В оглавлении ТЗ указаны 4 подсистемы со статусом «Ошибка! Закладка не определена»: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5.3 — Подсистема «Финансы» — полностью отсутствует в документе.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5.4 — Подсистема «Онлайн билетирование» — полностью отсутствует.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5.5 — Подсистема «Мобильное приложение» — полностью отсутствует.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5.9 — Подсистема «ИИ ассистент» — полностью отсутствует.</w:t>
      </w:r>
    </w:p>
    <w:p>
      <w:pPr>
        <w:spacing w:before="100" w:after="100"/>
      </w:pPr>
      <w:r>
        <w:rPr>
          <w:sz w:val="22"/>
          <w:szCs w:val="22"/>
        </w:rPr>
        <w:t xml:space="preserve">Это означает, что значительная часть функционала, изначально предполагавшаяся в системе, была исключена без формального документирования. Если заказчик планирует добавить эти модули позднее — это приведёт к значительному удорожанию.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3.2.5. Нет требований к производительности и нагрузочному тестированию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Указано: «загрузка страницы — до 10 сек» — это слишком мягкое требование для 2026 года (норма — до 3 сек).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указаны: RPS (запросов в секунду), пиковая нагрузка, время восстановления после сбоя (RTO).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тестированию нагрузки перед сдачей.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мониторингу производительности в продакшне.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3.2.6. Технологический стек слишком широкий и противоречивый</w:t>
      </w:r>
    </w:p>
    <w:p>
      <w:pPr>
        <w:spacing w:before="100" w:after="100"/>
      </w:pPr>
      <w:r>
        <w:rPr>
          <w:sz w:val="22"/>
          <w:szCs w:val="22"/>
        </w:rPr>
        <w:t xml:space="preserve">В ТЗ перечислены: C# .NET, Java Spring Boot, Golang, VueJS, NodeJS, ReactJS, Flutter.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указано, какой стек для какого модуля. Это создаёт риск «зоопарка технологий».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Одновременное использование .NET, Java и Go означает разные команды и усложняет сопровождение.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Flutter указан, но мобильное приложение из ТЗ удалено — для чего он?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Рекомендуется зафиксировать 1–2 технологии для backend и 1 для frontend.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3.2.7. Отсутствие требований к миграции данных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ТЗ упоминает: «необходимо провести импорт данных из текущего веб-сайта ГАФКиС».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 объём данных для миграции.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описано качество и формат текущих данных (возможно «грязные» данные).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описана стратегия параллельной работы старой и новой систем.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валидации данных после миграции.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3.2.8. Нечёткость требований к интеграциям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Интеграция с Министерством здравоохранения — есть ли готовый API? Каков его формат?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Интеграция с Е-Кызмат — каковы конкретные сервисы и их статус доступности?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WMS-сервис по геоданным — нет требований к формату, системе координат, слоям карты.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 указаны тайм-ауты, логика повторных попыток (retry) при недоступности внешних сервисов.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описания тестовых контуров (sandbox) для интеграций.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3.2.9. Неполные требования к безопасности персональных данных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Система обрабатывает медицинские данные (медсправки, диагнозы по МКБ-10) — это особая категория ПД.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шифрованию данных в покое (at rest).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анонимизации / псевдонимизации данных.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описания политики хранения и удаления персональных данных.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согласию субъекта ПД при сборе данных.</w:t>
      </w:r>
    </w:p>
    <w:p>
      <w:pPr>
        <w:spacing w:after="200"/>
      </w:pPr>
    </w:p>
    <w:p>
      <w:pPr>
        <w:spacing w:before="240" w:after="120"/>
      </w:pPr>
      <w:r>
        <w:rPr>
          <w:b/>
          <w:bCs/>
          <w:color w:val="2B6CB0"/>
          <w:sz w:val="22"/>
          <w:szCs w:val="22"/>
        </w:rPr>
        <w:t xml:space="preserve">3.2.10. Нет требований к тестированию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покрытию кода юнит-тестами (%, минимальный порог).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автоматизированному тестированию (UI, API).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тестированию безопасности (penetration test).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Нет требований к регрессионному тестированию при обновлениях.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4. Реестр рисков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900"/>
        <w:gridCol w:w="2926"/>
      </w:tblGrid>
      <w:tr>
        <w:trPr>
          <w:tblHeader/>
        </w:trPr>
        <w:tc>
          <w:tcPr>
            <w:tcW w:type="dxa" w:w="29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9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 на стоимость</w:t>
            </w:r>
          </w:p>
        </w:tc>
        <w:tc>
          <w:tcPr>
            <w:tcW w:type="dxa" w:w="29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7442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Изменение требований после начала разработки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+20–40%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Обязательная аналитическая фаза (мес. 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Задержки в подключении к Түндүк / Е-Кызмат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+500K–1.5M KGS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Начать переговоры до тендера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Занижение объёма онлайн-заявлений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+1.5M–5M KGS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Провести инвентаризацию госуслуг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Недостаточный бюджет → выбор слабого исполнителя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Риск провала проекта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Увеличить бюджет до реалистичного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Сопротивление сотрудников при внедрении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+200K–500K KGS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Обучение и change management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Отсутствие тест.контура у внешних систем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+300K–700K KGS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Прописать в договоре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«Зоопарк технологий» → сложность поддержки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Высокая (если не зафиксировать)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Долгосрочный риск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Зафиксировать стек в ЧТЗ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Проблемы с миграцией данных из текущего сайта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+300K–1M KGS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Аудит текущих данных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5. Рекомендации</w:t>
      </w: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5.1. До объявления тендера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Провести полноценную аналитическую работу: описать все ключевые бизнес-процессы в нотации BPMN или IDEF0.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Составить реестр всех типов онлайн-заявлений с описанием каждой формы, маршрута и участников.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Уточнить требования к аналитическим отчётам совместно с руководством ГАФКиС.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Получить подтверждение от Минцифры о доступности нужных сервисов Түндүк и Е-Кызмат.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Зафиксировать технологический стек (выбрать 1–2 языка backend, 1 frontend).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Провести аудит текущего сайта ГАФКиС и оценить объём данных для миграции.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Пересмотреть бюджет: реалистичный минимум — 25–30 млн KGS без техподдержки.</w:t>
      </w:r>
    </w:p>
    <w:p>
      <w:pPr>
        <w:spacing w:after="2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5.2. Структура тендерной документации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Разделить ТЗ на основное ТЗ + Частные ТЗ (ЧТЗ) по каждому модулю.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Включить в ЧТЗ: макеты экранов, описание полей форм, сценарии использования (use cases).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Прописать чёткие критерии приёмки (definition of done) для каждого этапа.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Включить требование пентеста (тест на проникновение) перед сдачей.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Прописать штрафные санкции за нарушение сроков и требований к качеству.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Рассмотреть поэтапную сдачу с промежуточными платежами (milestone-based).</w:t>
      </w:r>
    </w:p>
    <w:p>
      <w:pPr>
        <w:spacing w:after="200"/>
      </w:pPr>
    </w:p>
    <w:p>
      <w:pPr>
        <w:pStyle w:val="Heading2"/>
        <w:spacing w:before="300" w:after="160"/>
      </w:pPr>
      <w:r>
        <w:rPr>
          <w:b/>
          <w:bCs/>
          <w:color w:val="2C5282"/>
          <w:sz w:val="24"/>
          <w:szCs w:val="24"/>
        </w:rPr>
        <w:t xml:space="preserve">5.3. Подход к разработке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Рекомендуется Agile/Scrum с 2-недельными спринтами и регулярными демо для заказчика.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Первым должен быть разработан MVP: внешний портал + регистры + базовые онлайн-заявления.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Интеграции следует начинать параллельно с основной разработкой, но с mock-заглушками.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Обязательно: инфраструктура CI/CD с первого дня разработки.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A365D"/>
          <w:sz w:val="28"/>
          <w:szCs w:val="28"/>
        </w:rPr>
        <w:t xml:space="preserve">6. Итоговая сравнительная таблица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600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 ТЗ (текущее)</w:t>
            </w:r>
          </w:p>
        </w:tc>
        <w:tc>
          <w:tcPr>
            <w:tcW w:type="dxa" w:w="3626"/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Рекомендуемое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Общая стоимость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13 000 000 KGS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25 000 000 – 35 000 000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Срок разработки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19 месяцев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19–24 месяца (при увеличении команды)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Аналитическая фаза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Совмещена с разработкой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Выделить отдельно: 1–2 месяца до тендера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Бизнес-процессы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 описаны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Обязательно: BPMN/IDEF0 для всех ключевых БП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Онлайн-заявления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 проработаны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Реестр заявлений, формы, маршруты,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 технологий без привязки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2–3 ключевых технологии с обоснованием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Требования к отчётности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 определены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Перечень отчётов согласован с заказчиком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Требования к тестированию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Минимальные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Покрытие юнит-тестами, API-тесты, пентест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 сек на страницу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 более 3 сек, RPS для нагрузочного теста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Безопасность ПД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Базовые требования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Шифрование at-rest, согласие ПД, политика хранения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2C5282"/>
                <w:sz w:val="20"/>
                <w:szCs w:val="20"/>
              </w:rPr>
              <w:t xml:space="preserve">Данная оценка носит предварительный характер и требует уточнения после проведения детальной аналитики бизнес-процессов, инвентаризации госуслуг и подтверждения доступности внешних интеграций. Итоговая стоимость должна быть согласована на основе детализированного ЧТЗ.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E3F8" w:sz="2" w:space="4"/>
      </w:pBdr>
      <w:spacing w:before="200"/>
      <w:jc w:val="center"/>
    </w:pPr>
    <w:r>
      <w:rPr>
        <w:color w:val="718096"/>
        <w:sz w:val="18"/>
        <w:szCs w:val="18"/>
      </w:rPr>
      <w:t xml:space="preserve">Страница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из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E3F8" w:sz="2" w:space="4"/>
      </w:pBdr>
      <w:spacing w:after="200"/>
      <w:jc w:val="right"/>
    </w:pPr>
    <w:r>
      <w:rPr>
        <w:color w:val="718096"/>
        <w:sz w:val="18"/>
        <w:szCs w:val="18"/>
      </w:rPr>
      <w:t xml:space="preserve">АИС «eSport» — Оценка стоимости и анализ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2026-03-09T09:19:49.101Z</dcterms:created>
  <dcterms:modified xsi:type="dcterms:W3CDTF">2026-03-09T09:19:49.102Z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