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Ответы на вопросы по модулю «Лицензии»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АИС «ГП Эко Оператор» — брифинг для фронтенд-разработчика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 апреля 2026 г.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|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Версия: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1.0 (финальная)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Согласовано с заказчиком (МПРЭТН КР, письмо № 16-819/Сл от 15.04.2026) и нормативной базой — Закон КР № 195 от 19.10.2023 (ст. 14), Постановление КМ КР № 678 от 14.12.2023 (гл. 64).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 — финальные ответы по твоей нумерации вопросов плюс всё, что нужно знать для старта работы. Если что-то непонятно — сначала смотри ТЗ в репозитории, потом пиши тимлиду. Заказчику напрямую вопросы не задавай — всё уже собрано.</w:t>
      </w:r>
    </w:p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Прямые ответы на твои 6 вопросов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Нужен ли созданный Переработчик до создания лицензии?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Нет. Лицензию может получить любой субъект обращения с отходами — юрлицо или ИП: переработчик, полигон ТБО, пункт приёма или сторонняя организация. В модели полиморфная связь: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applicant_type:   RECYCLER | LANDFILL | COLLECTION_POINT | OTHER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applicant_entity: LEGAL_ENTITY | SOLE_PROPRIETOR  (физлица НЕ поддерживаются)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applicant_id:     nullable FK (null для OTHER)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applicant_name, applicant_inn: NOT NULL (денормализация)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Поле «Наименование организации» — список переработчиков?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Двухшаговый селектор: «Тип заявителя» → список из соответствующей таблицы (/api/recyclers, /api/landfills, /api/collection-points, фильтр status=ACTIVE). Для OTHER — ручной ввод названия и ИНН.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«Принять / Отклонить» — кто и на каком уровне делает?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Сотрудник МПРЭТН (роль EMPLOYEE). Решение принимается на уровне заявки (LicenseApplication), не самой лицензии. Лицензия создаётся только при одобрении заявки. Новую роль «Инспектор» не заводим — ФИО инспектора это текстовое поле в секции выезда.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Номер лицензии — автогенерация или ручной ввод?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Автогенерация на бэке при approve. Формат </w:t>
      </w:r>
      <w:r>
        <w:rPr>
          <w:rFonts w:ascii="Consolas" w:cs="Consolas" w:eastAsia="Consolas" w:hAnsi="Consolas"/>
          <w:sz w:val="20"/>
          <w:szCs w:val="20"/>
        </w:rPr>
        <w:t xml:space="preserve">ЛП-{YYYY}-{NNNN}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сквозная нумерация по году (пример: </w:t>
      </w:r>
      <w:r>
        <w:rPr>
          <w:rFonts w:ascii="Consolas" w:cs="Consolas" w:eastAsia="Consolas" w:hAnsi="Consolas"/>
          <w:sz w:val="20"/>
          <w:szCs w:val="20"/>
        </w:rPr>
        <w:t xml:space="preserve">ЛП-2026-0001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На фронте поле disabled, показывается только после успешного одобрения.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Автозаполнение адреса и контактов из реестра?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Нет, ручной ввод всех полей. Автоматически подставляй только название и ИНН после выбора организации. Заказчик подтвердил — данные в лицензии могут отличаться от реквизитов в реестре (например, деятельность по другому адресу).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2E75B6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Кому выдаётся лицензия?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Юридическим лицам и индивидуальным предпринимателям. Физическим лицам — нет.</w:t>
      </w:r>
    </w:p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Правила процесса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рассмотрения — 30 календарных дней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(ст. 14 Закона № 195). В заявке поле deadline = submitted_at + 30 дней. В UI сотрудника нужен индикатор и подсветка просроченных.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Выезд на объект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обязателен для всех типов лицензий. Проводится внутри 30-дневного окна (не сверх него). Акт выезда на бумаге — в АИС только метаданные: дата, ФИО инспектора, комментарий.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действия лицензии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вводится вручную сотрудником. Бессрочных не бывает — опцию «бессрочно» не добавляй.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Публичный реестр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только выданные лицензии. Заявки и отклонённые запросы не публикуются.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Переоформление / продление / отчуждение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НЕ в MVP. Отложено во вторую итерацию.</w:t>
      </w:r>
    </w:p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Виды лицензий (enum, не таблица)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Значения стабильные, регулируются законом. Отдельной таблицы не делаем. Эндпойнт: GET /api/enums/license-types.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COLLECTION        — Сбор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TRANSPORTATION    — Транспортировка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PROCESSING        — Обработка (переработка)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NEUTRALIZATION    — Обезвреживание (уничтожение)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STORAGE_DISPOSAL  — Хранение (захоронение)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COMPLEX           — Комплексная</w:t>
      </w:r>
    </w:p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Основания отказа (закрытый перечень по ст. 14 Закона № 195)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Свободный текст причины запрещён. Только селектор из 5 значений. Опциональное поле rejection_comment для уточнений.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LEGAL_PROHIBITION   — Запрет законодательства для данной категории субъектов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COURT_DECISION      — Решение суда, запрещающее деятельность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INVALID_INFO        — Недостоверная или неполная информация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DOCUMENTS_MISMATCH  — Документы не соответствуют требованиям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FEE_NOT_PAID        — Госпошлина не внесена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PDF-уведомление об отказе генерируется сотрудником по кнопке «Скачать уведомление».</w:t>
      </w:r>
    </w:p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Документы заявки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Базовые — для всех видов лицензий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Заявление установленной формы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Свидетельство о госрегистрации юрлица / ИП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Квитанция госпошлины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только при офлайн-оплате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онлайн-оплате запись в payments создаётся автоматически, отдельный файл не требуется.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Дополнительные — для PROCESSING, NEUTRALIZATION, STORAGE_DISPOSAL, COMPLEX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Постановлению КМ КР № 678 от 14.12.2023, гл. 64, п. 396: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о праве собственности на объекты размещения отходов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государственной экологической экспертизы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Экологическое обоснование деятельности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о ведомственной охране / договор о вневедомственной охране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санэпиднадзора и пожарной инспекции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Информация о системе контроля качества работ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средств измерений и испытательного оборудования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о поверке / метрологической аттестации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Информация о сотрудниках (ИТР с профильным образованием)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default"/>
      </w:r>
    </w:p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Оплата госпошлины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Два режима оплаты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Онлайн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на финальном шаге заявитель нажимает «Оплатить и отправить», редирект в платёжный шлюз, webhook переводит заявку в SUBMITTED.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Офлайн (fallback)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заявитель оплатил вне АИС (касса/терминал), загружает скан квитанции; сотрудник подтверждает оплату вручную.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Провайдер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default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Возврат средств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Возврат через АИС НЕ реализуется. Если заявитель хочет вернуть деньги — пишет письменное обращение в МПРЭТН, возврат идёт через казначейство вне АИС.</w:t>
      </w:r>
    </w:p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Переоткрытие заявки (критическое правило!)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устранимом отказе заявитель повторно подаёт документы с той же квитанцией — новая оплата не требуется.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REJECTED ──[кнопка "Доработать" у заявителя]──▶ DRAFT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│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▼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SUBMITTED  (без новой оплаты)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переоткрытии: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Платёж остаётся привязанным к заявке (один LicenseApplication = один Payment).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давности у квитанции отсутствует — действительна до момента выдачи лицензии.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Тарифы по всем видам лицензий одинаковые, смена вида при повторной подаче не требует доплаты.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Ограничений на количество переоткрытий нет.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аудита истории — отдельная таблица application_revisions (снимок полей на момент каждого submit).</w:t>
      </w:r>
    </w:p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State machine заявки (финальная)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DRAFT ──submit(online)──▶ PAYMENT_PENDING ──webhook(success)──▶ SUBMITTED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──webhook(fail)────▶ DRAFT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──timeout──────────▶ DRAFT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DRAFT ──submit(offline)──▶ SUBMITTED  (payment.manual_confirmed=false)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SUBMITTED ──accept()──▶ UNDER_REVIEW ──site_visit()──▶ SITE_VISIT_DONE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──approve()──▶ APPROVED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──reject()───▶ REJECTED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SUBMITTED / UNDER_REVIEW ──reject()──▶ REJECTED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REJECTED ──reopen()──▶ DRAFT   (без новой оплаты)</w:t>
      </w:r>
    </w:p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Границы MVP и оценка объёма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В MVP: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Первичная выдача лицензии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Онлайн-оплата (провайдер-агностично) + офлайн-квитанция как fallback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Переоткрытие отклонённой заявки с той же квитанцией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PDF-уведомление об отказе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Публичный реестр выданных лицензий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НЕ в MVP (вторая итерация):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Переоформление лицензии (6 оснований по ст. 14 Закона № 195)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Отчуждение, продление, реструктуризация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Автоматический возврат госпошлины через API провайдера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Отдельная роль «Инспектор»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Физлица как заявители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реальным платёжным провайдером (после выбора)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Оценка: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Бэкенд (лицензии)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~2 дня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Бэкенд (платежи с абстракцией + mock)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+1 день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Фронтенд (формы + экран сотрудника + реестр)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~2 дня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Интеграционное тестирование и правки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~1 день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MVP (без конкретного провайдера)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 рабочих дней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Подключение реального провайдера (после выбора)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+1–2 дня</w:t>
            </w:r>
          </w:p>
        </w:tc>
      </w:tr>
    </w:tbl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Рекомендованный порядок работы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Бэк: миграции V18–V20 → Entity → Controllers → Services → PDF-генератор → проверка через Swagger.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Бэк: платёжный модуль с абстракцией + mock (интерфейс и mock уже готовы — см. kg.eco.operator.service.payment).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Фронт: форма подачи в ЛК → экран рассмотрения для сотрудника → публичный реестр → замена моков.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Интеграционное тестирование (happy path + переоткрытие + webhook-идемпотентность).</w:t>
      </w:r>
    </w:p>
    <w:p>
      <w:pPr>
        <w:pBdr>
          <w:bottom w:val="single" w:color="2E75B6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Контакты и документация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Полная техническая спецификация — в docs/specs/licenses-module-v1.0.md (схемы таблиц, API-эндпойнты, требования безопасности webhook).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Стартовые артефакты (миграции V18–V20, PaymentProvider + MockPaymentProvider) — в отдельном пакете, предоставленном тимлидом.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default"/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разработчику — модуль Лицензии</dc:title>
  <dc:creator>АИС ГП Эко Оператор</dc:creator>
  <cp:lastModifiedBy>Un-named</cp:lastModifiedBy>
  <cp:revision>1</cp:revision>
  <dcterms:created xsi:type="dcterms:W3CDTF">2026-04-21T09:27:13.205Z</dcterms:created>
  <dcterms:modified xsi:type="dcterms:W3CDTF">2026-04-21T09:27:13.207Z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