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МИНИСТЕРСТВО ПРИРОДНЫХ РЕСУРСОВ, ЭКОЛОГИИ</w:t>
      </w:r>
    </w:p>
    <w:p>
      <w:pPr>
        <w:spacing w:after="60"/>
        <w:jc w:val="center"/>
      </w:pPr>
      <w:r>
        <w:rPr>
          <w:rFonts w:ascii="Times New Roman" w:cs="Times New Roman" w:eastAsia="Times New Roman" w:hAnsi="Times New Roman"/>
          <w:b/>
          <w:bCs/>
          <w:sz w:val="22"/>
          <w:szCs w:val="22"/>
        </w:rPr>
        <w:t xml:space="preserve">И ТЕХНИЧЕСКОГО НАДЗОРА КЫРГЫЗСКОЙ РЕСПУБЛИКИ</w:t>
      </w:r>
    </w:p>
    <w:p>
      <w:pPr>
        <w:pBdr>
          <w:bottom w:val="single" w:color="000000" w:sz="6" w:space="4"/>
        </w:pBdr>
        <w:spacing w:after="360"/>
        <w:jc w:val="center"/>
      </w:pPr>
      <w:r>
        <w:rPr>
          <w:rFonts w:ascii="Times New Roman" w:cs="Times New Roman" w:eastAsia="Times New Roman" w:hAnsi="Times New Roman"/>
          <w:i/>
          <w:iCs/>
          <w:sz w:val="22"/>
          <w:szCs w:val="22"/>
        </w:rPr>
        <w:t xml:space="preserve">АИС «ГП Эко Оператор»</w:t>
      </w:r>
    </w:p>
    <w:p>
      <w:pPr>
        <w:spacing w:after="240" w:before="240"/>
        <w:jc w:val="center"/>
      </w:pPr>
      <w:r>
        <w:rPr>
          <w:rFonts w:ascii="Times New Roman" w:cs="Times New Roman" w:eastAsia="Times New Roman" w:hAnsi="Times New Roman"/>
          <w:b/>
          <w:bCs/>
          <w:sz w:val="32"/>
          <w:szCs w:val="32"/>
        </w:rPr>
        <w:t xml:space="preserve">ПРОТОКОЛ СОГЛАСОВАНИЯ</w:t>
      </w:r>
    </w:p>
    <w:p>
      <w:pPr>
        <w:spacing w:after="360"/>
        <w:jc w:val="center"/>
      </w:pPr>
      <w:r>
        <w:rPr>
          <w:rFonts w:ascii="Times New Roman" w:cs="Times New Roman" w:eastAsia="Times New Roman" w:hAnsi="Times New Roman"/>
          <w:b/>
          <w:bCs/>
          <w:sz w:val="26"/>
          <w:szCs w:val="26"/>
        </w:rPr>
        <w:t xml:space="preserve">Модуль «Лицензии в сфере обращения с отходами»</w:t>
      </w:r>
    </w:p>
    <w:p>
      <w:pPr>
        <w:spacing w:after="120"/>
      </w:pPr>
      <w:r>
        <w:rPr>
          <w:rFonts w:ascii="Times New Roman" w:cs="Times New Roman" w:eastAsia="Times New Roman" w:hAnsi="Times New Roman"/>
          <w:b/>
          <w:bCs/>
          <w:sz w:val="24"/>
          <w:szCs w:val="24"/>
        </w:rPr>
        <w:t xml:space="preserve">Дата составления: </w:t>
      </w:r>
      <w:r>
        <w:rPr>
          <w:rFonts w:ascii="Times New Roman" w:cs="Times New Roman" w:eastAsia="Times New Roman" w:hAnsi="Times New Roman"/>
          <w:sz w:val="24"/>
          <w:szCs w:val="24"/>
        </w:rPr>
        <w:t xml:space="preserve">21 апреля 2026 г.</w:t>
      </w:r>
    </w:p>
    <w:p>
      <w:pPr>
        <w:spacing w:after="360"/>
      </w:pPr>
      <w:r>
        <w:rPr>
          <w:rFonts w:ascii="Times New Roman" w:cs="Times New Roman" w:eastAsia="Times New Roman" w:hAnsi="Times New Roman"/>
          <w:b/>
          <w:bCs/>
          <w:sz w:val="24"/>
          <w:szCs w:val="24"/>
        </w:rPr>
        <w:t xml:space="preserve">Версия: </w:t>
      </w:r>
      <w:r>
        <w:rPr>
          <w:rFonts w:ascii="Times New Roman" w:cs="Times New Roman" w:eastAsia="Times New Roman" w:hAnsi="Times New Roman"/>
          <w:sz w:val="24"/>
          <w:szCs w:val="24"/>
        </w:rPr>
        <w:t xml:space="preserve">1.0 (финальная)</w:t>
      </w:r>
    </w:p>
    <w:p>
      <w:pPr>
        <w:spacing w:after="120" w:before="240"/>
      </w:pPr>
      <w:r>
        <w:rPr>
          <w:rFonts w:ascii="Times New Roman" w:cs="Times New Roman" w:eastAsia="Times New Roman" w:hAnsi="Times New Roman"/>
          <w:b/>
          <w:bCs/>
          <w:sz w:val="28"/>
          <w:szCs w:val="28"/>
        </w:rPr>
        <w:t xml:space="preserve">1. Стороны</w:t>
      </w:r>
    </w:p>
    <w:p>
      <w:pPr>
        <w:spacing w:after="120" w:line="276"/>
        <w:jc w:val="both"/>
      </w:pPr>
      <w:r>
        <w:rPr>
          <w:rFonts w:ascii="Times New Roman" w:cs="Times New Roman" w:eastAsia="Times New Roman" w:hAnsi="Times New Roman"/>
          <w:sz w:val="24"/>
          <w:szCs w:val="24"/>
        </w:rPr>
        <w:t xml:space="preserve">Заказчик — Министерство природных ресурсов, экологии и технического надзора Кыргызской Республики (МПРЭТН КР), Управление устойчивого обращения с отходами и сточными водами.</w:t>
      </w:r>
    </w:p>
    <w:p>
      <w:pPr>
        <w:spacing w:after="120" w:line="276"/>
        <w:jc w:val="both"/>
      </w:pPr>
      <w:r>
        <w:rPr>
          <w:rFonts w:ascii="Times New Roman" w:cs="Times New Roman" w:eastAsia="Times New Roman" w:hAnsi="Times New Roman"/>
          <w:sz w:val="24"/>
          <w:szCs w:val="24"/>
        </w:rPr>
        <w:t xml:space="preserve">Исполнитель — команда разработки автоматизированной информационной системы (АИС) «ГП Эко Оператор».</w:t>
      </w:r>
    </w:p>
    <w:p>
      <w:pPr>
        <w:spacing w:after="120" w:before="240"/>
      </w:pPr>
      <w:r>
        <w:rPr>
          <w:rFonts w:ascii="Times New Roman" w:cs="Times New Roman" w:eastAsia="Times New Roman" w:hAnsi="Times New Roman"/>
          <w:b/>
          <w:bCs/>
          <w:sz w:val="28"/>
          <w:szCs w:val="28"/>
        </w:rPr>
        <w:t xml:space="preserve">2. Основание</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Закон Кыргызской Республики № 195 от 19.10.2023 «О лицензионно-разрешительной системе в Кыргызской Республике», статья 14.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Постановление Кабинета Министров Кыргызской Республики № 678 от 14.12.2023 «О вопросах лицензирования отдельных видов деятельности», глава 64.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Официальное письмо МПРЭТН КР № 16-819/Сл от 15.04.2026 с разъяснением порядка выдачи лицензий в сфере обращения с отходами.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Переписка с Заказчиком в период 17–21 апреля 2026 года по уточнению пользовательских сценариев и правил процесса.</w:t>
      </w:r>
    </w:p>
    <w:p>
      <w:pPr>
        <w:spacing w:after="120" w:before="240"/>
      </w:pPr>
      <w:r>
        <w:rPr>
          <w:rFonts w:ascii="Times New Roman" w:cs="Times New Roman" w:eastAsia="Times New Roman" w:hAnsi="Times New Roman"/>
          <w:b/>
          <w:bCs/>
          <w:sz w:val="28"/>
          <w:szCs w:val="28"/>
        </w:rPr>
        <w:t xml:space="preserve">3. Предмет согласования</w:t>
      </w:r>
    </w:p>
    <w:p>
      <w:pPr>
        <w:spacing w:after="120" w:line="276"/>
        <w:jc w:val="both"/>
      </w:pPr>
      <w:r>
        <w:rPr>
          <w:rFonts w:ascii="Times New Roman" w:cs="Times New Roman" w:eastAsia="Times New Roman" w:hAnsi="Times New Roman"/>
          <w:sz w:val="24"/>
          <w:szCs w:val="24"/>
        </w:rPr>
        <w:t xml:space="preserve">Процесс выдачи лицензий в сфере обращения с отходами, реализуемый в АИС «ГП Эко Оператор», первая очередь (MVP).</w:t>
      </w:r>
    </w:p>
    <w:p>
      <w:pPr>
        <w:spacing w:after="120" w:before="240"/>
      </w:pPr>
      <w:r>
        <w:rPr>
          <w:rFonts w:ascii="Times New Roman" w:cs="Times New Roman" w:eastAsia="Times New Roman" w:hAnsi="Times New Roman"/>
          <w:b/>
          <w:bCs/>
          <w:sz w:val="28"/>
          <w:szCs w:val="28"/>
        </w:rPr>
        <w:t xml:space="preserve">4. Согласованные решения</w:t>
      </w:r>
    </w:p>
    <w:p>
      <w:pPr>
        <w:spacing w:after="80" w:before="180"/>
      </w:pPr>
      <w:r>
        <w:rPr>
          <w:rFonts w:ascii="Times New Roman" w:cs="Times New Roman" w:eastAsia="Times New Roman" w:hAnsi="Times New Roman"/>
          <w:b/>
          <w:bCs/>
          <w:sz w:val="26"/>
          <w:szCs w:val="26"/>
        </w:rPr>
        <w:t xml:space="preserve">4.1. Участники процесса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Заявитель — юридическое лицо или индивидуальный предприниматель.</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Сотрудник МПРЭТН КР.</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Инспектор или секретарь комиссии, проводящий выезд на объект.</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Платёжная система (конкретный провайдер уточняется).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Публичные пользователи — для просмотра реестра выданных лицензий.</w:t>
      </w:r>
    </w:p>
    <w:p>
      <w:pPr>
        <w:spacing w:after="80" w:before="180"/>
      </w:pPr>
      <w:r>
        <w:rPr>
          <w:rFonts w:ascii="Times New Roman" w:cs="Times New Roman" w:eastAsia="Times New Roman" w:hAnsi="Times New Roman"/>
          <w:b/>
          <w:bCs/>
          <w:sz w:val="26"/>
          <w:szCs w:val="26"/>
        </w:rPr>
        <w:t xml:space="preserve">4.2. Виды лицензий</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Сбор</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Транспортировка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Обработка (переработка)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Обезвреживание (уничтожение)</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Хранение (захоронение)</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Комплексная</w:t>
      </w:r>
    </w:p>
    <w:p>
      <w:pPr>
        <w:spacing w:after="120" w:line="276"/>
        <w:jc w:val="both"/>
      </w:pPr>
      <w:r>
        <w:rPr>
          <w:rFonts w:ascii="Times New Roman" w:cs="Times New Roman" w:eastAsia="Times New Roman" w:hAnsi="Times New Roman"/>
          <w:sz w:val="24"/>
          <w:szCs w:val="24"/>
        </w:rPr>
        <w:t xml:space="preserve">Тарифы государственной пошлины по всем видам лицензий одинаковые.</w:t>
      </w:r>
    </w:p>
    <w:p>
      <w:pPr>
        <w:spacing w:after="80" w:before="180"/>
      </w:pPr>
      <w:r>
        <w:rPr>
          <w:rFonts w:ascii="Times New Roman" w:cs="Times New Roman" w:eastAsia="Times New Roman" w:hAnsi="Times New Roman"/>
          <w:b/>
          <w:bCs/>
          <w:sz w:val="26"/>
          <w:szCs w:val="26"/>
        </w:rPr>
        <w:t xml:space="preserve">4.3. Пакет документов</w:t>
      </w:r>
    </w:p>
    <w:p>
      <w:pPr>
        <w:spacing w:after="60" w:before="120"/>
      </w:pPr>
      <w:r>
        <w:rPr>
          <w:rFonts w:ascii="Times New Roman" w:cs="Times New Roman" w:eastAsia="Times New Roman" w:hAnsi="Times New Roman"/>
          <w:b/>
          <w:bCs/>
          <w:sz w:val="24"/>
          <w:szCs w:val="24"/>
        </w:rPr>
        <w:t xml:space="preserve">Базовый пакет (для всех видов лицензий):</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Заявление установленной формы.</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Копия свидетельства о государственной регистрации юридического лица или индивидуального предпринимателя.</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Копия документа, подтверждающего оплату государственной пошлины (при офлайн-оплате).</w:t>
      </w:r>
    </w:p>
    <w:p>
      <w:pPr>
        <w:spacing w:after="60" w:before="180"/>
      </w:pPr>
      <w:r>
        <w:rPr>
          <w:rFonts w:ascii="Times New Roman" w:cs="Times New Roman" w:eastAsia="Times New Roman" w:hAnsi="Times New Roman"/>
          <w:b/>
          <w:bCs/>
          <w:sz w:val="24"/>
          <w:szCs w:val="24"/>
        </w:rPr>
        <w:t xml:space="preserve">Дополнительный пакет (для лицензий на обработку/переработку, обезвреживание/уничтожение, хранение/захоронение, комплексная — согласно Постановлению № 678, глава 64, пункт 396):</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Документы, подтверждающие право собственности или иное законное основание владения объектами размещения отходов.</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Заключение государственной экологической экспертизы.</w:t>
      </w:r>
    </w:p>
    <w:p>
      <w:pPr>
        <w:pStyle w:val="ListParagraph"/>
        <w:numPr>
          <w:ilvl w:val="0"/>
          <w:numId w:val="3"/>
        </w:numPr>
        <w:spacing w:after="60" w:line="276"/>
        <w:jc w:val="both"/>
      </w:pPr>
      <w:r>
        <w:rPr>
          <w:rFonts w:ascii="Times New Roman" w:cs="Times New Roman" w:eastAsia="Times New Roman" w:hAnsi="Times New Roman"/>
          <w:sz w:val="24"/>
          <w:szCs w:val="24"/>
        </w:rPr>
        <w:t xml:space="preserve">Экологическое обоснование данного вида деятельности.</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Копия приказа об организации ведомственной охраны либо копия договора о вневедомственной охране.</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Заключение государственных органов санитарно-эпидемиологического надзора и пожарной инспекции.</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Информация о системе контроля качества выполняемых работ.</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Перечень применяемых средств измерений и испытательного оборудования с указанием метрологических характеристик.</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Документы, подтверждающие поверку или метрологическую аттестацию средств измерений.</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Информация о сотрудниках, в том числе об инженерно-технических специалистах, имеющих профильное высшее, техническое или профессиональное образование и практический опыт работы с отходами I–V классов опасности.</w:t>
      </w:r>
    </w:p>
    <w:p>
      <w:pPr>
        <w:spacing w:after="80" w:before="180"/>
      </w:pPr>
      <w:r>
        <w:rPr>
          <w:rFonts w:ascii="Times New Roman" w:cs="Times New Roman" w:eastAsia="Times New Roman" w:hAnsi="Times New Roman"/>
          <w:b/>
          <w:bCs/>
          <w:sz w:val="26"/>
          <w:szCs w:val="26"/>
        </w:rPr>
        <w:t xml:space="preserve">4.4. Процесс выдачи лицензии</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Заявитель подаёт заявку в личном кабинете АИС с приложением установленного комплекта документов и подтверждением оплаты государственной пошлины (онлайн или офлайн).</w:t>
      </w:r>
    </w:p>
    <w:p>
      <w:pPr>
        <w:pStyle w:val="ListParagraph"/>
        <w:numPr>
          <w:ilvl w:val="0"/>
          <w:numId w:val="3"/>
        </w:numPr>
        <w:spacing w:after="60" w:line="276"/>
        <w:jc w:val="both"/>
      </w:pPr>
      <w:r>
        <w:rPr>
          <w:rFonts w:ascii="Times New Roman" w:cs="Times New Roman" w:eastAsia="Times New Roman" w:hAnsi="Times New Roman"/>
          <w:sz w:val="24"/>
          <w:szCs w:val="24"/>
        </w:rPr>
        <w:t xml:space="preserve">Сотрудник МПРЭТН проверяет комплектность документов и факт оплаты; принимает заявку к рассмотрению либо отклоняет с указанием основания.</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Инспектор или секретарь комиссии проводит выезд на объект заявителя (обязательно для всех типов лицензий, в пределах 30-дневного срока рассмотрения).</w:t>
      </w:r>
    </w:p>
    <w:p>
      <w:pPr>
        <w:pStyle w:val="ListParagraph"/>
        <w:numPr>
          <w:ilvl w:val="0"/>
          <w:numId w:val="3"/>
        </w:numPr>
        <w:spacing w:after="60" w:line="276"/>
        <w:jc w:val="both"/>
      </w:pPr>
      <w:r>
        <w:rPr>
          <w:rFonts w:ascii="Times New Roman" w:cs="Times New Roman" w:eastAsia="Times New Roman" w:hAnsi="Times New Roman"/>
          <w:sz w:val="24"/>
          <w:szCs w:val="24"/>
        </w:rPr>
        <w:t xml:space="preserve">Сотрудник МПРЭТН принимает финальное решение — выдать лицензию или отклонить заявку.</w:t>
      </w:r>
    </w:p>
    <w:p>
      <w:pPr>
        <w:pStyle w:val="ListParagraph"/>
        <w:numPr>
          <w:ilvl w:val="0"/>
          <w:numId w:val="3"/>
        </w:numPr>
        <w:spacing w:after="60" w:line="276"/>
        <w:jc w:val="both"/>
      </w:pPr>
      <w:r>
        <w:rPr>
          <w:rFonts w:ascii="Times New Roman" w:cs="Times New Roman" w:eastAsia="Times New Roman" w:hAnsi="Times New Roman"/>
          <w:sz w:val="24"/>
          <w:szCs w:val="24"/>
        </w:rPr>
        <w:t xml:space="preserve">При выдаче лицензия автоматически публикуется в публичном реестре.</w:t>
      </w:r>
    </w:p>
    <w:p>
      <w:pPr>
        <w:spacing w:after="80" w:before="180"/>
      </w:pPr>
      <w:r>
        <w:rPr>
          <w:rFonts w:ascii="Times New Roman" w:cs="Times New Roman" w:eastAsia="Times New Roman" w:hAnsi="Times New Roman"/>
          <w:b/>
          <w:bCs/>
          <w:sz w:val="26"/>
          <w:szCs w:val="26"/>
        </w:rPr>
        <w:t xml:space="preserve">4.5. Ключевые правила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Нормативный срок рассмотрения заявки — 30 календарных дней со дня подачи полного пакета документов (статья 14 Закона № 195).</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Выезд на объект является обязательным для всех типов лицензий и проводится внутри 30-дневного срока.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Основания отказа в выдаче лицензии — закрытый перечень из пяти пунктов согласно статье 14 Закона № 195: (1) запрет законодательства для данной категории субъектов; (2) решение суда, запрещающее деятельность; (3) недостоверная или неполная информация; (4) несоответствие документов требованиям; (5) невнесение государственной пошлины.</w:t>
      </w:r>
    </w:p>
    <w:p>
      <w:pPr>
        <w:pStyle w:val="ListParagraph"/>
        <w:numPr>
          <w:ilvl w:val="0"/>
          <w:numId w:val="2"/>
        </w:numPr>
        <w:spacing w:after="60" w:line="276"/>
        <w:jc w:val="both"/>
      </w:pPr>
      <w:r>
        <w:rPr>
          <w:rFonts w:ascii="Times New Roman" w:cs="Times New Roman" w:eastAsia="Times New Roman" w:hAnsi="Times New Roman"/>
          <w:sz w:val="24"/>
          <w:szCs w:val="24"/>
        </w:rPr>
        <w:t xml:space="preserve">Уведомление об отказе формируется в АИС в виде PDF-документа и направляется заявителю в письменном виде.</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Акт выезда на объект оформляется на бумажном носителе и хранится у комиссии; в АИС фиксируются только метаданные выезда (дата, ФИО инспектора, комментарий).</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Номер выдаваемой лицензии формируется автоматически в формате ЛП-ГГГГ-НННН со сквозной нумерацией по году.</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Бессрочные лицензии не предусмотрены; срок действия указывается сотрудником при выдаче.</w:t>
      </w:r>
    </w:p>
    <w:p>
      <w:pPr>
        <w:spacing w:after="80" w:before="180"/>
      </w:pPr>
      <w:r>
        <w:rPr>
          <w:rFonts w:ascii="Times New Roman" w:cs="Times New Roman" w:eastAsia="Times New Roman" w:hAnsi="Times New Roman"/>
          <w:b/>
          <w:bCs/>
          <w:sz w:val="26"/>
          <w:szCs w:val="26"/>
        </w:rPr>
        <w:t xml:space="preserve">4.6. Оплата государственной пошлины</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Основной способ оплаты — онлайн-оплата через платёжный шлюз. Конкретный платёжный провайдер будет выбран дополнительно; архитектура АИС реализована провайдер-агностично и позволяет подключить провайдера без переработки модуля.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Альтернативный способ — подтверждение офлайн-оплаты через загрузку скана квитанции с последующим ручным подтверждением сотрудником МПРЭТН.</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Возврат средств через АИС не реализуется. В случаях, предусмотренных законодательством, заявитель обращается за возвратом письменно в МПРЭТН; возврат оформляется через казначейство вне рамок АИС.</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При отказе в выдаче лицензии по устранимым основаниям заявитель вправе повторно подать те же документы после доработки без повторной оплаты государственной пошлины. Срок действия квитанции об оплате не ограничен. Если при повторной подаче изменён вид запрашиваемой лицензии — ранее уплаченная пошлина засчитывается в полном объёме.</w:t>
      </w:r>
    </w:p>
    <w:p>
      <w:pPr>
        <w:spacing w:after="80" w:before="180"/>
      </w:pPr>
      <w:r>
        <w:rPr>
          <w:rFonts w:ascii="Times New Roman" w:cs="Times New Roman" w:eastAsia="Times New Roman" w:hAnsi="Times New Roman"/>
          <w:b/>
          <w:bCs/>
          <w:sz w:val="26"/>
          <w:szCs w:val="26"/>
        </w:rPr>
        <w:t xml:space="preserve">4.7. Публичный реестр лицензий</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В публичном реестре отображаются только выданные (действующие) лицензии.</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Заявки и отклонённые запросы в публичном реестре не публикуются.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Поиск в реестре осуществляется по номеру лицензии, ИНН и наименованию заявителя.</w:t>
      </w:r>
    </w:p>
    <w:p>
      <w:pPr>
        <w:spacing w:after="80" w:before="180"/>
      </w:pPr>
      <w:r>
        <w:rPr>
          <w:rFonts w:ascii="Times New Roman" w:cs="Times New Roman" w:eastAsia="Times New Roman" w:hAnsi="Times New Roman"/>
          <w:b/>
          <w:bCs/>
          <w:sz w:val="26"/>
          <w:szCs w:val="26"/>
        </w:rPr>
        <w:t xml:space="preserve">4.8. Категории заявителей</w:t>
      </w:r>
    </w:p>
    <w:p>
      <w:pPr>
        <w:spacing w:after="120" w:line="276"/>
        <w:jc w:val="both"/>
      </w:pPr>
      <w:r>
        <w:rPr>
          <w:rFonts w:ascii="Times New Roman" w:cs="Times New Roman" w:eastAsia="Times New Roman" w:hAnsi="Times New Roman"/>
          <w:sz w:val="24"/>
          <w:szCs w:val="24"/>
        </w:rPr>
        <w:t xml:space="preserve">Лицензия в сфере обращения с отходами может быть выдана юридическим лицам и индивидуальным предпринимателям. Физические лица в качестве заявителей не предусмотрены.</w:t>
      </w:r>
    </w:p>
    <w:p>
      <w:pPr>
        <w:spacing w:after="120" w:before="240"/>
      </w:pPr>
      <w:r>
        <w:rPr>
          <w:rFonts w:ascii="Times New Roman" w:cs="Times New Roman" w:eastAsia="Times New Roman" w:hAnsi="Times New Roman"/>
          <w:b/>
          <w:bCs/>
          <w:sz w:val="28"/>
          <w:szCs w:val="28"/>
        </w:rPr>
        <w:t xml:space="preserve">5. Исключения из MVP (отложено во вторую итерацию)</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Переоформление лицензии по шести основаниям статьи 14 Закона № 195 (реорганизация, изменение наименования, смена ФИО, изменение адреса, отчуждение, продление срока действия, реструктуризация).</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Автоматический возврат государственной пошлины через API платёжного провайдера.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Отдельная системная роль «Инспектор» (в MVP ФИО инспектора указывается как текстовое поле).</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Интеграция с конкретным платёжным провайдером (реализуется после его выбора).</w:t>
      </w:r>
    </w:p>
    <w:p>
      <w:pPr>
        <w:pStyle w:val="ListParagraph"/>
        <w:numPr>
          <w:ilvl w:val="0"/>
          <w:numId w:val="2"/>
        </w:numPr>
        <w:spacing w:after="60" w:line="276"/>
        <w:jc w:val="both"/>
      </w:pPr>
      <w:r>
        <w:rPr>
          <w:rFonts w:ascii="Times New Roman" w:cs="Times New Roman" w:eastAsia="Times New Roman" w:hAnsi="Times New Roman"/>
          <w:sz w:val="24"/>
          <w:szCs w:val="24"/>
        </w:rPr>
        <w:t xml:space="preserve">Прикрепление акта выезда на объект к записи лицензии в АИС.</w:t>
      </w:r>
    </w:p>
    <w:p>
      <w:pPr>
        <w:spacing w:after="120" w:before="240"/>
      </w:pPr>
      <w:r>
        <w:rPr>
          <w:rFonts w:ascii="Times New Roman" w:cs="Times New Roman" w:eastAsia="Times New Roman" w:hAnsi="Times New Roman"/>
          <w:b/>
          <w:bCs/>
          <w:sz w:val="28"/>
          <w:szCs w:val="28"/>
        </w:rPr>
        <w:t xml:space="preserve">6. Подтверждение</w:t>
      </w:r>
    </w:p>
    <w:p>
      <w:pPr>
        <w:spacing w:after="120" w:line="276"/>
        <w:jc w:val="both"/>
      </w:pPr>
      <w:r>
        <w:rPr>
          <w:rFonts w:ascii="Times New Roman" w:cs="Times New Roman" w:eastAsia="Times New Roman" w:hAnsi="Times New Roman"/>
          <w:sz w:val="24"/>
          <w:szCs w:val="24"/>
        </w:rPr>
        <w:t xml:space="preserve">Заказчик подтверждает, что описанные в настоящем Протоколе решения соответствуют действующему порядку выдачи лицензий в сфере обращения с отходами и могут быть приняты в реализацию первой очереди АИС.</w:t>
      </w:r>
    </w:p>
    <w:p>
      <w:pPr>
        <w:spacing w:after="120" w:line="276"/>
        <w:jc w:val="both"/>
      </w:pPr>
      <w:r>
        <w:rPr>
          <w:rFonts w:ascii="Times New Roman" w:cs="Times New Roman" w:eastAsia="Times New Roman" w:hAnsi="Times New Roman"/>
          <w:sz w:val="24"/>
          <w:szCs w:val="24"/>
        </w:rPr>
        <w:t xml:space="preserve">Исполнитель обязуется реализовать модуль «Лицензии» в соответствии с настоящим Протоколом и прилагаемым техническим заданием.</w:t>
      </w:r>
    </w:p>
    <w:p>
      <w:pPr>
        <w:spacing w:after="120" w:before="240"/>
      </w:pPr>
      <w:r>
        <w:rPr>
          <w:rFonts w:ascii="Times New Roman" w:cs="Times New Roman" w:eastAsia="Times New Roman" w:hAnsi="Times New Roman"/>
          <w:b/>
          <w:bCs/>
          <w:sz w:val="28"/>
          <w:szCs w:val="28"/>
        </w:rPr>
        <w:t xml:space="preserve">7. Подписи сторон</w:t>
      </w:r>
    </w:p>
    <w:p>
      <w:r>
        <w:t xml:space="preserve"/>
      </w:r>
    </w:p>
    <w:p>
      <w:pPr>
        <w:spacing w:after="100"/>
      </w:pPr>
      <w:r>
        <w:rPr>
          <w:rFonts w:ascii="Times New Roman" w:cs="Times New Roman" w:eastAsia="Times New Roman" w:hAnsi="Times New Roman"/>
          <w:b/>
          <w:bCs/>
          <w:sz w:val="24"/>
          <w:szCs w:val="24"/>
        </w:rPr>
        <w:t xml:space="preserve">От Заказчика:</w:t>
      </w:r>
    </w:p>
    <w:p>
      <w:pPr>
        <w:tabs>
          <w:tab w:val="right" w:pos="9026"/>
        </w:tabs>
        <w:spacing w:after="200"/>
      </w:pPr>
      <w:r>
        <w:rPr>
          <w:rFonts w:ascii="Times New Roman" w:cs="Times New Roman" w:eastAsia="Times New Roman" w:hAnsi="Times New Roman"/>
          <w:sz w:val="24"/>
          <w:szCs w:val="24"/>
        </w:rPr>
        <w:t xml:space="preserve">Должность: </w:t>
      </w:r>
      <w:r>
        <w:rPr>
          <w:rFonts w:ascii="Times New Roman" w:cs="Times New Roman" w:eastAsia="Times New Roman" w:hAnsi="Times New Roman"/>
          <w:sz w:val="24"/>
          <w:szCs w:val="24"/>
        </w:rPr>
        <w:t xml:space="preserve">____________________________________________________________</w:t>
      </w:r>
    </w:p>
    <w:p>
      <w:pPr>
        <w:tabs>
          <w:tab w:val="right" w:pos="9026"/>
        </w:tabs>
        <w:spacing w:after="200"/>
      </w:pPr>
      <w:r>
        <w:rPr>
          <w:rFonts w:ascii="Times New Roman" w:cs="Times New Roman" w:eastAsia="Times New Roman" w:hAnsi="Times New Roman"/>
          <w:sz w:val="24"/>
          <w:szCs w:val="24"/>
        </w:rPr>
        <w:t xml:space="preserve">ФИО: </w:t>
      </w:r>
      <w:r>
        <w:rPr>
          <w:rFonts w:ascii="Times New Roman" w:cs="Times New Roman" w:eastAsia="Times New Roman" w:hAnsi="Times New Roman"/>
          <w:sz w:val="24"/>
          <w:szCs w:val="24"/>
        </w:rPr>
        <w:t xml:space="preserve">____________________________________________________________</w:t>
      </w:r>
    </w:p>
    <w:p>
      <w:pPr>
        <w:tabs>
          <w:tab w:val="right" w:pos="9026"/>
        </w:tabs>
        <w:spacing w:after="400"/>
      </w:pPr>
      <w:r>
        <w:rPr>
          <w:rFonts w:ascii="Times New Roman" w:cs="Times New Roman" w:eastAsia="Times New Roman" w:hAnsi="Times New Roman"/>
          <w:sz w:val="24"/>
          <w:szCs w:val="24"/>
        </w:rPr>
        <w:t xml:space="preserve">Подпись: </w:t>
      </w:r>
      <w:r>
        <w:rPr>
          <w:rFonts w:ascii="Times New Roman" w:cs="Times New Roman" w:eastAsia="Times New Roman" w:hAnsi="Times New Roman"/>
          <w:sz w:val="24"/>
          <w:szCs w:val="24"/>
        </w:rPr>
        <w:t xml:space="preserve">______________________________</w:t>
      </w:r>
      <w:r>
        <w:rPr>
          <w:rFonts w:ascii="Times New Roman" w:cs="Times New Roman" w:eastAsia="Times New Roman" w:hAnsi="Times New Roman"/>
          <w:sz w:val="24"/>
          <w:szCs w:val="24"/>
        </w:rPr>
        <w:t xml:space="preserve">	Дата: </w:t>
      </w:r>
      <w:r>
        <w:rPr>
          <w:rFonts w:ascii="Times New Roman" w:cs="Times New Roman" w:eastAsia="Times New Roman" w:hAnsi="Times New Roman"/>
          <w:sz w:val="24"/>
          <w:szCs w:val="24"/>
        </w:rPr>
        <w:t xml:space="preserve">____________________</w:t>
      </w:r>
    </w:p>
    <w:p>
      <w:r>
        <w:t xml:space="preserve"/>
      </w:r>
    </w:p>
    <w:p>
      <w:pPr>
        <w:spacing w:after="100"/>
      </w:pPr>
      <w:r>
        <w:rPr>
          <w:rFonts w:ascii="Times New Roman" w:cs="Times New Roman" w:eastAsia="Times New Roman" w:hAnsi="Times New Roman"/>
          <w:b/>
          <w:bCs/>
          <w:sz w:val="24"/>
          <w:szCs w:val="24"/>
        </w:rPr>
        <w:t xml:space="preserve">От Исполнителя:</w:t>
      </w:r>
    </w:p>
    <w:p>
      <w:pPr>
        <w:tabs>
          <w:tab w:val="right" w:pos="9026"/>
        </w:tabs>
        <w:spacing w:after="200"/>
      </w:pPr>
      <w:r>
        <w:rPr>
          <w:rFonts w:ascii="Times New Roman" w:cs="Times New Roman" w:eastAsia="Times New Roman" w:hAnsi="Times New Roman"/>
          <w:sz w:val="24"/>
          <w:szCs w:val="24"/>
        </w:rPr>
        <w:t xml:space="preserve">Должность: </w:t>
      </w:r>
      <w:r>
        <w:rPr>
          <w:rFonts w:ascii="Times New Roman" w:cs="Times New Roman" w:eastAsia="Times New Roman" w:hAnsi="Times New Roman"/>
          <w:sz w:val="24"/>
          <w:szCs w:val="24"/>
        </w:rPr>
        <w:t xml:space="preserve">____________________________________________________________</w:t>
      </w:r>
    </w:p>
    <w:p>
      <w:pPr>
        <w:tabs>
          <w:tab w:val="right" w:pos="9026"/>
        </w:tabs>
        <w:spacing w:after="200"/>
      </w:pPr>
      <w:r>
        <w:rPr>
          <w:rFonts w:ascii="Times New Roman" w:cs="Times New Roman" w:eastAsia="Times New Roman" w:hAnsi="Times New Roman"/>
          <w:sz w:val="24"/>
          <w:szCs w:val="24"/>
        </w:rPr>
        <w:t xml:space="preserve">ФИО: </w:t>
      </w:r>
      <w:r>
        <w:rPr>
          <w:rFonts w:ascii="Times New Roman" w:cs="Times New Roman" w:eastAsia="Times New Roman" w:hAnsi="Times New Roman"/>
          <w:sz w:val="24"/>
          <w:szCs w:val="24"/>
        </w:rPr>
        <w:t xml:space="preserve">____________________________________________________________</w:t>
      </w:r>
    </w:p>
    <w:p>
      <w:pPr>
        <w:tabs>
          <w:tab w:val="right" w:pos="9026"/>
        </w:tabs>
        <w:spacing w:after="400"/>
      </w:pPr>
      <w:r>
        <w:rPr>
          <w:rFonts w:ascii="Times New Roman" w:cs="Times New Roman" w:eastAsia="Times New Roman" w:hAnsi="Times New Roman"/>
          <w:sz w:val="24"/>
          <w:szCs w:val="24"/>
        </w:rPr>
        <w:t xml:space="preserve">Подпись: </w:t>
      </w:r>
      <w:r>
        <w:rPr>
          <w:rFonts w:ascii="Times New Roman" w:cs="Times New Roman" w:eastAsia="Times New Roman" w:hAnsi="Times New Roman"/>
          <w:sz w:val="24"/>
          <w:szCs w:val="24"/>
        </w:rPr>
        <w:t xml:space="preserve">______________________________</w:t>
      </w:r>
      <w:r>
        <w:rPr>
          <w:rFonts w:ascii="Times New Roman" w:cs="Times New Roman" w:eastAsia="Times New Roman" w:hAnsi="Times New Roman"/>
          <w:sz w:val="24"/>
          <w:szCs w:val="24"/>
        </w:rPr>
        <w:t xml:space="preserve">	Дата: </w:t>
      </w:r>
      <w:r>
        <w:rPr>
          <w:rFonts w:ascii="Times New Roman" w:cs="Times New Roman" w:eastAsia="Times New Roman" w:hAnsi="Times New Roman"/>
          <w:sz w:val="24"/>
          <w:szCs w:val="24"/>
        </w:rPr>
        <w:t xml:space="preserve">____________________</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 согласования модуля Лицензии</dc:title>
  <dc:creator>АИС ГП Эко Оператор</dc:creator>
  <cp:lastModifiedBy>Un-named</cp:lastModifiedBy>
  <cp:revision>1</cp:revision>
  <dcterms:created xsi:type="dcterms:W3CDTF">2026-04-21T09:06:04.966Z</dcterms:created>
  <dcterms:modified xsi:type="dcterms:W3CDTF">2026-04-21T09:06:04.970Z</dcterms:modified>
</cp:coreProperties>
</file>

<file path=docProps/custom.xml><?xml version="1.0" encoding="utf-8"?>
<Properties xmlns="http://schemas.openxmlformats.org/officeDocument/2006/custom-properties" xmlns:vt="http://schemas.openxmlformats.org/officeDocument/2006/docPropsVTypes"/>
</file>