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Реферальная программа РР — сводная таблица расхождений источников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Дата сборки: </w:t>
      </w:r>
      <w:r>
        <w:rPr>
          <w:rFonts w:ascii="Arial" w:cs="Arial" w:eastAsia="Arial" w:hAnsi="Arial"/>
          <w:sz w:val="20"/>
          <w:szCs w:val="20"/>
        </w:rPr>
        <w:t xml:space="preserve">2026-05-13.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Сравнение трёх источников по реф-программе: docx Ирины (25.02.2026), Bitrix #67031 (Никита Икрамов), макет Miro. Жёлтая заливка в правой колонке — параметры, по которым есть прямые конфликты или требуется решение до запуска.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  <w:gridCol w:w="2700"/>
        <w:gridCol w:w="297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 / параметр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docx Ирины (25.02.2026)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Bitrix #67031 (Никита Икрамов)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Miro CJM (виджет реф-программы)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 / открытый вопрос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Платформа / охват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Отдельный реферальный личный кабинет (веб). Структура из 6 разделов.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Реф-программа внутри мобильного приложения (продуктовая постановка).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CJM-виджет: мобильный сценарий приглашения.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Зафиксировать оба контура: in-app в #67031, отдельный реф-кабинет в #53413. Единые правила и ссылки.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Ставка за регистрацию / статус СМЗ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 ₽ за получение статуса самозанятого (СМЗ).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предусмотрено.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предусмотрено.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Решить, платим ли до выхода в смену. Если да — обосновать антифрод (риск массовых регистраций).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Ставка за 1-ю смену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 ₽.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1 500 ₽.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 ₽.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Расхождение 500 vs 1 500 ₽. Решение от Никиты + маркетинга, опереться на исторические данные Google Sheets.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Ставка за дальнейшие смены / итого за цикл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3 000 ₽ за 10-ю смену (промежуточные шаги не описаны).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+4 000 ₽ за 5-ю смену; итого 5 500 ₽ за полный цикл.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+1 000 ₽ за 5-ю смену; итого 1 500 ₽.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Единая шкала: согласовать «контрольные точки» (1-я / 5-я / 10-я) и суммы. Считать LTV-окупаемость.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Многоуровневая программа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Есть: 2-й и 3-й уровень реф-дерева тоже приносят доход.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Явно не описано (одноуровневая).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Явно не описано.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Принять решение MVP: одноуровневая или с 2-3 уровнями. От этого зависит юнит-экономика и антифрод.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Что такое «выход в смену»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уточнено явно.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Успешно отработанная и подтверждённая заказчиком смена (после уточнения Александра Гришаева).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уточнено явно.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Уже зафиксировано в #67031. Перенести формулировку в реф-кабинет и в правила.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Статусы участника (Новичок / Эксперт / …)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Есть. От статуса зависит размер вознаграждения.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Решить: войдут ли статусы в MVP или в фазу 2. Если да — описать переходы и множители.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Реф-ссылка и её инструменты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Создание ссылки + редактирование тегов + QR-код + готовые шаблоны сообщений.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Базовая реф-ссылка (in-app).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Передача ссылки через стандартные каналы.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 MVP: ссылка + копирование + share. QR и шаблоны — фаза 2, если ресурсов мало.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Профиль и геймификация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Ачивки в карточке профиля, история заработка/выплат, рейтинги/конкурсы (топ месяца).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Бэклог. Подтвердить, что в MVP без ачивок и конкурсов; иначе вырастет скоуп.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Каналы выплат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Два канала: СМЗ (ИНН + номер карты) и ИП (реквизиты → письмо бухгалтеру).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Канал явно не описан в задаче.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Согласовать с финансами: автомат vs ручной бухгалтерский, лимиты, периодичность, налогообложение.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Кто платит реферальные (свои клиенты vs клиенты-партнёры)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разделено.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разделено.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разделено.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Цитата Ирины 2026-05-05 (#53413): пометить клиентов «акционными», считать только их заявки. Решение от Ирины + Александра + финансов.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Поддержка и FAQ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Тикет-система (рассмотреть una-desk) + FAQ/инструкции по кабинету.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описано.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Решить, поднимаем una-desk сейчас или используем существующий канал поддержки.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Новые бонусы, статус кандидатов, колокольчик в кабинете.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Описаны частично (in-app push).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Точки касания на CJM.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Свести в единый список событий (registered / first shift / payout) и каналов (push, email, in-app).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Реализация через ИИ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упомянуто.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упомянуто.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упомянуто.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Цитата Александра Мартыненко (#53413, 2026-05-05) «пробуем тестово реализовать через ИИ». Уточнить: реф-кабинет целиком, антифрод или только аналитика.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Открытые вопросы (блокирующие)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Ставки выплат — три версии. </w:t>
      </w:r>
      <w:r>
        <w:rPr>
          <w:rFonts w:ascii="Arial" w:cs="Arial" w:eastAsia="Arial" w:hAnsi="Arial"/>
          <w:sz w:val="22"/>
          <w:szCs w:val="22"/>
        </w:rPr>
        <w:t xml:space="preserve">docx: 100/500/3 000 ₽; #67031: —/1 500/5 500 ₽; Miro: —/500/1 500 ₽. Решение: Никита Икрамов + Ирина Зараева + маркетинг.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Многоуровневость. </w:t>
      </w:r>
      <w:r>
        <w:rPr>
          <w:rFonts w:ascii="Arial" w:cs="Arial" w:eastAsia="Arial" w:hAnsi="Arial"/>
          <w:sz w:val="22"/>
          <w:szCs w:val="22"/>
        </w:rPr>
        <w:t xml:space="preserve">docx предполагает 2-й и 3-й уровень. В #67031 и Miro — нет. Нужно решение product-команды.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Чьи заявки считаются. </w:t>
      </w:r>
      <w:r>
        <w:rPr>
          <w:rFonts w:ascii="Arial" w:cs="Arial" w:eastAsia="Arial" w:hAnsi="Arial"/>
          <w:sz w:val="22"/>
          <w:szCs w:val="22"/>
        </w:rPr>
        <w:t xml:space="preserve">Цитата Ирины (#53413, 2026-05-05): пометить клиентов «акционными», считать только их. Решение: Ирина + Александр Мартыненко + финансы.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Реализация через ИИ. </w:t>
      </w:r>
      <w:r>
        <w:rPr>
          <w:rFonts w:ascii="Arial" w:cs="Arial" w:eastAsia="Arial" w:hAnsi="Arial"/>
          <w:sz w:val="22"/>
          <w:szCs w:val="22"/>
        </w:rPr>
        <w:t xml:space="preserve">Цитата Александра Мартыненко (#53413, 2026-05-05). Что именно: кабинет, антифрод или аналитика.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Состав MVP. </w:t>
      </w:r>
      <w:r>
        <w:rPr>
          <w:rFonts w:ascii="Arial" w:cs="Arial" w:eastAsia="Arial" w:hAnsi="Arial"/>
          <w:sz w:val="22"/>
          <w:szCs w:val="22"/>
        </w:rPr>
        <w:t xml:space="preserve">Какие блоки из docx идут в первый запуск, какие в бэклог: статусы участника, QR, шаблоны, ачивки, рейтинги, una-desk.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Источники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docx Ирины (25.02.2026): </w:t>
      </w:r>
      <w:r>
        <w:rPr>
          <w:rFonts w:ascii="Arial" w:cs="Arial" w:eastAsia="Arial" w:hAnsi="Arial"/>
          <w:sz w:val="20"/>
          <w:szCs w:val="20"/>
        </w:rPr>
        <w:t xml:space="preserve">«Документ Microsoft Word (3) (1).docx», приложен в чат Bitrix24 #53413. Содержит структуру отдельного реф-кабинета на 6 разделов.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Bitrix24 #67031: </w:t>
      </w:r>
      <w:r>
        <w:rPr>
          <w:rFonts w:ascii="Arial" w:cs="Arial" w:eastAsia="Arial" w:hAnsi="Arial"/>
          <w:sz w:val="20"/>
          <w:szCs w:val="20"/>
        </w:rPr>
        <w:t xml:space="preserve">«Реферальная система», постановщик/исполнитель Никита Икрамов. https://workhands.bitrix24.ru/company/personal/user/1355/tasks/task/view/67031/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Bitrix24 #53413: </w:t>
      </w:r>
      <w:r>
        <w:rPr>
          <w:rFonts w:ascii="Arial" w:cs="Arial" w:eastAsia="Arial" w:hAnsi="Arial"/>
          <w:sz w:val="20"/>
          <w:szCs w:val="20"/>
        </w:rPr>
        <w:t xml:space="preserve">«Ярлыки для приложения v2», постановщик Ирина Зараева, исполнитель Александр Мартыненко. https://workhands.bitrix24.ru/company/personal/user/1355/tasks/task/view/53413/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Miro CJM: </w:t>
      </w:r>
      <w:r>
        <w:rPr>
          <w:rFonts w:ascii="Arial" w:cs="Arial" w:eastAsia="Arial" w:hAnsi="Arial"/>
          <w:sz w:val="20"/>
          <w:szCs w:val="20"/>
        </w:rPr>
        <w:t xml:space="preserve">Виджет реф-программы. https://miro.com/app/board/uXjVG7wPHPQ=/?moveToWidget=3458764664940347430&amp;cot=14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Sheets — стоимость привлечения: </w:t>
      </w:r>
      <w:r>
        <w:rPr>
          <w:rFonts w:ascii="Arial" w:cs="Arial" w:eastAsia="Arial" w:hAnsi="Arial"/>
          <w:sz w:val="20"/>
          <w:szCs w:val="20"/>
        </w:rPr>
        <w:t xml:space="preserve">https://docs.google.com/spreadsheets/d/1hx2CqiGSWvngTh6mDoAfy26Kq9DWWBbd257ifu7Gf_c/</w:t>
      </w:r>
    </w:p>
    <w:sectPr>
      <w:pgSz w:w="11906" w:h="16838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2026-05-13T10:19:55.052Z</dcterms:created>
  <dcterms:modified xsi:type="dcterms:W3CDTF">2026-05-13T10:19:55.052Z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