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pStyle w:val="Title"/>
      </w:pPr>
      <w:r>
        <w:t xml:space="preserve">Реферальная программа «Рабочие Руки»</w:t>
      </w:r>
    </w:p>
    <w:p>
      <w:pPr>
        <w:pStyle w:val="Subtitle"/>
      </w:pPr>
      <w:r>
        <w:t xml:space="preserve">Версия 0.1 (черновик) • 13 мая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Документ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ТЗ. Реферальная программа для исполнителей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Черновик. Собран на основе задач Bitrix24 и макета Miro. Требует согласования.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Связанные задачи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Bitrix24 #67031 «Реферальная система», Bitrix24 #53413 «Ярлыки для приложения v2», ранее — #52339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Постановщики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Никита Икрамов (#67031), Ирина Зараева (#53413)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Исполнитель / соисполнители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Александр Мартыненко, Азамат Псеунов, Ирина Зараева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Дата составления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13 мая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Автор сборки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Cowork (Claude) на основе материалов задач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Контекст и предпосылки</w:t>
      </w:r>
    </w:p>
    <w:p>
      <w:r>
        <w:t xml:space="preserve">В сервисе «Рабочие Руки» средняя стоимость привлечения исполнителя, который вышел в первую смену, составляет 2 863 ₽; стоимость исполнителя, дошедшего до пятой смены, — 7 434,6 ₽. Данные собраны маркетингом за 5 месяцев (октябрь 2025 — февраль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Месяц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Стоимость исполнителя (1 смена), ₽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Стоимость исполнителя (5 смена), ₽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Октябрь 2025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2 841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6 320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Ноябрь 2025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2 742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6 635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Декабрь 2025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2 747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8 461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Январь 2026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2 984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8 193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Февраль 2026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3 003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7 564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Среднее за 5 месяцев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2 863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7 434,6</w:t>
            </w:r>
          </w:p>
        </w:tc>
      </w:tr>
    </w:tbl>
    <w:p>
      <w:r>
        <w:rPr>
          <w:i/>
          <w:iCs/>
          <w:color w:val="808080"/>
        </w:rPr>
        <w:t xml:space="preserve">Источник: задача Bitrix24 #67031, таблица в Google Sheets — см. раздел «Источники».</w:t>
      </w:r>
    </w:p>
    <w:p>
      <w:r>
        <w:t xml:space="preserve"/>
      </w:r>
    </w:p>
    <w:p>
      <w:r>
        <w:t xml:space="preserve">Параллельно ставится задача №53413 о реферальном кабинете и единой системе ссылок: маркетинг и партнёры берут реферальные ссылки из одного места, а статистика по переходам и установкам собирается без AppMetrica.</w:t>
      </w:r>
    </w:p>
    <w:p>
      <w:pPr>
        <w:pStyle w:val="Heading1"/>
      </w:pPr>
      <w:r>
        <w:t xml:space="preserve">2. Цели и метрики успеха</w:t>
      </w:r>
    </w:p>
    <w:p>
      <w:pPr>
        <w:pStyle w:val="Heading2"/>
      </w:pPr>
      <w:r>
        <w:t xml:space="preserve">2.1 Бизнес-цели</w:t>
      </w:r>
    </w:p>
    <w:p>
      <w:pPr>
        <w:pStyle w:val="ListParagraph"/>
        <w:numPr>
          <w:ilvl w:val="0"/>
          <w:numId w:val="2"/>
        </w:numPr>
      </w:pPr>
      <w:r>
        <w:t xml:space="preserve">Снизить стоимость привлечения активного исполнителя за счёт реферальной программы.</w:t>
      </w:r>
    </w:p>
    <w:p>
      <w:pPr>
        <w:pStyle w:val="ListParagraph"/>
        <w:numPr>
          <w:ilvl w:val="0"/>
          <w:numId w:val="2"/>
        </w:numPr>
      </w:pPr>
      <w:r>
        <w:t xml:space="preserve">Получить органический канал привлечения с понятной экономикой и предсказуемой выплатой.</w:t>
      </w:r>
    </w:p>
    <w:p>
      <w:pPr>
        <w:pStyle w:val="ListParagraph"/>
        <w:numPr>
          <w:ilvl w:val="0"/>
          <w:numId w:val="2"/>
        </w:numPr>
      </w:pPr>
      <w:r>
        <w:t xml:space="preserve">Унифицировать систему ссылок: одна точка для рефералов и для маркетинга, единые UTM/атрибуция.</w:t>
      </w:r>
    </w:p>
    <w:p>
      <w:pPr>
        <w:pStyle w:val="ListParagraph"/>
        <w:numPr>
          <w:ilvl w:val="0"/>
          <w:numId w:val="2"/>
        </w:numPr>
      </w:pPr>
      <w:r>
        <w:t xml:space="preserve">Снять зависимость от внешнего трекера (AppMetrica): атрибуция установок и целевых действий — внутри платформы.</w:t>
      </w:r>
    </w:p>
    <w:p>
      <w:pPr>
        <w:pStyle w:val="Heading2"/>
      </w:pPr>
      <w:r>
        <w:t xml:space="preserve">2.2 Метрики успеха</w:t>
      </w:r>
    </w:p>
    <w:p>
      <w:r>
        <w:t xml:space="preserve">По каждому приглашающему и в агрегате считаем воронку рефералов:</w:t>
      </w:r>
    </w:p>
    <w:p>
      <w:pPr>
        <w:pStyle w:val="ListParagraph"/>
        <w:numPr>
          <w:ilvl w:val="0"/>
          <w:numId w:val="3"/>
        </w:numPr>
      </w:pPr>
      <w:r>
        <w:t xml:space="preserve">Скачали мобильное приложение по реф-ссылке.</w:t>
      </w:r>
    </w:p>
    <w:p>
      <w:pPr>
        <w:pStyle w:val="ListParagraph"/>
        <w:numPr>
          <w:ilvl w:val="0"/>
          <w:numId w:val="3"/>
        </w:numPr>
      </w:pPr>
      <w:r>
        <w:t xml:space="preserve">Авторизовались (создали учётную запись).</w:t>
      </w:r>
    </w:p>
    <w:p>
      <w:pPr>
        <w:pStyle w:val="ListParagraph"/>
        <w:numPr>
          <w:ilvl w:val="0"/>
          <w:numId w:val="3"/>
        </w:numPr>
      </w:pPr>
      <w:r>
        <w:t xml:space="preserve">Подключились к платформе (заполнили анкету и реквизиты).</w:t>
      </w:r>
    </w:p>
    <w:p>
      <w:pPr>
        <w:pStyle w:val="ListParagraph"/>
        <w:numPr>
          <w:ilvl w:val="0"/>
          <w:numId w:val="3"/>
        </w:numPr>
      </w:pPr>
      <w:r>
        <w:t xml:space="preserve">Вышли в 1-ю смену (с подтверждением заказчика).</w:t>
      </w:r>
    </w:p>
    <w:p>
      <w:pPr>
        <w:pStyle w:val="ListParagraph"/>
        <w:numPr>
          <w:ilvl w:val="0"/>
          <w:numId w:val="3"/>
        </w:numPr>
      </w:pPr>
      <w:r>
        <w:t xml:space="preserve">Вышли в 5-ю смену.</w:t>
      </w:r>
    </w:p>
    <w:p>
      <w:r>
        <w:t xml:space="preserve"/>
      </w:r>
    </w:p>
    <w:p>
      <w:r>
        <w:t xml:space="preserve">Целевые KPI программы (черновик, требуют согласования):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Базовый замер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Стоимость привлечения исполнителя в 1-ю смену, ₽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≤ 1 500 ₽ (вместо 2 863 ₽)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Среднее за окт.2025 – фев.2026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Стоимость привлечения исполнителя в 5-ю смену, ₽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≤ 5 500 ₽ (вместо 7 434,6 ₽)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То же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Доля рефералов в общем потоке регистраций, %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Уточнить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Конверсия «скачал → 1-я смена» по реф-каналу, %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Уточнить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Доля приглашённых, дошедших до 5-й смены, %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Уточнить</w:t>
            </w:r>
          </w:p>
        </w:tc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</w:pPr>
      <w:r>
        <w:t xml:space="preserve">3. Гипотеза и экономическое обоснование</w:t>
      </w:r>
    </w:p>
    <w:p>
      <w:r>
        <w:t xml:space="preserve">Гипотеза: тот же объём трафика можно получать дешевле, если выплачивать бонусы исполнителям-рефералам и приглашающим вместо платного трафика.</w:t>
      </w:r>
    </w:p>
    <w:p>
      <w:pPr>
        <w:pStyle w:val="Heading2"/>
      </w:pPr>
      <w:r>
        <w:t xml:space="preserve">3.1 Сценарий из задачи #67031 (актуальная редакция)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200"/>
        <w:gridCol w:w="1960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Действие реферала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Выплата приглашающему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Текущая стоимость канала</w:t>
            </w:r>
          </w:p>
        </w:tc>
        <w:tc>
          <w:tcPr>
            <w:tcW w:type="dxa" w:w="19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Ожидаемая экономия на 1 человека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Вышел в 1-ю смену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1 500 ₽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2 863 ₽</w:t>
            </w:r>
          </w:p>
        </w:tc>
        <w:tc>
          <w:tcPr>
            <w:tcW w:type="dxa" w:w="19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1 363 ₽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Дошёл до 5-й смены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ещё 4 000 ₽ (итого 5 500 ₽)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7 434,6 ₽</w:t>
            </w:r>
          </w:p>
        </w:tc>
        <w:tc>
          <w:tcPr>
            <w:tcW w:type="dxa" w:w="19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1 934,6 ₽</w:t>
            </w:r>
          </w:p>
        </w:tc>
      </w:tr>
    </w:tbl>
    <w:p>
      <w:r>
        <w:rPr>
          <w:i/>
          <w:iCs/>
          <w:color w:val="808080"/>
        </w:rPr>
        <w:t xml:space="preserve">Уточнение из чата задачи (Никита Икрамов): в сумме 5 500 ₽ уже учтены первые 1 500 ₽ за 1-ю смену. То есть общая выплата за полный цикл (1-я + 5-я смена) = 5 500 ₽, а не 1 500 + 5 500.</w:t>
      </w:r>
    </w:p>
    <w:p>
      <w:pPr>
        <w:pStyle w:val="Heading2"/>
      </w:pPr>
      <w:r>
        <w:t xml:space="preserve">3.2 Альтернативный сценарий из макета Miro</w:t>
      </w:r>
    </w:p>
    <w:p>
      <w:r>
        <w:t xml:space="preserve">В текущей версии макета (Miro, доска CJM Рабочие Руки.Mobile) указаны другие суммы:</w:t>
      </w:r>
    </w:p>
    <w:p>
      <w:pPr>
        <w:pStyle w:val="ListParagraph"/>
        <w:numPr>
          <w:ilvl w:val="0"/>
          <w:numId w:val="2"/>
        </w:numPr>
      </w:pPr>
      <w:r>
        <w:t xml:space="preserve">500 ₽ — за выход друга в 1-ю смену.</w:t>
      </w:r>
    </w:p>
    <w:p>
      <w:pPr>
        <w:pStyle w:val="ListParagraph"/>
        <w:numPr>
          <w:ilvl w:val="0"/>
          <w:numId w:val="2"/>
        </w:numPr>
      </w:pPr>
      <w:r>
        <w:t xml:space="preserve">1 000 ₽ — дополнительно за выход в 5-ю смену.</w:t>
      </w:r>
    </w:p>
    <w:p>
      <w:pPr>
        <w:pStyle w:val="ListParagraph"/>
        <w:numPr>
          <w:ilvl w:val="0"/>
          <w:numId w:val="2"/>
        </w:numPr>
      </w:pPr>
      <w:r>
        <w:t xml:space="preserve">Итого 1 500 ₽ за полный цикл.</w:t>
      </w:r>
    </w:p>
    <w:p>
      <w:r>
        <w:t xml:space="preserve"/>
      </w:r>
    </w:p>
    <w:p>
      <w:r>
        <w:rPr>
          <w:b/>
          <w:bCs/>
        </w:rPr>
        <w:t xml:space="preserve">Открытый вопрос:</w:t>
      </w:r>
      <w:r>
        <w:t xml:space="preserve"> финальные ставки выплат должны быть согласованы (см. раздел 14.1). В макете и в задаче — разные цифры.</w:t>
      </w:r>
    </w:p>
    <w:p>
      <w:pPr>
        <w:pStyle w:val="Heading1"/>
      </w:pPr>
      <w:r>
        <w:t xml:space="preserve">4.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Приглашающий (референт)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Зарегистрированный исполнитель РР, который генерирует реферальную ссылку и приглашает новых исполнителей.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Приглашённый (реферал)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Новый пользователь, скачавший приложение или зарегистрировавшийся по реф-ссылке.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Реф-ссылка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Уникальная ссылка с идентификатором приглашающего и/или маркетинговой кампании. Ведёт в магазины приложений или на посадочную страницу.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Кабинет рефералов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Отдельный сайт/кабинет вне мобильного приложения, где любой зарегистрированный человек может получить личную реф-ссылку и видеть статистику переходов.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Атрибуция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Привязка действия (установка, регистрация, выход в смену) к конкретному приглашающему / маркетинговой кампании.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Выход в смену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Успешно отработанная и подтверждённая заказчиком смена. Не считается простая запись/отклик.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Бонус 1-й смены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Выплата приглашающему за то, что приглашённый им исполнитель отработал и закрыл первую смену.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Бонус 5-й смены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Выплата приглашающему за то, что приглашённый исполнитель отработал и закрыл пятую смену.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Акционный клиент</w:t>
            </w:r>
          </w:p>
        </w:tc>
        <w:tc>
          <w:tcPr>
            <w:tcW w:type="dxa" w:w="64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Заказчик, заявки которого участвуют в реферальной программе и стоимость выплат по которым покрывает РР (или сам клиент — см. п. 14.2).</w:t>
            </w:r>
          </w:p>
        </w:tc>
      </w:tr>
    </w:tbl>
    <w:p>
      <w:pPr>
        <w:pStyle w:val="Heading1"/>
      </w:pPr>
      <w:r>
        <w:t xml:space="preserve">5. Роли пользователей</w:t>
      </w:r>
    </w:p>
    <w:p>
      <w:pPr>
        <w:pStyle w:val="Heading2"/>
      </w:pPr>
      <w:r>
        <w:t xml:space="preserve">5.1 Исполнитель-приглашающий</w:t>
      </w:r>
    </w:p>
    <w:p>
      <w:pPr>
        <w:pStyle w:val="ListParagraph"/>
        <w:numPr>
          <w:ilvl w:val="0"/>
          <w:numId w:val="2"/>
        </w:numPr>
      </w:pPr>
      <w:r>
        <w:t xml:space="preserve">Видит в профиле мобильного приложения раздел реферальной программы.</w:t>
      </w:r>
    </w:p>
    <w:p>
      <w:pPr>
        <w:pStyle w:val="ListParagraph"/>
        <w:numPr>
          <w:ilvl w:val="0"/>
          <w:numId w:val="2"/>
        </w:numPr>
      </w:pPr>
      <w:r>
        <w:t xml:space="preserve">Получает свою реф-ссылку, делится ею через системный share.</w:t>
      </w:r>
    </w:p>
    <w:p>
      <w:pPr>
        <w:pStyle w:val="ListParagraph"/>
        <w:numPr>
          <w:ilvl w:val="0"/>
          <w:numId w:val="2"/>
        </w:numPr>
      </w:pPr>
      <w:r>
        <w:t xml:space="preserve">Отслеживает прогресс по каждому приглашённому, может выслать ему инструкцию.</w:t>
      </w:r>
    </w:p>
    <w:p>
      <w:pPr>
        <w:pStyle w:val="ListParagraph"/>
        <w:numPr>
          <w:ilvl w:val="0"/>
          <w:numId w:val="2"/>
        </w:numPr>
      </w:pPr>
      <w:r>
        <w:t xml:space="preserve">Получает бонусы на баланс профиля.</w:t>
      </w:r>
    </w:p>
    <w:p>
      <w:pPr>
        <w:pStyle w:val="Heading2"/>
      </w:pPr>
      <w:r>
        <w:t xml:space="preserve">5.2 Исполнитель-приглашённый</w:t>
      </w:r>
    </w:p>
    <w:p>
      <w:pPr>
        <w:pStyle w:val="ListParagraph"/>
        <w:numPr>
          <w:ilvl w:val="0"/>
          <w:numId w:val="2"/>
        </w:numPr>
      </w:pPr>
      <w:r>
        <w:t xml:space="preserve">Скачивает приложение по реф-ссылке (с deep-link атрибуцией).</w:t>
      </w:r>
    </w:p>
    <w:p>
      <w:pPr>
        <w:pStyle w:val="ListParagraph"/>
        <w:numPr>
          <w:ilvl w:val="0"/>
          <w:numId w:val="2"/>
        </w:numPr>
      </w:pPr>
      <w:r>
        <w:t xml:space="preserve">В своём профиле видит прогресс-бар: какие шаги нужно пройти, чтобы приглашающий получил выплату (что косвенно мотивирует сделать первые смены).</w:t>
      </w:r>
    </w:p>
    <w:p>
      <w:pPr>
        <w:pStyle w:val="ListParagraph"/>
        <w:numPr>
          <w:ilvl w:val="0"/>
          <w:numId w:val="2"/>
        </w:numPr>
      </w:pPr>
      <w:r>
        <w:t xml:space="preserve">После выполнения условий (например, 5 смен) — может также получать бонус (опционально, см. п. 14.3).</w:t>
      </w:r>
    </w:p>
    <w:p>
      <w:pPr>
        <w:pStyle w:val="Heading2"/>
      </w:pPr>
      <w:r>
        <w:t xml:space="preserve">5.3 Маркетинг</w:t>
      </w:r>
    </w:p>
    <w:p>
      <w:pPr>
        <w:pStyle w:val="ListParagraph"/>
        <w:numPr>
          <w:ilvl w:val="0"/>
          <w:numId w:val="2"/>
        </w:numPr>
      </w:pPr>
      <w:r>
        <w:t xml:space="preserve">Использует кабинет рефералов как централизованный генератор ссылок и трекер.</w:t>
      </w:r>
    </w:p>
    <w:p>
      <w:pPr>
        <w:pStyle w:val="ListParagraph"/>
        <w:numPr>
          <w:ilvl w:val="0"/>
          <w:numId w:val="2"/>
        </w:numPr>
      </w:pPr>
      <w:r>
        <w:t xml:space="preserve">Создаёт ссылки под кампании (UTM-разметка) и видит сквозную аналитику установок/регистраций/смен.</w:t>
      </w:r>
    </w:p>
    <w:p>
      <w:pPr>
        <w:pStyle w:val="ListParagraph"/>
        <w:numPr>
          <w:ilvl w:val="0"/>
          <w:numId w:val="2"/>
        </w:numPr>
      </w:pPr>
      <w:r>
        <w:t xml:space="preserve">Может «помечать» клиентов как акционных — чтобы по их заявкам считались реферальные выплаты (см. п. 14.2).</w:t>
      </w:r>
    </w:p>
    <w:p>
      <w:pPr>
        <w:pStyle w:val="Heading2"/>
      </w:pPr>
      <w:r>
        <w:t xml:space="preserve">5.4 Внешний партнёр / любой человек</w:t>
      </w:r>
    </w:p>
    <w:p>
      <w:pPr>
        <w:pStyle w:val="ListParagraph"/>
        <w:numPr>
          <w:ilvl w:val="0"/>
          <w:numId w:val="2"/>
        </w:numPr>
      </w:pPr>
      <w:r>
        <w:t xml:space="preserve">Подключается к кабинету рефералов на сайте без скачивания приложения.</w:t>
      </w:r>
    </w:p>
    <w:p>
      <w:pPr>
        <w:pStyle w:val="ListParagraph"/>
        <w:numPr>
          <w:ilvl w:val="0"/>
          <w:numId w:val="2"/>
        </w:numPr>
      </w:pPr>
      <w:r>
        <w:t xml:space="preserve">Получает свою реф-ссылку для распространения вне сервиса.</w:t>
      </w:r>
    </w:p>
    <w:p>
      <w:pPr>
        <w:pStyle w:val="ListParagraph"/>
        <w:numPr>
          <w:ilvl w:val="0"/>
          <w:numId w:val="2"/>
        </w:numPr>
      </w:pPr>
      <w:r>
        <w:t xml:space="preserve">Получает выплаты по правилам, согласованным отдельно (см. п. 14.4).</w:t>
      </w:r>
    </w:p>
    <w:p>
      <w:pPr>
        <w:pStyle w:val="Heading2"/>
      </w:pPr>
      <w:r>
        <w:t xml:space="preserve">5.5 Оператор / финансовая служба РР</w:t>
      </w:r>
    </w:p>
    <w:p>
      <w:pPr>
        <w:pStyle w:val="ListParagraph"/>
        <w:numPr>
          <w:ilvl w:val="0"/>
          <w:numId w:val="2"/>
        </w:numPr>
      </w:pPr>
      <w:r>
        <w:t xml:space="preserve">Выгружает реестры начислений, контролирует антифрод-флаги.</w:t>
      </w:r>
    </w:p>
    <w:p>
      <w:pPr>
        <w:pStyle w:val="ListParagraph"/>
        <w:numPr>
          <w:ilvl w:val="0"/>
          <w:numId w:val="2"/>
        </w:numPr>
      </w:pPr>
      <w:r>
        <w:t xml:space="preserve">Подтверждает/отменяет начисления вручную при спорных ситуациях.</w:t>
      </w:r>
    </w:p>
    <w:p>
      <w:pPr>
        <w:pStyle w:val="Heading1"/>
      </w:pPr>
      <w:r>
        <w:t xml:space="preserve">6. Пользовательские сценарии</w:t>
      </w:r>
    </w:p>
    <w:p>
      <w:pPr>
        <w:pStyle w:val="Heading2"/>
      </w:pPr>
      <w:r>
        <w:t xml:space="preserve">6.1 Приглашение друга через мобильное приложение</w:t>
      </w:r>
    </w:p>
    <w:p>
      <w:pPr>
        <w:pStyle w:val="ListParagraph"/>
        <w:numPr>
          <w:ilvl w:val="0"/>
          <w:numId w:val="3"/>
        </w:numPr>
      </w:pPr>
      <w:r>
        <w:t xml:space="preserve">Исполнитель открывает экран профиля и видит кнопку «Пригласи друга и получи 1 500 рублей».</w:t>
      </w:r>
    </w:p>
    <w:p>
      <w:pPr>
        <w:pStyle w:val="ListParagraph"/>
        <w:numPr>
          <w:ilvl w:val="0"/>
          <w:numId w:val="3"/>
        </w:numPr>
      </w:pPr>
      <w:r>
        <w:t xml:space="preserve">По тапу открывается системный шеринг с готовым сообщением и реф-ссылкой.</w:t>
      </w:r>
    </w:p>
    <w:p>
      <w:pPr>
        <w:pStyle w:val="ListParagraph"/>
        <w:numPr>
          <w:ilvl w:val="0"/>
          <w:numId w:val="3"/>
        </w:numPr>
      </w:pPr>
      <w:r>
        <w:t xml:space="preserve">Друг переходит по ссылке: для нового пользователя открывается магазин приложений с deep-link, для существующего — экран приложения / посадочная страница.</w:t>
      </w:r>
    </w:p>
    <w:p>
      <w:pPr>
        <w:pStyle w:val="ListParagraph"/>
        <w:numPr>
          <w:ilvl w:val="0"/>
          <w:numId w:val="3"/>
        </w:numPr>
      </w:pPr>
      <w:r>
        <w:t xml:space="preserve">После установки и первой авторизации приглашённый автоматически привязывается к приглашающему.</w:t>
      </w:r>
    </w:p>
    <w:p>
      <w:pPr>
        <w:pStyle w:val="ListParagraph"/>
        <w:numPr>
          <w:ilvl w:val="0"/>
          <w:numId w:val="3"/>
        </w:numPr>
      </w:pPr>
      <w:r>
        <w:t xml:space="preserve">В разделе «Приглашённые мной» появляется карточка приглашённого со статусом.</w:t>
      </w:r>
    </w:p>
    <w:p>
      <w:pPr>
        <w:pStyle w:val="Heading2"/>
      </w:pPr>
      <w:r>
        <w:t xml:space="preserve">6.2 Прохождение пути приглашённым</w:t>
      </w:r>
    </w:p>
    <w:p>
      <w:pPr>
        <w:pStyle w:val="ListParagraph"/>
        <w:numPr>
          <w:ilvl w:val="0"/>
          <w:numId w:val="3"/>
        </w:numPr>
      </w:pPr>
      <w:r>
        <w:t xml:space="preserve">Скачать приложение → в профиле появляется прогресс-бар.</w:t>
      </w:r>
    </w:p>
    <w:p>
      <w:pPr>
        <w:pStyle w:val="ListParagraph"/>
        <w:numPr>
          <w:ilvl w:val="0"/>
          <w:numId w:val="3"/>
        </w:numPr>
      </w:pPr>
      <w:r>
        <w:t xml:space="preserve">Заполнить анкету → шаг «Подключиться к платформе».</w:t>
      </w:r>
    </w:p>
    <w:p>
      <w:pPr>
        <w:pStyle w:val="ListParagraph"/>
        <w:numPr>
          <w:ilvl w:val="0"/>
          <w:numId w:val="3"/>
        </w:numPr>
      </w:pPr>
      <w:r>
        <w:t xml:space="preserve">Заполнить реквизиты → готов к отклику на смены.</w:t>
      </w:r>
    </w:p>
    <w:p>
      <w:pPr>
        <w:pStyle w:val="ListParagraph"/>
        <w:numPr>
          <w:ilvl w:val="0"/>
          <w:numId w:val="3"/>
        </w:numPr>
      </w:pPr>
      <w:r>
        <w:t xml:space="preserve">Выйти в 1-ю смену с подтверждением заказчика → приглашающему начисляется бонус 1-й смены.</w:t>
      </w:r>
    </w:p>
    <w:p>
      <w:pPr>
        <w:pStyle w:val="ListParagraph"/>
        <w:numPr>
          <w:ilvl w:val="0"/>
          <w:numId w:val="3"/>
        </w:numPr>
      </w:pPr>
      <w:r>
        <w:t xml:space="preserve">Выйти в 5-ю смену → приглашающему начисляется бонус 5-й смены.</w:t>
      </w:r>
    </w:p>
    <w:p>
      <w:pPr>
        <w:pStyle w:val="Heading2"/>
      </w:pPr>
      <w:r>
        <w:t xml:space="preserve">6.3 Получение выплаты</w:t>
      </w:r>
    </w:p>
    <w:p>
      <w:pPr>
        <w:pStyle w:val="ListParagraph"/>
        <w:numPr>
          <w:ilvl w:val="0"/>
          <w:numId w:val="3"/>
        </w:numPr>
      </w:pPr>
      <w:r>
        <w:t xml:space="preserve">Каждая выплата начисляется на баланс профиля приглашающего.</w:t>
      </w:r>
    </w:p>
    <w:p>
      <w:pPr>
        <w:pStyle w:val="ListParagraph"/>
        <w:numPr>
          <w:ilvl w:val="0"/>
          <w:numId w:val="3"/>
        </w:numPr>
      </w:pPr>
      <w:r>
        <w:t xml:space="preserve">Если у приглашающего отрицательный баланс — выплата уходит на его погашение.</w:t>
      </w:r>
    </w:p>
    <w:p>
      <w:pPr>
        <w:pStyle w:val="ListParagraph"/>
        <w:numPr>
          <w:ilvl w:val="0"/>
          <w:numId w:val="3"/>
        </w:numPr>
      </w:pPr>
      <w:r>
        <w:t xml:space="preserve">Карточка приглашённого в списке меняет статус: «получить вознаграждение N руб» → активная кнопка.</w:t>
      </w:r>
    </w:p>
    <w:p>
      <w:pPr>
        <w:pStyle w:val="Heading2"/>
      </w:pPr>
      <w:r>
        <w:t xml:space="preserve">6.4 Маркетинговая ссылка</w:t>
      </w:r>
    </w:p>
    <w:p>
      <w:pPr>
        <w:pStyle w:val="ListParagraph"/>
        <w:numPr>
          <w:ilvl w:val="0"/>
          <w:numId w:val="3"/>
        </w:numPr>
      </w:pPr>
      <w:r>
        <w:t xml:space="preserve">Маркетолог заходит в кабинет рефералов на сайте.</w:t>
      </w:r>
    </w:p>
    <w:p>
      <w:pPr>
        <w:pStyle w:val="ListParagraph"/>
        <w:numPr>
          <w:ilvl w:val="0"/>
          <w:numId w:val="3"/>
        </w:numPr>
      </w:pPr>
      <w:r>
        <w:t xml:space="preserve">Создаёт новую кампанию: задаёт UTM-метки, назначение, ограничения.</w:t>
      </w:r>
    </w:p>
    <w:p>
      <w:pPr>
        <w:pStyle w:val="ListParagraph"/>
        <w:numPr>
          <w:ilvl w:val="0"/>
          <w:numId w:val="3"/>
        </w:numPr>
      </w:pPr>
      <w:r>
        <w:t xml:space="preserve">Получает уникальную ссылку, прикрепляет в рекламные кабинеты.</w:t>
      </w:r>
    </w:p>
    <w:p>
      <w:pPr>
        <w:pStyle w:val="ListParagraph"/>
        <w:numPr>
          <w:ilvl w:val="0"/>
          <w:numId w:val="3"/>
        </w:numPr>
      </w:pPr>
      <w:r>
        <w:t xml:space="preserve">Видит сквозную статистику: переходы → установки → регистрации → смены.</w:t>
      </w:r>
    </w:p>
    <w:p>
      <w:pPr>
        <w:pStyle w:val="Heading1"/>
      </w:pPr>
      <w:r>
        <w:t xml:space="preserve">7. Функциональные требования</w:t>
      </w:r>
    </w:p>
    <w:p>
      <w:pPr>
        <w:pStyle w:val="Heading2"/>
      </w:pPr>
      <w:r>
        <w:t xml:space="preserve">7.1 Кабинет приглашающего (мобильное приложение)</w:t>
      </w:r>
    </w:p>
    <w:p>
      <w:r>
        <w:t xml:space="preserve">Источник: задача #67031 + макет Miro (Профиль приглашающего).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FR-INV-01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 разделе профиля присутствует кнопка-баннер «Пригласи друга и получи 1 500 рублей».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#67031, 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FR-INV-02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 тапу открывается системный share-sheet с реф-ссылкой и текстом-приглашением.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#67031, Miro («Копировать ссылку» + share)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FR-INV-03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 баннером — кнопка «Как это работает?» (раскрывает короткое описание условий).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FR-INV-04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Раздел «Приглашённые мной» — список карточек приглашённых.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FR-INV-05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Карточка приглашённого показывает имя и текущий статус: «не привязан к платформе», «осталось выйти на первую смену», «получить вознаграждение N руб».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FR-INV-06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 карточке доступно действие «Выслать инструкцию» — отправляет приглашённому персональное сообщение/пуш с инструкцией.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FR-INV-07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 карточке доступно действие «Получить вознаграждение» — переводит начисленный бонус на баланс профиля.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FR-INV-08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Раздел отображает агрегированный прогресс программы (например: «1 из 2», «4 из 5» — счётчики смен / шагов).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 (нотификации сверху)</w:t>
            </w:r>
          </w:p>
        </w:tc>
      </w:tr>
    </w:tbl>
    <w:p>
      <w:pPr>
        <w:pStyle w:val="Heading2"/>
      </w:pPr>
      <w:r>
        <w:t xml:space="preserve">7.2 Карточка приглашённого (мобильное приложение)</w:t>
      </w:r>
    </w:p>
    <w:p>
      <w:r>
        <w:t xml:space="preserve">Источник: макет Miro (Профиль приглашённого друга).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FR-INVD-01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 профиле приглашённого присутствует прогресс-бар реферальной программы со списком шагов.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FR-INVD-02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Шаги: Скачать приложение → Заполнить анкету → Подключиться к платформе → Заполнить реквизиты → Выйти в 1-ю смену → Выйти в 2/3/4-ю смену → Выйти в 5-ю смену.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FR-INVD-03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 каждого шага доступна подсказка «Как это сделать?» с переходом в инструкцию.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FR-INVD-04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Над прогресс-баром указано: после каких действий приглашающий и сам приглашённый получат выплаты (см. п. 14.3 — бонус приглашённому).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FR-INVD-05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Если приглашённый пришёл по ссылке маркетинга (без приглашающего), прогресс-бар скрыт.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Логика, нужно подтвердить</w:t>
            </w:r>
          </w:p>
        </w:tc>
      </w:tr>
    </w:tbl>
    <w:p>
      <w:pPr>
        <w:pStyle w:val="Heading2"/>
      </w:pPr>
      <w:r>
        <w:t xml:space="preserve">7.3 Реферальный кабинет / сайт</w:t>
      </w:r>
    </w:p>
    <w:p>
      <w:r>
        <w:t xml:space="preserve">Источник: задача #53413.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FR-WEB-01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Реферальный кабинет доступен по отдельному URL (поддомен или раздел сайта РР).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#53413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FR-WEB-02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 кабинету может подключиться любой человек (а не только зарегистрированный исполнитель).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#53413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FR-WEB-03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Авторизация: уточнить (email/пароль / SMS / соцсети).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Открытый вопрос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FR-WEB-04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Каждому подключённому генерируется личная реф-ссылка.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#53413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FR-WEB-05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Маркетинг создаёт кампании с UTM/метками и видит статистику переходов и целевых действий.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#53413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FR-WEB-06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Кабинет показывает воронку: переходы → установки → регистрации → 1-я смена → 5-я смена.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#67031, #53413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FR-WEB-07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Кабинет показывает начисленные и выплаченные суммы.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FR-WEB-08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Кабинет заменяет AppMetrica как источник информации об источниках установок.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#53413</w:t>
            </w:r>
          </w:p>
        </w:tc>
      </w:tr>
    </w:tbl>
    <w:p>
      <w:pPr>
        <w:pStyle w:val="Heading2"/>
      </w:pPr>
      <w:r>
        <w:t xml:space="preserve">7.4 Реферальные ссылки и атрибуция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FR-LINK-01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Реф-ссылка содержит идентификатор приглашающего/кампании и параметры атрибуции.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FR-LINK-02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Поддерживается deep-linking: переход по ссылке открывает магазин приложений (если приложение не установлено) или экран приложения.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#67031, Miro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FR-LINK-03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Атрибуция установки сохраняется через цепочку «магазин приложений → первое открытие приложения» (например, через Install Referrer для Android и Universal Links / отложенный диплинк для iOS).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Тех. требование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FR-LINK-04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Окно атрибуции: уточнить (рекомендация — 30 дней с момента перехода).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Открытый вопрос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FR-LINK-05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Кастомные посадочные страницы магазинов под рефералов — отдельный набор assets (текст и баннеры под привлечение по приглашению).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#67031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FR-LINK-06</w:t>
            </w:r>
          </w:p>
        </w:tc>
        <w:tc>
          <w:tcPr>
            <w:tcW w:type="dxa" w:w="5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При сходящемся противоречии (несколько разных приглашающих/кампаний на одного пользователя) применяется правило «last click wins» — уточнить.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Открытый вопрос</w:t>
            </w:r>
          </w:p>
        </w:tc>
      </w:tr>
    </w:tbl>
    <w:p>
      <w:pPr>
        <w:pStyle w:val="Heading1"/>
      </w:pPr>
      <w:r>
        <w:t xml:space="preserve">8. Бизнес-правила</w:t>
      </w:r>
    </w:p>
    <w:p>
      <w:pPr>
        <w:pStyle w:val="Heading2"/>
      </w:pPr>
      <w:r>
        <w:t xml:space="preserve">8.1 Что считается «выходом в смену»</w:t>
      </w:r>
    </w:p>
    <w:p>
      <w:r>
        <w:t xml:space="preserve">Выходом в смену считается успешно отработанная и подтверждённая заказчиком смена. Сама запись/отклик/назначение на смену не засчитывается.</w:t>
      </w:r>
    </w:p>
    <w:p>
      <w:r>
        <w:rPr>
          <w:i/>
          <w:iCs/>
          <w:color w:val="808080"/>
        </w:rPr>
        <w:t xml:space="preserve">Источник: задача #67031 — уточнение Никиты Икрамова после комментария Александра Гришаева.</w:t>
      </w:r>
    </w:p>
    <w:p>
      <w:pPr>
        <w:pStyle w:val="Heading2"/>
      </w:pPr>
      <w:r>
        <w:t xml:space="preserve">8.2 Когда наступает право на выплату</w:t>
      </w:r>
    </w:p>
    <w:p>
      <w:pPr>
        <w:pStyle w:val="ListParagraph"/>
        <w:numPr>
          <w:ilvl w:val="0"/>
          <w:numId w:val="2"/>
        </w:numPr>
      </w:pPr>
      <w:r>
        <w:t xml:space="preserve">Бонус 1-й смены — после фиксации факта закрытия первой смены приглашённого.</w:t>
      </w:r>
    </w:p>
    <w:p>
      <w:pPr>
        <w:pStyle w:val="ListParagraph"/>
        <w:numPr>
          <w:ilvl w:val="0"/>
          <w:numId w:val="2"/>
        </w:numPr>
      </w:pPr>
      <w:r>
        <w:t xml:space="preserve">Бонус 5-й смены — после фиксации факта закрытия пятой смены приглашённого.</w:t>
      </w:r>
    </w:p>
    <w:p>
      <w:pPr>
        <w:pStyle w:val="ListParagraph"/>
        <w:numPr>
          <w:ilvl w:val="0"/>
          <w:numId w:val="2"/>
        </w:numPr>
      </w:pPr>
      <w:r>
        <w:t xml:space="preserve">Срок «холда» (между фактом закрытия смены и переводом на баланс) — уточнить.</w:t>
      </w:r>
    </w:p>
    <w:p>
      <w:pPr>
        <w:pStyle w:val="Heading2"/>
      </w:pPr>
      <w:r>
        <w:t xml:space="preserve">8.3 Привязка приглашённого</w:t>
      </w:r>
    </w:p>
    <w:p>
      <w:pPr>
        <w:pStyle w:val="ListParagraph"/>
        <w:numPr>
          <w:ilvl w:val="0"/>
          <w:numId w:val="2"/>
        </w:numPr>
      </w:pPr>
      <w:r>
        <w:t xml:space="preserve">Привязка устанавливается на этапе перехода по ссылке + первого открытия приложения.</w:t>
      </w:r>
    </w:p>
    <w:p>
      <w:pPr>
        <w:pStyle w:val="ListParagraph"/>
        <w:numPr>
          <w:ilvl w:val="0"/>
          <w:numId w:val="2"/>
        </w:numPr>
      </w:pPr>
      <w:r>
        <w:t xml:space="preserve">Финализируется после авторизации приглашённого.</w:t>
      </w:r>
    </w:p>
    <w:p>
      <w:pPr>
        <w:pStyle w:val="ListParagraph"/>
        <w:numPr>
          <w:ilvl w:val="0"/>
          <w:numId w:val="2"/>
        </w:numPr>
      </w:pPr>
      <w:r>
        <w:t xml:space="preserve">Перепривязка возможна только до момента авторизации (после — изменение требует обращения в поддержку).</w:t>
      </w:r>
    </w:p>
    <w:p>
      <w:pPr>
        <w:pStyle w:val="Heading2"/>
      </w:pPr>
      <w:r>
        <w:t xml:space="preserve">8.4 Кошелёк и выплаты</w:t>
      </w:r>
    </w:p>
    <w:p>
      <w:pPr>
        <w:pStyle w:val="ListParagraph"/>
        <w:numPr>
          <w:ilvl w:val="0"/>
          <w:numId w:val="2"/>
        </w:numPr>
      </w:pPr>
      <w:r>
        <w:t xml:space="preserve">Бонусы зачисляются на баланс профиля приглашающего.</w:t>
      </w:r>
    </w:p>
    <w:p>
      <w:pPr>
        <w:pStyle w:val="ListParagraph"/>
        <w:numPr>
          <w:ilvl w:val="0"/>
          <w:numId w:val="2"/>
        </w:numPr>
      </w:pPr>
      <w:r>
        <w:t xml:space="preserve">При отрицательном балансе бонус идёт на его погашение.</w:t>
      </w:r>
    </w:p>
    <w:p>
      <w:pPr>
        <w:pStyle w:val="ListParagraph"/>
        <w:numPr>
          <w:ilvl w:val="0"/>
          <w:numId w:val="2"/>
        </w:numPr>
      </w:pPr>
      <w:r>
        <w:t xml:space="preserve">Вывод средств — по уже существующим в РР механикам (карта в «Личном кабинете»).</w:t>
      </w:r>
    </w:p>
    <w:p>
      <w:pPr>
        <w:pStyle w:val="ListParagraph"/>
        <w:numPr>
          <w:ilvl w:val="0"/>
          <w:numId w:val="2"/>
        </w:numPr>
      </w:pPr>
      <w:r>
        <w:t xml:space="preserve">Минимальная сумма к выводу — уточнить.</w:t>
      </w:r>
    </w:p>
    <w:p>
      <w:pPr>
        <w:pStyle w:val="Heading1"/>
      </w:pPr>
      <w:r>
        <w:t xml:space="preserve">9. Расчёт вознаграждений</w:t>
      </w:r>
    </w:p>
    <w:p>
      <w:pPr>
        <w:pStyle w:val="Heading2"/>
      </w:pPr>
      <w:r>
        <w:t xml:space="preserve">9.1 Базовая модель (как в задаче #67031)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Триггер</w:t>
            </w:r>
          </w:p>
        </w:tc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Сумма выплаты приглашающему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Эффект для приглашённого (если применимо)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Вышел в 1-ю смену</w:t>
            </w:r>
          </w:p>
        </w:tc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1 500 ₽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Уточнить (в макете прогресс-бар у приглашённого тоже показывает «выплату»)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Вышел в 5-ю смену</w:t>
            </w:r>
          </w:p>
        </w:tc>
        <w:tc>
          <w:tcPr>
            <w:tcW w:type="dxa" w:w="3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+ 4 000 ₽ (итого 5 500 ₽ за полный цикл)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Уточнить</w:t>
            </w:r>
          </w:p>
        </w:tc>
      </w:tr>
    </w:tbl>
    <w:p>
      <w:pPr>
        <w:pStyle w:val="Heading2"/>
      </w:pPr>
      <w:r>
        <w:t xml:space="preserve">9.2 Альтернативная модель (как в макете Miro)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Триггер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Сумма выплаты приглашающему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Вышел в 1-ю смену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500 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Вышел в 5-ю смену</w:t>
            </w:r>
          </w:p>
        </w:tc>
        <w:tc>
          <w:tcPr>
            <w:tcW w:type="dxa" w:w="6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+ 1 000 ₽ (итого 1 500 ₽ за полный цикл)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Решение по выбору модели — открытый вопрос (см. 14.1).</w:t>
      </w:r>
    </w:p>
    <w:p>
      <w:pPr>
        <w:pStyle w:val="Heading1"/>
      </w:pPr>
      <w:r>
        <w:t xml:space="preserve">10. Метрики и аналитика</w:t>
      </w:r>
    </w:p>
    <w:p>
      <w:r>
        <w:t xml:space="preserve">По каждому приглашающему, кампании и в агрегате сохраняем и показываем:</w:t>
      </w:r>
    </w:p>
    <w:p>
      <w:pPr>
        <w:pStyle w:val="ListParagraph"/>
        <w:numPr>
          <w:ilvl w:val="0"/>
          <w:numId w:val="2"/>
        </w:numPr>
      </w:pPr>
      <w:r>
        <w:t xml:space="preserve">Скачали мобильное приложение по реф-ссылке.</w:t>
      </w:r>
    </w:p>
    <w:p>
      <w:pPr>
        <w:pStyle w:val="ListParagraph"/>
        <w:numPr>
          <w:ilvl w:val="0"/>
          <w:numId w:val="2"/>
        </w:numPr>
      </w:pPr>
      <w:r>
        <w:t xml:space="preserve">Авторизовались.</w:t>
      </w:r>
    </w:p>
    <w:p>
      <w:pPr>
        <w:pStyle w:val="ListParagraph"/>
        <w:numPr>
          <w:ilvl w:val="0"/>
          <w:numId w:val="2"/>
        </w:numPr>
      </w:pPr>
      <w:r>
        <w:t xml:space="preserve">Подключились к платформе (заполнили анкету и реквизиты).</w:t>
      </w:r>
    </w:p>
    <w:p>
      <w:pPr>
        <w:pStyle w:val="ListParagraph"/>
        <w:numPr>
          <w:ilvl w:val="0"/>
          <w:numId w:val="2"/>
        </w:numPr>
      </w:pPr>
      <w:r>
        <w:t xml:space="preserve">Вышли в 1-ю смену.</w:t>
      </w:r>
    </w:p>
    <w:p>
      <w:pPr>
        <w:pStyle w:val="ListParagraph"/>
        <w:numPr>
          <w:ilvl w:val="0"/>
          <w:numId w:val="2"/>
        </w:numPr>
      </w:pPr>
      <w:r>
        <w:t xml:space="preserve">Вышли в 2-ю / 3-ю / 4-ю смену (промежуточные шаги).</w:t>
      </w:r>
    </w:p>
    <w:p>
      <w:pPr>
        <w:pStyle w:val="ListParagraph"/>
        <w:numPr>
          <w:ilvl w:val="0"/>
          <w:numId w:val="2"/>
        </w:numPr>
      </w:pPr>
      <w:r>
        <w:t xml:space="preserve">Вышли в 5-ю смену.</w:t>
      </w:r>
    </w:p>
    <w:p>
      <w:pPr>
        <w:pStyle w:val="ListParagraph"/>
        <w:numPr>
          <w:ilvl w:val="0"/>
          <w:numId w:val="2"/>
        </w:numPr>
      </w:pPr>
      <w:r>
        <w:t xml:space="preserve">Сумма начисленных бонусов / выплаченных бонусов / в холде.</w:t>
      </w:r>
    </w:p>
    <w:p>
      <w:r>
        <w:t xml:space="preserve"/>
      </w:r>
    </w:p>
    <w:p>
      <w:r>
        <w:t xml:space="preserve">Срез данных: по приглашающему, по реф-ссылке/кампании, по периоду, по клиенту-заказчику (для разделения акционных и неакционных).</w:t>
      </w:r>
    </w:p>
    <w:p>
      <w:pPr>
        <w:pStyle w:val="Heading1"/>
      </w:pPr>
      <w:r>
        <w:t xml:space="preserve">11. Антифрод-правила (черновик)</w:t>
      </w:r>
    </w:p>
    <w:p>
      <w:pPr>
        <w:pStyle w:val="ListParagraph"/>
        <w:numPr>
          <w:ilvl w:val="0"/>
          <w:numId w:val="2"/>
        </w:numPr>
      </w:pPr>
      <w:r>
        <w:t xml:space="preserve">Самопривязка запрещена: приглашающий и приглашённый не могут быть одним пользователем (проверка по устройству, телефону, реквизитам).</w:t>
      </w:r>
    </w:p>
    <w:p>
      <w:pPr>
        <w:pStyle w:val="ListParagraph"/>
        <w:numPr>
          <w:ilvl w:val="0"/>
          <w:numId w:val="2"/>
        </w:numPr>
      </w:pPr>
      <w:r>
        <w:t xml:space="preserve">Один и тот же телефон/IIN не может быть приглашённым повторно.</w:t>
      </w:r>
    </w:p>
    <w:p>
      <w:pPr>
        <w:pStyle w:val="ListParagraph"/>
        <w:numPr>
          <w:ilvl w:val="0"/>
          <w:numId w:val="2"/>
        </w:numPr>
      </w:pPr>
      <w:r>
        <w:t xml:space="preserve">Один и тот же приглашённый не может одновременно числиться у двух приглашающих.</w:t>
      </w:r>
    </w:p>
    <w:p>
      <w:pPr>
        <w:pStyle w:val="ListParagraph"/>
        <w:numPr>
          <w:ilvl w:val="0"/>
          <w:numId w:val="2"/>
        </w:numPr>
      </w:pPr>
      <w:r>
        <w:t xml:space="preserve">Лимит на число приглашённых от одного пользователя за период — уточнить.</w:t>
      </w:r>
    </w:p>
    <w:p>
      <w:pPr>
        <w:pStyle w:val="ListParagraph"/>
        <w:numPr>
          <w:ilvl w:val="0"/>
          <w:numId w:val="2"/>
        </w:numPr>
      </w:pPr>
      <w:r>
        <w:t xml:space="preserve">Анти-абуз по устройству: одно физическое устройство не может быть «новым приглашённым» более одного раза.</w:t>
      </w:r>
    </w:p>
    <w:p>
      <w:pPr>
        <w:pStyle w:val="ListParagraph"/>
        <w:numPr>
          <w:ilvl w:val="0"/>
          <w:numId w:val="2"/>
        </w:numPr>
      </w:pPr>
      <w:r>
        <w:t xml:space="preserve">Подозрительные паттерны (несколько приглашённых с одного IP / одного устройства / последовательной нумерацией реквизитов) ставятся в ручную модерацию.</w:t>
      </w:r>
    </w:p>
    <w:p>
      <w:pPr>
        <w:pStyle w:val="ListParagraph"/>
        <w:numPr>
          <w:ilvl w:val="0"/>
          <w:numId w:val="2"/>
        </w:numPr>
      </w:pPr>
      <w:r>
        <w:t xml:space="preserve">Если у приглашённого отозвано подтверждение смены заказчиком — соответствующий бонус приглашающему отзывается / списывается с баланса.</w:t>
      </w:r>
    </w:p>
    <w:p>
      <w:pPr>
        <w:pStyle w:val="Heading1"/>
      </w:pPr>
      <w:r>
        <w:t xml:space="preserve">12. Интеграции и зависимости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Система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Что нужно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Магазины приложений (App Store, Google Play)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Кастомные посадочные страницы под реф-трафик. Поддержка Install Referrer (Android) и Universal Links / отложенного диплинка (iOS).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Атрибуция установок к приглашающему/кампании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Биллинг / кошелёк РР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Зачисление бонусов на баланс профиля; погашение отрицательного баланса; журнал операций.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Выплаты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Учёт смен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Событие «смена подтверждена заказчиком» с привязкой к исполнителю.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Триггер для бонуса 1-й и 5-й смены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Уведомления (push, email, in-app)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Шаблоны: «друг подключился», «друг вышел в 1-ю смену», «бонус начислен», «выслать инструкцию приглашённому».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Удержание и активация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AppMetrica (выводится из эксплуатации)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Экспорт исторических данных (если нужно) и постепенное отключение.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Замена внутренней атрибуцией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Кабинет рефералов (новый сервис)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Веб-приложение с авторизацией и панелью аналитики.</w:t>
            </w:r>
          </w:p>
        </w:tc>
        <w:tc>
          <w:tcPr>
            <w:tcW w:type="dxa" w:w="28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См. п. 7.3</w:t>
            </w:r>
          </w:p>
        </w:tc>
      </w:tr>
    </w:tbl>
    <w:p>
      <w:pPr>
        <w:pStyle w:val="Heading1"/>
      </w:pPr>
      <w:r>
        <w:t xml:space="preserve">13. UX (на основе макета Miro)</w:t>
      </w:r>
    </w:p>
    <w:p>
      <w:r>
        <w:t xml:space="preserve">На макете Miro «CJM Рабочие Руки.Mobile» отрисованы два мобильных экрана и логическая схема.</w:t>
      </w:r>
    </w:p>
    <w:p>
      <w:pPr>
        <w:pStyle w:val="Heading2"/>
      </w:pPr>
      <w:r>
        <w:t xml:space="preserve">13.1 Экран «Профиль приглашающего»</w:t>
      </w:r>
    </w:p>
    <w:p>
      <w:pPr>
        <w:pStyle w:val="ListParagraph"/>
        <w:numPr>
          <w:ilvl w:val="0"/>
          <w:numId w:val="2"/>
        </w:numPr>
      </w:pPr>
      <w:r>
        <w:t xml:space="preserve">Сверху — стандартный «Личный кабинет» с картой выплат и балансом.</w:t>
      </w:r>
    </w:p>
    <w:p>
      <w:pPr>
        <w:pStyle w:val="ListParagraph"/>
        <w:numPr>
          <w:ilvl w:val="0"/>
          <w:numId w:val="2"/>
        </w:numPr>
      </w:pPr>
      <w:r>
        <w:t xml:space="preserve">Под картой — баннер-кнопка «Пригласи друга и получи 1 500 рублей».</w:t>
      </w:r>
    </w:p>
    <w:p>
      <w:pPr>
        <w:pStyle w:val="ListParagraph"/>
        <w:numPr>
          <w:ilvl w:val="0"/>
          <w:numId w:val="2"/>
        </w:numPr>
      </w:pPr>
      <w:r>
        <w:t xml:space="preserve">Карточка пользователя (имя, статус, прогресс смен) — без изменений.</w:t>
      </w:r>
    </w:p>
    <w:p>
      <w:pPr>
        <w:pStyle w:val="ListParagraph"/>
        <w:numPr>
          <w:ilvl w:val="0"/>
          <w:numId w:val="2"/>
        </w:numPr>
      </w:pPr>
      <w:r>
        <w:t xml:space="preserve">Стандартные блоки «Профиль», «Сервис», «Другое» — без изменений.</w:t>
      </w:r>
    </w:p>
    <w:p>
      <w:pPr>
        <w:pStyle w:val="ListParagraph"/>
        <w:numPr>
          <w:ilvl w:val="0"/>
          <w:numId w:val="2"/>
        </w:numPr>
      </w:pPr>
      <w:r>
        <w:t xml:space="preserve">Внизу — кнопка «Копировать ссылку» с иконкой системного шеринга.</w:t>
      </w:r>
    </w:p>
    <w:p>
      <w:pPr>
        <w:pStyle w:val="Heading2"/>
      </w:pPr>
      <w:r>
        <w:t xml:space="preserve">13.2 Экран «Профиль приглашённого друга»</w:t>
      </w:r>
    </w:p>
    <w:p>
      <w:pPr>
        <w:pStyle w:val="ListParagraph"/>
        <w:numPr>
          <w:ilvl w:val="0"/>
          <w:numId w:val="2"/>
        </w:numPr>
      </w:pPr>
      <w:r>
        <w:t xml:space="preserve">Под балансом — отдельный блок реф-программы с прогресс-баром (горизонтальная шкала: «отметка добавлена в первый месяц» — судя по разметке).</w:t>
      </w:r>
    </w:p>
    <w:p>
      <w:pPr>
        <w:pStyle w:val="ListParagraph"/>
        <w:numPr>
          <w:ilvl w:val="0"/>
          <w:numId w:val="2"/>
        </w:numPr>
      </w:pPr>
      <w:r>
        <w:t xml:space="preserve">Иконки/заголовки шагов из п. 6.2.</w:t>
      </w:r>
    </w:p>
    <w:p>
      <w:pPr>
        <w:pStyle w:val="ListParagraph"/>
        <w:numPr>
          <w:ilvl w:val="0"/>
          <w:numId w:val="2"/>
        </w:numPr>
      </w:pPr>
      <w:r>
        <w:t xml:space="preserve">Подсказки «Как это сделать?» рядом с шагами.</w:t>
      </w:r>
    </w:p>
    <w:p>
      <w:pPr>
        <w:pStyle w:val="Heading2"/>
      </w:pPr>
      <w:r>
        <w:t xml:space="preserve">13.3 Логика «Как это работает?»</w:t>
      </w:r>
    </w:p>
    <w:p>
      <w:pPr>
        <w:pStyle w:val="ListParagraph"/>
        <w:numPr>
          <w:ilvl w:val="0"/>
          <w:numId w:val="2"/>
        </w:numPr>
      </w:pPr>
      <w:r>
        <w:t xml:space="preserve">Зелёная плашка «Как это работает?» открывает справку с условиями.</w:t>
      </w:r>
    </w:p>
    <w:p>
      <w:pPr>
        <w:pStyle w:val="ListParagraph"/>
        <w:numPr>
          <w:ilvl w:val="0"/>
          <w:numId w:val="2"/>
        </w:numPr>
      </w:pPr>
      <w:r>
        <w:t xml:space="preserve">Список «Приглашённые мной» — карточки со статусами и действиями («Выслать инструкцию», «Получить вознаграждение N руб»).</w:t>
      </w:r>
    </w:p>
    <w:p>
      <w:pPr>
        <w:pStyle w:val="ListParagraph"/>
        <w:numPr>
          <w:ilvl w:val="0"/>
          <w:numId w:val="2"/>
        </w:numPr>
      </w:pPr>
      <w:r>
        <w:t xml:space="preserve">Карточка-диаграмма приглашённого (пример «Денис»): шаги Скачать → Подключиться → Выйти в 1/2/3/4/5 смену с указанием начислений.</w:t>
      </w:r>
    </w:p>
    <w:p>
      <w:pPr>
        <w:pStyle w:val="Heading2"/>
      </w:pPr>
      <w:r>
        <w:t xml:space="preserve">13.4 Уведомления</w:t>
      </w:r>
    </w:p>
    <w:p>
      <w:pPr>
        <w:pStyle w:val="ListParagraph"/>
        <w:numPr>
          <w:ilvl w:val="0"/>
          <w:numId w:val="2"/>
        </w:numPr>
      </w:pPr>
      <w:r>
        <w:t xml:space="preserve">На макете присутствуют пуш-уведомления / шторки приложения с прогрессом («1 из 2», «4 из 5») и кнопкой «Отправить» — это, предположительно, шаблоны напоминаний приглашающему о доплате до следующего бонуса.</w:t>
      </w:r>
    </w:p>
    <w:p>
      <w:pPr>
        <w:pStyle w:val="ListParagraph"/>
        <w:numPr>
          <w:ilvl w:val="0"/>
          <w:numId w:val="2"/>
        </w:numPr>
      </w:pPr>
      <w:r>
        <w:t xml:space="preserve">Финальные тексты и триггеры рассылки — уточнить с маркетингом.</w:t>
      </w:r>
    </w:p>
    <w:p>
      <w:pPr>
        <w:pStyle w:val="Heading1"/>
      </w:pPr>
      <w:r>
        <w:t xml:space="preserve">14. Открытые вопросы</w:t>
      </w:r>
    </w:p>
    <w:p>
      <w:pPr>
        <w:pStyle w:val="Heading2"/>
      </w:pPr>
      <w:r>
        <w:t xml:space="preserve">14.1 Финальные ставки выплат</w:t>
      </w:r>
    </w:p>
    <w:p>
      <w:r>
        <w:t xml:space="preserve">В описании задачи #67031 — 1 500 ₽ за 1-ю смену и 5 500 ₽ суммарно за полный цикл. В макете Miro — 500 ₽ и 1 500 ₽ соответственно. До запуска нужно зафиксировать одну модель и пересчитать экономику.</w:t>
      </w:r>
    </w:p>
    <w:p>
      <w:r>
        <w:rPr>
          <w:b/>
          <w:bCs/>
        </w:rPr>
        <w:t xml:space="preserve">Кому задавать:</w:t>
      </w:r>
      <w:r>
        <w:t xml:space="preserve"> Никита Икрамов (постановщик #67031), маркетинг.</w:t>
      </w:r>
    </w:p>
    <w:p>
      <w:pPr>
        <w:pStyle w:val="Heading2"/>
      </w:pPr>
      <w:r>
        <w:t xml:space="preserve">14.2 Кто платит выплаты по заявкам клиентов-партнёров</w:t>
      </w:r>
    </w:p>
    <w:p>
      <w:r>
        <w:t xml:space="preserve">Цитата из чата #53413 (Ирина Зараева, 5 мая 2026): «нашей системой пользуются ещё клиенты, партнёры, поэтому надо понимать, кто будет платить выплаты рефералам».</w:t>
      </w:r>
    </w:p>
    <w:p>
      <w:r>
        <w:t xml:space="preserve">Предложение Ирины: ввести признак «акционный клиент». Реферальная программа считается только по заявкам акционных клиентов.</w:t>
      </w:r>
    </w:p>
    <w:p>
      <w:r>
        <w:rPr>
          <w:b/>
          <w:bCs/>
        </w:rPr>
        <w:t xml:space="preserve">Кому задавать:</w:t>
      </w:r>
      <w:r>
        <w:t xml:space="preserve"> Ирина Зараева, Александр Мартыненко, финансы.</w:t>
      </w:r>
    </w:p>
    <w:p>
      <w:pPr>
        <w:pStyle w:val="Heading2"/>
      </w:pPr>
      <w:r>
        <w:t xml:space="preserve">14.3 Бонус самому приглашённому</w:t>
      </w:r>
    </w:p>
    <w:p>
      <w:r>
        <w:t xml:space="preserve">В макете прогресс-бар у приглашённого показывает выплаты (500 ₽ / 1 000 ₽). Не ясно — это деньги, которые получает приглашающий за приглашённого, или это бонус приглашённому. Нужно зафиксировать.</w:t>
      </w:r>
    </w:p>
    <w:p>
      <w:r>
        <w:rPr>
          <w:b/>
          <w:bCs/>
        </w:rPr>
        <w:t xml:space="preserve">Кому задавать:</w:t>
      </w:r>
      <w:r>
        <w:t xml:space="preserve"> Никита Икрамов, дизайн.</w:t>
      </w:r>
    </w:p>
    <w:p>
      <w:pPr>
        <w:pStyle w:val="Heading2"/>
      </w:pPr>
      <w:r>
        <w:t xml:space="preserve">14.4 Внешние партнёры (не исполнители)</w:t>
      </w:r>
    </w:p>
    <w:p>
      <w:r>
        <w:t xml:space="preserve">Кабинет рефералов открыт «любому человеку». Условия выплат для внешних — те же, что для исполнителей, или отдельная модель (включая ставки и налогообложение)?</w:t>
      </w:r>
    </w:p>
    <w:p>
      <w:r>
        <w:rPr>
          <w:b/>
          <w:bCs/>
        </w:rPr>
        <w:t xml:space="preserve">Кому задавать:</w:t>
      </w:r>
      <w:r>
        <w:t xml:space="preserve"> Ирина Зараева, юристы.</w:t>
      </w:r>
    </w:p>
    <w:p>
      <w:pPr>
        <w:pStyle w:val="Heading2"/>
      </w:pPr>
      <w:r>
        <w:t xml:space="preserve">14.5 Окно атрибуции и правило при пересечении источников</w:t>
      </w:r>
    </w:p>
    <w:p>
      <w:r>
        <w:t xml:space="preserve">Сколько дней с момента перехода по ссылке считаем привязку валидной? Что делать, если пользователь перешёл по разным реф-ссылкам (last click / first click)?</w:t>
      </w:r>
    </w:p>
    <w:p>
      <w:pPr>
        <w:pStyle w:val="Heading2"/>
      </w:pPr>
      <w:r>
        <w:t xml:space="preserve">14.6 Авторизация в кабинете рефералов</w:t>
      </w:r>
    </w:p>
    <w:p>
      <w:r>
        <w:t xml:space="preserve">Уточнить: email/пароль, SMS-код, соцсети, ЕСИА — что используем.</w:t>
      </w:r>
    </w:p>
    <w:p>
      <w:pPr>
        <w:pStyle w:val="Heading2"/>
      </w:pPr>
      <w:r>
        <w:t xml:space="preserve">14.7 Налоги и отчётность по выплатам</w:t>
      </w:r>
    </w:p>
    <w:p>
      <w:r>
        <w:t xml:space="preserve">Выплаты физическим лицам — НДФЛ, отчётность, договорное оформление. Нужно подтверждение со стороны юристов и бухгалтерии.</w:t>
      </w:r>
    </w:p>
    <w:p>
      <w:pPr>
        <w:pStyle w:val="Heading2"/>
      </w:pPr>
      <w:r>
        <w:t xml:space="preserve">14.8 «Реализация через ИИ»</w:t>
      </w:r>
    </w:p>
    <w:p>
      <w:r>
        <w:t xml:space="preserve">Цитата (Александр Мартыненко, 5 мая 2026): «после оплаты сервиса пробуем тестово реализовать через ИИ». Уточнить, что именно планируется делать через ИИ — реф-кабинет целиком или отдельный модуль (генерация ссылок, аналитика, антифрод).</w:t>
      </w:r>
    </w:p>
    <w:p>
      <w:pPr>
        <w:pStyle w:val="Heading2"/>
      </w:pPr>
      <w:r>
        <w:t xml:space="preserve">14.9 Содержимое предыдущей задачи #52339 и приложенного файла ТЗ</w:t>
      </w:r>
    </w:p>
    <w:p>
      <w:r>
        <w:t xml:space="preserve">В задаче #53413 в чате 25.02.2026 Ирина приложила файл «Документ Microsoft Word (3) (1).docx» с предыдущим ТЗ. Также есть ссылка на исходную задачу #52339 «создание реферальной системы для исполнителей». Этот документ в текущую сборку не включён — рекомендую открыть его и сверить с настоящим ТЗ.</w:t>
      </w:r>
    </w:p>
    <w:p>
      <w:pPr>
        <w:pStyle w:val="Heading1"/>
      </w:pPr>
      <w:r>
        <w:t xml:space="preserve">15. Этапы реализации (предложение)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 Согласование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Закрыть открытые вопросы (раздел 14). Зафиксировать ставки и кто платит.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Подписанная версия ТЗ 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 MVP реф-программы в мобильном приложении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Кнопка «Пригласи друга», шеринг, генерация ссылки, deep-link, простая привязка, бонус за 1-ю смену.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Первая выплата исполнителю-приглашающему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2. Прогресс приглашённого + список приглашённых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UI карточек, статусов, «Выслать инструкцию», «Получить вознаграждение».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Полный цикл UX из макета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3. Бонус 5-й смены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Триггер на пятую закрытую смену, дозачисление.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Полная экономическая модель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4. Кабинет рефералов на сайте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Авторизация, генерация ссылок, аналитика, маркетинговые кампании.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Замена AppMetrica для атрибуции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5. Антифрод и операторская консоль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Правила из раздела 11, отчёты, ручная модерация.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Снижение рисков фрода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6. Внешние партнёры</w:t>
            </w:r>
          </w:p>
        </w:tc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Подключение людей вне РР, отдельные правила выплат, договоры.</w:t>
            </w:r>
          </w:p>
        </w:tc>
        <w:tc>
          <w:tcPr>
            <w:tcW w:type="dxa" w:w="26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Расширение каналов</w:t>
            </w:r>
          </w:p>
        </w:tc>
      </w:tr>
    </w:tbl>
    <w:p>
      <w:pPr>
        <w:pStyle w:val="Heading1"/>
      </w:pPr>
      <w:r>
        <w:t xml:space="preserve">16. Источники</w:t>
      </w:r>
    </w:p>
    <w:p>
      <w:pPr>
        <w:pStyle w:val="ListParagraph"/>
        <w:numPr>
          <w:ilvl w:val="0"/>
          <w:numId w:val="2"/>
        </w:numPr>
      </w:pPr>
      <w:r>
        <w:t xml:space="preserve">Bitrix24, задача #67031 «Реферальная система»: </w:t>
      </w:r>
      <w:hyperlink w:history="1" r:id="rIdrcpf0utkcoec1s5xjdgpw">
        <w:r>
          <w:rPr>
            <w:rStyle w:val="Hyperlink"/>
            <w:color w:val="1A5FB4"/>
            <w:u w:val="single"/>
          </w:rPr>
          <w:t xml:space="preserve">workhands.bitrix24.ru/.../67031/</w:t>
        </w:r>
      </w:hyperlink>
    </w:p>
    <w:p>
      <w:pPr>
        <w:pStyle w:val="ListParagraph"/>
        <w:numPr>
          <w:ilvl w:val="0"/>
          <w:numId w:val="2"/>
        </w:numPr>
      </w:pPr>
      <w:r>
        <w:t xml:space="preserve">Bitrix24, задача #53413 «Ярлыки для приложения v2»: </w:t>
      </w:r>
      <w:hyperlink w:history="1" r:id="rIdsnkabydqwfbkvyfmxmc0c">
        <w:r>
          <w:rPr>
            <w:rStyle w:val="Hyperlink"/>
            <w:color w:val="1A5FB4"/>
            <w:u w:val="single"/>
          </w:rPr>
          <w:t xml:space="preserve">workhands.bitrix24.ru/.../53413/</w:t>
        </w:r>
      </w:hyperlink>
    </w:p>
    <w:p>
      <w:pPr>
        <w:pStyle w:val="ListParagraph"/>
        <w:numPr>
          <w:ilvl w:val="0"/>
          <w:numId w:val="2"/>
        </w:numPr>
      </w:pPr>
      <w:r>
        <w:t xml:space="preserve">Bitrix24, задача #52339 (предыдущая версия, в этом ТЗ не разобрана): </w:t>
      </w:r>
      <w:hyperlink w:history="1" r:id="rIdnjwre2tpnajh9xghevozk">
        <w:r>
          <w:rPr>
            <w:rStyle w:val="Hyperlink"/>
            <w:color w:val="1A5FB4"/>
            <w:u w:val="single"/>
          </w:rPr>
          <w:t xml:space="preserve">workhands.bitrix24.ru/.../52339/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Miro, доска CJM Рабочие Руки.Mobile (виджет реф-программы): </w:t>
      </w:r>
      <w:hyperlink w:history="1" r:id="rIdg-fmvg4yvsg9iaox8ni5s">
        <w:r>
          <w:rPr>
            <w:rStyle w:val="Hyperlink"/>
            <w:color w:val="1A5FB4"/>
            <w:u w:val="single"/>
          </w:rPr>
          <w:t xml:space="preserve">miro.com/app/board/uXjVG7wPHPQ=</w:t>
        </w:r>
      </w:hyperlink>
    </w:p>
    <w:p>
      <w:pPr>
        <w:pStyle w:val="ListParagraph"/>
        <w:numPr>
          <w:ilvl w:val="0"/>
          <w:numId w:val="2"/>
        </w:numPr>
      </w:pPr>
      <w:r>
        <w:t xml:space="preserve">Google Sheets, исторические данные стоимости привлечения исполнителей: </w:t>
      </w:r>
      <w:hyperlink w:history="1" r:id="rIdyaui4dsj1k9apyr4s3dru">
        <w:r>
          <w:rPr>
            <w:rStyle w:val="Hyperlink"/>
            <w:color w:val="1A5FB4"/>
            <w:u w:val="single"/>
          </w:rPr>
          <w:t xml:space="preserve">docs.google.com/.../1hx2Cqi...</w:t>
        </w:r>
      </w:hyperlink>
    </w:p>
    <w:p>
      <w:pPr>
        <w:pStyle w:val="ListParagraph"/>
        <w:numPr>
          <w:ilvl w:val="0"/>
          <w:numId w:val="2"/>
        </w:numPr>
      </w:pPr>
      <w:r>
        <w:t xml:space="preserve">Файл ТЗ из задачи #53413: «Документ Microsoft Word (3) (1).docx», прикреплён 25.02.2026 (в этом черновике не разобран).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ТЗ. Реферальная программа РР • Черновик 0.1</w:t>
    </w:r>
    <w:r>
      <w:t xml:space="preserve">	</w:t>
    </w: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A6478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cpf0utkcoec1s5xjdgpw" Type="http://schemas.openxmlformats.org/officeDocument/2006/relationships/hyperlink" Target="https://workhands.bitrix24.ru/company/personal/user/1355/tasks/task/view/67031/" TargetMode="External"/><Relationship Id="rIdsnkabydqwfbkvyfmxmc0c" Type="http://schemas.openxmlformats.org/officeDocument/2006/relationships/hyperlink" Target="https://workhands.bitrix24.ru/company/personal/user/1355/tasks/task/view/53413/" TargetMode="External"/><Relationship Id="rIdnjwre2tpnajh9xghevozk" Type="http://schemas.openxmlformats.org/officeDocument/2006/relationships/hyperlink" Target="https://workhands.bitrix24.ru/company/personal/user/1399/tasks/task/view/52339/" TargetMode="External"/><Relationship Id="rIdg-fmvg4yvsg9iaox8ni5s" Type="http://schemas.openxmlformats.org/officeDocument/2006/relationships/hyperlink" Target="https://miro.com/app/board/uXjVG7wPHPQ=/?moveToWidget=3458764664940347430&amp;cot=14" TargetMode="External"/><Relationship Id="rIdyaui4dsj1k9apyr4s3dru" Type="http://schemas.openxmlformats.org/officeDocument/2006/relationships/hyperlink" Target="https://docs.google.com/spreadsheets/d/1hx2CqiGSWvngTh6mDoAfy26Kq9DWWBbd257ifu7Gf_c/edit?gid=1469394917#gid=1469394917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2026-05-13T10:09:08.514Z</dcterms:created>
  <dcterms:modified xsi:type="dcterms:W3CDTF">2026-05-13T10:09:08.514Z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