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Semantic Image Manipulation: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will use a novel hierarchical framework for semantic image manipulation. Key to the hierarchical framework is that we employ structured semantic layout as our intermediate representation for manipulation. Initialized with coarse-level bounding boxes, our structure generator first creates pixel-wise semantic layout capturing the object shape, object-object interactions, and object-scene relations. Then our image generator fills in the pixel-level textures guided by the semantic layout. Such framework allows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to manipulate images at object-level by adding, removing, and moving 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bounding box at a time. It performs better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than existing image generation and context hole-filing models, both qualitatively and quantitatively. Benefits of the hierarchical framework lie in applications such as semantic object manipulation, interactive image editing, and data-driven image manipulation.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will have two main components: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Structure Generator: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351096" cy="11654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096" cy="1165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Generator: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979503" cy="143232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503" cy="143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Currently, the model is trained on Cityscape dataset. We will use transfer learning and then train the model using CoCo dataset.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Using BigBiGAN to generate more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09215" cy="187147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215" cy="1871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