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clear"/>
            <w:tcMar>
              <w:left w:type="dxa" w:w="1500"/>
              <w:right w:type="dxa" w:w="1500"/>
            </w:tcMar>
            <w:vAlign w:val="top"/>
          </w:tcPr>
          <w:p>
            <w:pPr>
              <w:spacing w:before="900" w:line="240"/>
            </w:pPr>
          </w:p>
          <w:p>
            <w:pPr>
              <w:bidi/>
              <w:spacing w:after="160" w:line="460" w:lineRule="atLeast"/>
              <w:jc w:val="center"/>
            </w:pPr>
            <w:r>
              <w:rPr>
                <w:rFonts w:ascii="Arial" w:cs="Arial" w:hAnsi="Arial"/>
                <w:b/>
                <w:bCs/>
                <w:i w:val="false"/>
                <w:iCs w:val="false"/>
                <w:color w:val="000000"/>
                <w:sz w:val="40"/>
                <w:szCs w:val="40"/>
                <w:rtl/>
              </w:rPr>
              <w:t xml:space="preserve">[اسم الجامعة: ______]</w:t>
            </w:r>
          </w:p>
          <w:p>
            <w:pPr>
              <w:bidi/>
              <w:spacing w:after="60" w:line="322" w:lineRule="atLeast"/>
              <w:jc w:val="center"/>
            </w:pPr>
            <w:r>
              <w:rPr>
                <w:rFonts w:ascii="Arial" w:cs="Arial" w:hAnsi="Arial"/>
                <w:b w:val="false"/>
                <w:i w:val="false"/>
                <w:iCs w:val="false"/>
                <w:color w:val="000000"/>
                <w:sz w:val="28"/>
                <w:szCs w:val="28"/>
                <w:rtl/>
              </w:rPr>
              <w:t xml:space="preserve">[اسم الكلية: ______]</w:t>
            </w:r>
          </w:p>
          <w:p>
            <w:pPr>
              <w:bidi/>
              <w:spacing w:after="500" w:line="322" w:lineRule="atLeast"/>
              <w:jc w:val="center"/>
            </w:pPr>
            <w:r>
              <w:rPr>
                <w:rFonts w:ascii="Arial" w:cs="Arial" w:hAnsi="Arial"/>
                <w:b w:val="false"/>
                <w:i w:val="false"/>
                <w:iCs w:val="false"/>
                <w:color w:val="000000"/>
                <w:sz w:val="28"/>
                <w:szCs w:val="28"/>
                <w:rtl/>
              </w:rPr>
              <w:t xml:space="preserve">[اسم القسم: ______]</w:t>
            </w:r>
          </w:p>
          <w:p>
            <w:pPr>
              <w:bidi/>
              <w:spacing w:after="260" w:line="322" w:lineRule="atLeast"/>
              <w:jc w:val="center"/>
            </w:pPr>
            <w:r>
              <w:rPr>
                <w:rFonts w:ascii="Arial" w:cs="Arial" w:hAnsi="Arial"/>
                <w:b w:val="false"/>
                <w:i w:val="false"/>
                <w:iCs w:val="false"/>
                <w:color w:val="595959"/>
                <w:sz w:val="28"/>
                <w:szCs w:val="28"/>
                <w:rtl/>
              </w:rPr>
              <w:t xml:space="preserve">مشروع تطبيقي لمقرر الحوسبة السحابية والأنظمة الموزعة</w:t>
            </w:r>
          </w:p>
          <w:p>
            <w:pPr>
              <w:spacing w:after="120" w:line="920" w:lineRule="atLeast"/>
              <w:jc w:val="center"/>
            </w:pPr>
            <w:r>
              <w:rPr>
                <w:rFonts w:ascii="Arial" w:cs="Arial" w:hAnsi="Arial"/>
                <w:b/>
                <w:bCs/>
                <w:i w:val="false"/>
                <w:iCs w:val="false"/>
                <w:color w:val="000000"/>
                <w:sz w:val="80"/>
                <w:szCs w:val="80"/>
                <w:rtl w:val="false"/>
              </w:rPr>
              <w:t xml:space="preserve">CrowdCloud</w:t>
            </w:r>
          </w:p>
          <w:p>
            <w:pPr>
              <w:bidi/>
              <w:spacing w:after="700" w:line="368" w:lineRule="atLeast"/>
              <w:jc w:val="center"/>
            </w:pPr>
            <w:r>
              <w:rPr>
                <w:rFonts w:ascii="Arial" w:cs="Arial" w:hAnsi="Arial"/>
                <w:b/>
                <w:bCs/>
                <w:i w:val="false"/>
                <w:iCs w:val="false"/>
                <w:color w:val="000000"/>
                <w:sz w:val="32"/>
                <w:szCs w:val="32"/>
                <w:rtl/>
              </w:rPr>
              <w:t xml:space="preserve">منصة سحابية ذكية لإدارة الطوابير وضغط الخدمات</w:t>
            </w:r>
          </w:p>
          <w:tbl>
            <w:tblPr>
              <w:bidiVisual/>
              <w:tblW w:type="pct" w:w="74%"/>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tblGrid>
            <w:tr>
              <w:trPr>
                <w:cantSplit/>
              </w:trPr>
              <w:tc>
                <w:tcPr>
                  <w:tcW w:type="pct" w:w="34%"/>
                  <w:tcBorders>
                    <w:top w:val="none" w:color="FFFFFF" w:sz="0"/>
                    <w:left w:val="none" w:color="FFFFFF" w:sz="0"/>
                    <w:bottom w:val="none" w:color="FFFFFF" w:sz="0"/>
                    <w:right w:val="none" w:color="FFFFFF" w:sz="0"/>
                  </w:tcBorders>
                  <w:tcMar>
                    <w:top w:type="dxa" w:w="50"/>
                    <w:left w:type="dxa" w:w="60"/>
                    <w:bottom w:type="dxa" w:w="50"/>
                    <w:right w:type="dxa" w:w="60"/>
                  </w:tcMar>
                </w:tcPr>
                <w:p>
                  <w:pPr>
                    <w:bidi/>
                    <w:spacing w:line="340" w:lineRule="atLeast"/>
                    <w:jc w:val="right"/>
                  </w:pPr>
                  <w:r>
                    <w:rPr>
                      <w:rFonts w:ascii="Arial" w:cs="Arial" w:hAnsi="Arial"/>
                      <w:b/>
                      <w:bCs/>
                      <w:i w:val="false"/>
                      <w:iCs w:val="false"/>
                      <w:color w:val="000000"/>
                      <w:sz w:val="24"/>
                      <w:szCs w:val="24"/>
                      <w:rtl/>
                    </w:rPr>
                    <w:t xml:space="preserve">المقرر</w:t>
                  </w:r>
                </w:p>
              </w:tc>
              <w:tc>
                <w:tcPr>
                  <w:tcW w:type="pct" w:w="66%"/>
                  <w:tcBorders>
                    <w:top w:val="none" w:color="FFFFFF" w:sz="0"/>
                    <w:left w:val="none" w:color="FFFFFF" w:sz="0"/>
                    <w:bottom w:val="single" w:color="000000" w:sz="4"/>
                    <w:right w:val="none" w:color="FFFFFF" w:sz="0"/>
                  </w:tcBorders>
                  <w:tcMar>
                    <w:top w:type="dxa" w:w="50"/>
                    <w:left w:type="dxa" w:w="60"/>
                    <w:bottom w:type="dxa" w:w="50"/>
                    <w:right w:type="dxa" w:w="60"/>
                  </w:tcMar>
                </w:tcPr>
                <w:p>
                  <w:pPr>
                    <w:bidi w:val="false"/>
                    <w:spacing w:line="340" w:lineRule="atLeast"/>
                    <w:jc w:val="center"/>
                  </w:pPr>
                  <w:r>
                    <w:rPr>
                      <w:rFonts w:ascii="Arial" w:cs="Arial" w:hAnsi="Arial"/>
                      <w:b w:val="false"/>
                      <w:i w:val="false"/>
                      <w:iCs w:val="false"/>
                      <w:color w:val="000000"/>
                      <w:sz w:val="24"/>
                      <w:szCs w:val="24"/>
                      <w:rtl w:val="false"/>
                    </w:rPr>
                    <w:t xml:space="preserve">Cloud Computing &amp; Distributed Systems</w:t>
                  </w:r>
                </w:p>
              </w:tc>
            </w:tr>
            <w:tr>
              <w:trPr>
                <w:cantSplit/>
              </w:trPr>
              <w:tc>
                <w:tcPr>
                  <w:tcW w:type="pct" w:w="34%"/>
                  <w:tcBorders>
                    <w:top w:val="none" w:color="FFFFFF" w:sz="0"/>
                    <w:left w:val="none" w:color="FFFFFF" w:sz="0"/>
                    <w:bottom w:val="none" w:color="FFFFFF" w:sz="0"/>
                    <w:right w:val="none" w:color="FFFFFF" w:sz="0"/>
                  </w:tcBorders>
                  <w:tcMar>
                    <w:top w:type="dxa" w:w="50"/>
                    <w:left w:type="dxa" w:w="60"/>
                    <w:bottom w:type="dxa" w:w="50"/>
                    <w:right w:type="dxa" w:w="60"/>
                  </w:tcMar>
                </w:tcPr>
                <w:p>
                  <w:pPr>
                    <w:bidi/>
                    <w:spacing w:line="340" w:lineRule="atLeast"/>
                    <w:jc w:val="right"/>
                  </w:pPr>
                  <w:r>
                    <w:rPr>
                      <w:rFonts w:ascii="Arial" w:cs="Arial" w:hAnsi="Arial"/>
                      <w:b/>
                      <w:bCs/>
                      <w:i w:val="false"/>
                      <w:iCs w:val="false"/>
                      <w:color w:val="000000"/>
                      <w:sz w:val="24"/>
                      <w:szCs w:val="24"/>
                      <w:rtl/>
                    </w:rPr>
                    <w:t xml:space="preserve">رمز المقرر</w:t>
                  </w:r>
                </w:p>
              </w:tc>
              <w:tc>
                <w:tcPr>
                  <w:tcW w:type="pct" w:w="66%"/>
                  <w:tcBorders>
                    <w:top w:val="none" w:color="FFFFFF" w:sz="0"/>
                    <w:left w:val="none" w:color="FFFFFF" w:sz="0"/>
                    <w:bottom w:val="single" w:color="000000" w:sz="4"/>
                    <w:right w:val="none" w:color="FFFFFF" w:sz="0"/>
                  </w:tcBorders>
                  <w:tcMar>
                    <w:top w:type="dxa" w:w="50"/>
                    <w:left w:type="dxa" w:w="60"/>
                    <w:bottom w:type="dxa" w:w="50"/>
                    <w:right w:type="dxa" w:w="60"/>
                  </w:tcMar>
                </w:tcPr>
                <w:p>
                  <w:pPr>
                    <w:bidi w:val="false"/>
                    <w:spacing w:line="340" w:lineRule="atLeast"/>
                    <w:jc w:val="center"/>
                  </w:pPr>
                  <w:r>
                    <w:rPr>
                      <w:rFonts w:ascii="Arial" w:cs="Arial" w:hAnsi="Arial"/>
                      <w:b w:val="false"/>
                      <w:i w:val="false"/>
                      <w:iCs w:val="false"/>
                      <w:color w:val="000000"/>
                      <w:sz w:val="24"/>
                      <w:szCs w:val="24"/>
                      <w:rtl w:val="false"/>
                    </w:rPr>
                    <w:t xml:space="preserve">3CCN314</w:t>
                  </w:r>
                </w:p>
              </w:tc>
            </w:tr>
            <w:tr>
              <w:trPr>
                <w:cantSplit/>
              </w:trPr>
              <w:tc>
                <w:tcPr>
                  <w:tcW w:type="pct" w:w="34%"/>
                  <w:tcBorders>
                    <w:top w:val="none" w:color="FFFFFF" w:sz="0"/>
                    <w:left w:val="none" w:color="FFFFFF" w:sz="0"/>
                    <w:bottom w:val="none" w:color="FFFFFF" w:sz="0"/>
                    <w:right w:val="none" w:color="FFFFFF" w:sz="0"/>
                  </w:tcBorders>
                  <w:tcMar>
                    <w:top w:type="dxa" w:w="50"/>
                    <w:left w:type="dxa" w:w="60"/>
                    <w:bottom w:type="dxa" w:w="50"/>
                    <w:right w:type="dxa" w:w="60"/>
                  </w:tcMar>
                </w:tcPr>
                <w:p>
                  <w:pPr>
                    <w:bidi/>
                    <w:spacing w:line="340" w:lineRule="atLeast"/>
                    <w:jc w:val="right"/>
                  </w:pPr>
                  <w:r>
                    <w:rPr>
                      <w:rFonts w:ascii="Arial" w:cs="Arial" w:hAnsi="Arial"/>
                      <w:b/>
                      <w:bCs/>
                      <w:i w:val="false"/>
                      <w:iCs w:val="false"/>
                      <w:color w:val="000000"/>
                      <w:sz w:val="24"/>
                      <w:szCs w:val="24"/>
                      <w:rtl/>
                    </w:rPr>
                    <w:t xml:space="preserve">أستاذ المقرر</w:t>
                  </w:r>
                </w:p>
              </w:tc>
              <w:tc>
                <w:tcPr>
                  <w:tcW w:type="pct" w:w="66%"/>
                  <w:tcBorders>
                    <w:top w:val="none" w:color="FFFFFF" w:sz="0"/>
                    <w:left w:val="none" w:color="FFFFFF" w:sz="0"/>
                    <w:bottom w:val="single" w:color="000000" w:sz="4"/>
                    <w:right w:val="none" w:color="FFFFFF" w:sz="0"/>
                  </w:tcBorders>
                  <w:tcMar>
                    <w:top w:type="dxa" w:w="50"/>
                    <w:left w:type="dxa" w:w="60"/>
                    <w:bottom w:type="dxa" w:w="50"/>
                    <w:right w:type="dxa" w:w="60"/>
                  </w:tcMar>
                </w:tcPr>
                <w:p>
                  <w:pPr>
                    <w:bidi/>
                    <w:spacing w:line="340" w:lineRule="atLeast"/>
                    <w:jc w:val="center"/>
                  </w:pPr>
                  <w:r>
                    <w:rPr>
                      <w:rFonts w:ascii="Arial" w:cs="Arial" w:hAnsi="Arial"/>
                      <w:b w:val="false"/>
                      <w:i w:val="false"/>
                      <w:iCs w:val="false"/>
                      <w:color w:val="000000"/>
                      <w:sz w:val="24"/>
                      <w:szCs w:val="24"/>
                      <w:rtl/>
                    </w:rPr>
                    <w:t xml:space="preserve">[اسم أستاذ المقرر: ______]</w:t>
                  </w:r>
                </w:p>
              </w:tc>
            </w:tr>
            <w:tr>
              <w:trPr>
                <w:cantSplit/>
              </w:trPr>
              <w:tc>
                <w:tcPr>
                  <w:tcW w:type="pct" w:w="34%"/>
                  <w:tcBorders>
                    <w:top w:val="none" w:color="FFFFFF" w:sz="0"/>
                    <w:left w:val="none" w:color="FFFFFF" w:sz="0"/>
                    <w:bottom w:val="none" w:color="FFFFFF" w:sz="0"/>
                    <w:right w:val="none" w:color="FFFFFF" w:sz="0"/>
                  </w:tcBorders>
                  <w:tcMar>
                    <w:top w:type="dxa" w:w="50"/>
                    <w:left w:type="dxa" w:w="60"/>
                    <w:bottom w:type="dxa" w:w="50"/>
                    <w:right w:type="dxa" w:w="60"/>
                  </w:tcMar>
                </w:tcPr>
                <w:p>
                  <w:pPr>
                    <w:bidi/>
                    <w:spacing w:line="340" w:lineRule="atLeast"/>
                    <w:jc w:val="right"/>
                  </w:pPr>
                  <w:r>
                    <w:rPr>
                      <w:rFonts w:ascii="Arial" w:cs="Arial" w:hAnsi="Arial"/>
                      <w:b/>
                      <w:bCs/>
                      <w:i w:val="false"/>
                      <w:iCs w:val="false"/>
                      <w:color w:val="000000"/>
                      <w:sz w:val="24"/>
                      <w:szCs w:val="24"/>
                      <w:rtl/>
                    </w:rPr>
                    <w:t xml:space="preserve">تاريخ التسليم</w:t>
                  </w:r>
                </w:p>
              </w:tc>
              <w:tc>
                <w:tcPr>
                  <w:tcW w:type="pct" w:w="66%"/>
                  <w:tcBorders>
                    <w:top w:val="none" w:color="FFFFFF" w:sz="0"/>
                    <w:left w:val="none" w:color="FFFFFF" w:sz="0"/>
                    <w:bottom w:val="single" w:color="000000" w:sz="4"/>
                    <w:right w:val="none" w:color="FFFFFF" w:sz="0"/>
                  </w:tcBorders>
                  <w:tcMar>
                    <w:top w:type="dxa" w:w="50"/>
                    <w:left w:type="dxa" w:w="60"/>
                    <w:bottom w:type="dxa" w:w="50"/>
                    <w:right w:type="dxa" w:w="60"/>
                  </w:tcMar>
                </w:tcPr>
                <w:p>
                  <w:pPr>
                    <w:bidi/>
                    <w:spacing w:line="340" w:lineRule="atLeast"/>
                    <w:jc w:val="center"/>
                  </w:pPr>
                  <w:r>
                    <w:rPr>
                      <w:rFonts w:ascii="Arial" w:cs="Arial" w:hAnsi="Arial"/>
                      <w:b w:val="false"/>
                      <w:i w:val="false"/>
                      <w:iCs w:val="false"/>
                      <w:color w:val="000000"/>
                      <w:sz w:val="24"/>
                      <w:szCs w:val="24"/>
                      <w:rtl/>
                    </w:rPr>
                    <w:t xml:space="preserve">[التاريخ: ______]</w:t>
                  </w:r>
                </w:p>
              </w:tc>
            </w:tr>
          </w:tbl>
          <w:p>
            <w:pPr>
              <w:spacing w:before="460" w:line="240"/>
            </w:pPr>
          </w:p>
          <w:tbl>
            <w:tblPr>
              <w:bidiVisual/>
              <w:tblW w:type="pct" w:w="78%"/>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tblGrid>
            <w:tr>
              <w:trPr>
                <w:cantSplit/>
              </w:trPr>
              <w:tc>
                <w:tcPr>
                  <w:tcW w:type="pct" w:w="100%"/>
                  <w:gridSpan w:val="2"/>
                  <w:tcBorders>
                    <w:top w:val="none" w:color="FFFFFF" w:sz="0"/>
                    <w:left w:val="none" w:color="FFFFFF" w:sz="0"/>
                    <w:bottom w:val="none" w:color="FFFFFF" w:sz="0"/>
                    <w:right w:val="none" w:color="FFFFFF" w:sz="0"/>
                  </w:tcBorders>
                  <w:shd w:fill="F5F7FA" w:val="clear"/>
                  <w:tcMar>
                    <w:top w:type="dxa" w:w="60"/>
                    <w:left w:type="dxa" w:w="60"/>
                    <w:bottom w:type="dxa" w:w="60"/>
                    <w:right w:type="dxa" w:w="60"/>
                  </w:tcMar>
                </w:tcPr>
                <w:p>
                  <w:pPr>
                    <w:bidi/>
                    <w:spacing w:line="340" w:lineRule="atLeast"/>
                    <w:jc w:val="center"/>
                  </w:pPr>
                  <w:r>
                    <w:rPr>
                      <w:rFonts w:ascii="Arial" w:cs="Arial" w:hAnsi="Arial"/>
                      <w:b/>
                      <w:bCs/>
                      <w:i w:val="false"/>
                      <w:iCs w:val="false"/>
                      <w:color w:val="000000"/>
                      <w:sz w:val="26"/>
                      <w:szCs w:val="26"/>
                      <w:rtl/>
                    </w:rPr>
                    <w:t xml:space="preserve">أعضاء المجموعة الثالثة</w:t>
                  </w:r>
                </w:p>
              </w:tc>
            </w:tr>
            <w:tr>
              <w:trPr>
                <w:cantSplit/>
              </w:trPr>
              <w:tc>
                <w:tcPr>
                  <w:tcW w:type="pct" w:w="62%"/>
                  <w:tcBorders>
                    <w:top w:val="none" w:color="FFFFFF" w:sz="0"/>
                    <w:left w:val="none" w:color="FFFFFF" w:sz="0"/>
                    <w:bottom w:val="none" w:color="FFFFFF" w:sz="0"/>
                    <w:right w:val="none" w:color="FFFFFF" w:sz="0"/>
                  </w:tcBorders>
                  <w:tcMar>
                    <w:top w:type="dxa" w:w="50"/>
                    <w:left w:type="dxa" w:w="60"/>
                    <w:bottom w:type="dxa" w:w="50"/>
                    <w:right w:type="dxa" w:w="60"/>
                  </w:tcMar>
                </w:tcPr>
                <w:p>
                  <w:pPr>
                    <w:bidi/>
                    <w:spacing w:line="340" w:lineRule="atLeast"/>
                    <w:jc w:val="right"/>
                  </w:pPr>
                  <w:r>
                    <w:rPr>
                      <w:rFonts w:ascii="Arial" w:cs="Arial" w:hAnsi="Arial"/>
                      <w:b/>
                      <w:bCs/>
                      <w:i w:val="false"/>
                      <w:iCs w:val="false"/>
                      <w:color w:val="000000"/>
                      <w:sz w:val="24"/>
                      <w:szCs w:val="24"/>
                      <w:rtl/>
                    </w:rPr>
                    <w:t xml:space="preserve">عبدالعزيز محمد ال منصور</w:t>
                  </w:r>
                </w:p>
              </w:tc>
              <w:tc>
                <w:tcPr>
                  <w:tcW w:type="pct" w:w="38%"/>
                  <w:tcBorders>
                    <w:top w:val="none" w:color="FFFFFF" w:sz="0"/>
                    <w:left w:val="none" w:color="FFFFFF" w:sz="0"/>
                    <w:bottom w:val="single" w:color="000000" w:sz="4"/>
                    <w:right w:val="none" w:color="FFFFFF" w:sz="0"/>
                  </w:tcBorders>
                  <w:tcMar>
                    <w:top w:type="dxa" w:w="50"/>
                    <w:left w:type="dxa" w:w="60"/>
                    <w:bottom w:type="dxa" w:w="50"/>
                    <w:right w:type="dxa" w:w="60"/>
                  </w:tcMar>
                </w:tcPr>
                <w:p>
                  <w:pPr>
                    <w:bidi w:val="false"/>
                    <w:spacing w:line="340" w:lineRule="atLeast"/>
                    <w:jc w:val="center"/>
                  </w:pPr>
                  <w:r>
                    <w:rPr>
                      <w:rFonts w:ascii="Arial" w:cs="Arial" w:hAnsi="Arial"/>
                      <w:b w:val="false"/>
                      <w:i w:val="false"/>
                      <w:iCs w:val="false"/>
                      <w:color w:val="000000"/>
                      <w:sz w:val="24"/>
                      <w:szCs w:val="24"/>
                      <w:rtl w:val="false"/>
                    </w:rPr>
                    <w:t xml:space="preserve">444101274</w:t>
                  </w:r>
                </w:p>
              </w:tc>
            </w:tr>
            <w:tr>
              <w:trPr>
                <w:cantSplit/>
              </w:trPr>
              <w:tc>
                <w:tcPr>
                  <w:tcW w:type="pct" w:w="62%"/>
                  <w:tcBorders>
                    <w:top w:val="none" w:color="FFFFFF" w:sz="0"/>
                    <w:left w:val="none" w:color="FFFFFF" w:sz="0"/>
                    <w:bottom w:val="none" w:color="FFFFFF" w:sz="0"/>
                    <w:right w:val="none" w:color="FFFFFF" w:sz="0"/>
                  </w:tcBorders>
                  <w:tcMar>
                    <w:top w:type="dxa" w:w="50"/>
                    <w:left w:type="dxa" w:w="60"/>
                    <w:bottom w:type="dxa" w:w="50"/>
                    <w:right w:type="dxa" w:w="60"/>
                  </w:tcMar>
                </w:tcPr>
                <w:p>
                  <w:pPr>
                    <w:bidi/>
                    <w:spacing w:line="340" w:lineRule="atLeast"/>
                    <w:jc w:val="right"/>
                  </w:pPr>
                  <w:r>
                    <w:rPr>
                      <w:rFonts w:ascii="Arial" w:cs="Arial" w:hAnsi="Arial"/>
                      <w:b/>
                      <w:bCs/>
                      <w:i w:val="false"/>
                      <w:iCs w:val="false"/>
                      <w:color w:val="000000"/>
                      <w:sz w:val="24"/>
                      <w:szCs w:val="24"/>
                      <w:rtl/>
                    </w:rPr>
                    <w:t xml:space="preserve">علي نصرالله المكرمي</w:t>
                  </w:r>
                </w:p>
              </w:tc>
              <w:tc>
                <w:tcPr>
                  <w:tcW w:type="pct" w:w="38%"/>
                  <w:tcBorders>
                    <w:top w:val="none" w:color="FFFFFF" w:sz="0"/>
                    <w:left w:val="none" w:color="FFFFFF" w:sz="0"/>
                    <w:bottom w:val="single" w:color="000000" w:sz="4"/>
                    <w:right w:val="none" w:color="FFFFFF" w:sz="0"/>
                  </w:tcBorders>
                  <w:tcMar>
                    <w:top w:type="dxa" w:w="50"/>
                    <w:left w:type="dxa" w:w="60"/>
                    <w:bottom w:type="dxa" w:w="50"/>
                    <w:right w:type="dxa" w:w="60"/>
                  </w:tcMar>
                </w:tcPr>
                <w:p>
                  <w:pPr>
                    <w:bidi w:val="false"/>
                    <w:spacing w:line="340" w:lineRule="atLeast"/>
                    <w:jc w:val="center"/>
                  </w:pPr>
                  <w:r>
                    <w:rPr>
                      <w:rFonts w:ascii="Arial" w:cs="Arial" w:hAnsi="Arial"/>
                      <w:b w:val="false"/>
                      <w:i w:val="false"/>
                      <w:iCs w:val="false"/>
                      <w:color w:val="000000"/>
                      <w:sz w:val="24"/>
                      <w:szCs w:val="24"/>
                      <w:rtl w:val="false"/>
                    </w:rPr>
                    <w:t xml:space="preserve">443102797</w:t>
                  </w:r>
                </w:p>
              </w:tc>
            </w:tr>
            <w:tr>
              <w:trPr>
                <w:cantSplit/>
              </w:trPr>
              <w:tc>
                <w:tcPr>
                  <w:tcW w:type="pct" w:w="62%"/>
                  <w:tcBorders>
                    <w:top w:val="none" w:color="FFFFFF" w:sz="0"/>
                    <w:left w:val="none" w:color="FFFFFF" w:sz="0"/>
                    <w:bottom w:val="none" w:color="FFFFFF" w:sz="0"/>
                    <w:right w:val="none" w:color="FFFFFF" w:sz="0"/>
                  </w:tcBorders>
                  <w:tcMar>
                    <w:top w:type="dxa" w:w="50"/>
                    <w:left w:type="dxa" w:w="60"/>
                    <w:bottom w:type="dxa" w:w="50"/>
                    <w:right w:type="dxa" w:w="60"/>
                  </w:tcMar>
                </w:tcPr>
                <w:p>
                  <w:pPr>
                    <w:bidi/>
                    <w:spacing w:line="340" w:lineRule="atLeast"/>
                    <w:jc w:val="right"/>
                  </w:pPr>
                  <w:r>
                    <w:rPr>
                      <w:rFonts w:ascii="Arial" w:cs="Arial" w:hAnsi="Arial"/>
                      <w:b/>
                      <w:bCs/>
                      <w:i w:val="false"/>
                      <w:iCs w:val="false"/>
                      <w:color w:val="000000"/>
                      <w:sz w:val="24"/>
                      <w:szCs w:val="24"/>
                      <w:rtl/>
                    </w:rPr>
                    <w:t xml:space="preserve">محمد عمر بلعيد</w:t>
                  </w:r>
                </w:p>
              </w:tc>
              <w:tc>
                <w:tcPr>
                  <w:tcW w:type="pct" w:w="38%"/>
                  <w:tcBorders>
                    <w:top w:val="none" w:color="FFFFFF" w:sz="0"/>
                    <w:left w:val="none" w:color="FFFFFF" w:sz="0"/>
                    <w:bottom w:val="single" w:color="000000" w:sz="4"/>
                    <w:right w:val="none" w:color="FFFFFF" w:sz="0"/>
                  </w:tcBorders>
                  <w:tcMar>
                    <w:top w:type="dxa" w:w="50"/>
                    <w:left w:type="dxa" w:w="60"/>
                    <w:bottom w:type="dxa" w:w="50"/>
                    <w:right w:type="dxa" w:w="60"/>
                  </w:tcMar>
                </w:tcPr>
                <w:p>
                  <w:pPr>
                    <w:bidi w:val="false"/>
                    <w:spacing w:line="340" w:lineRule="atLeast"/>
                    <w:jc w:val="center"/>
                  </w:pPr>
                  <w:r>
                    <w:rPr>
                      <w:rFonts w:ascii="Arial" w:cs="Arial" w:hAnsi="Arial"/>
                      <w:b w:val="false"/>
                      <w:i w:val="false"/>
                      <w:iCs w:val="false"/>
                      <w:color w:val="000000"/>
                      <w:sz w:val="24"/>
                      <w:szCs w:val="24"/>
                      <w:rtl w:val="false"/>
                    </w:rPr>
                    <w:t xml:space="preserve">444105743</w:t>
                  </w:r>
                </w:p>
              </w:tc>
            </w:tr>
            <w:tr>
              <w:trPr>
                <w:cantSplit/>
              </w:trPr>
              <w:tc>
                <w:tcPr>
                  <w:tcW w:type="pct" w:w="62%"/>
                  <w:tcBorders>
                    <w:top w:val="none" w:color="FFFFFF" w:sz="0"/>
                    <w:left w:val="none" w:color="FFFFFF" w:sz="0"/>
                    <w:bottom w:val="none" w:color="FFFFFF" w:sz="0"/>
                    <w:right w:val="none" w:color="FFFFFF" w:sz="0"/>
                  </w:tcBorders>
                  <w:tcMar>
                    <w:top w:type="dxa" w:w="50"/>
                    <w:left w:type="dxa" w:w="60"/>
                    <w:bottom w:type="dxa" w:w="50"/>
                    <w:right w:type="dxa" w:w="60"/>
                  </w:tcMar>
                </w:tcPr>
                <w:p>
                  <w:pPr>
                    <w:bidi/>
                    <w:spacing w:line="340" w:lineRule="atLeast"/>
                    <w:jc w:val="right"/>
                  </w:pPr>
                  <w:r>
                    <w:rPr>
                      <w:rFonts w:ascii="Arial" w:cs="Arial" w:hAnsi="Arial"/>
                      <w:b/>
                      <w:bCs/>
                      <w:i w:val="false"/>
                      <w:iCs w:val="false"/>
                      <w:color w:val="000000"/>
                      <w:sz w:val="24"/>
                      <w:szCs w:val="24"/>
                      <w:rtl/>
                    </w:rPr>
                    <w:t xml:space="preserve">عبدالله ادريس المكرمي</w:t>
                  </w:r>
                </w:p>
              </w:tc>
              <w:tc>
                <w:tcPr>
                  <w:tcW w:type="pct" w:w="38%"/>
                  <w:tcBorders>
                    <w:top w:val="none" w:color="FFFFFF" w:sz="0"/>
                    <w:left w:val="none" w:color="FFFFFF" w:sz="0"/>
                    <w:bottom w:val="single" w:color="000000" w:sz="4"/>
                    <w:right w:val="none" w:color="FFFFFF" w:sz="0"/>
                  </w:tcBorders>
                  <w:tcMar>
                    <w:top w:type="dxa" w:w="50"/>
                    <w:left w:type="dxa" w:w="60"/>
                    <w:bottom w:type="dxa" w:w="50"/>
                    <w:right w:type="dxa" w:w="60"/>
                  </w:tcMar>
                </w:tcPr>
                <w:p>
                  <w:pPr>
                    <w:bidi w:val="false"/>
                    <w:spacing w:line="340" w:lineRule="atLeast"/>
                    <w:jc w:val="center"/>
                  </w:pPr>
                  <w:r>
                    <w:rPr>
                      <w:rFonts w:ascii="Arial" w:cs="Arial" w:hAnsi="Arial"/>
                      <w:b w:val="false"/>
                      <w:i w:val="false"/>
                      <w:iCs w:val="false"/>
                      <w:color w:val="000000"/>
                      <w:sz w:val="24"/>
                      <w:szCs w:val="24"/>
                      <w:rtl w:val="false"/>
                    </w:rPr>
                    <w:t xml:space="preserve">444100820</w:t>
                  </w:r>
                </w:p>
              </w:tc>
            </w:tr>
            <w:tr>
              <w:trPr>
                <w:cantSplit/>
              </w:trPr>
              <w:tc>
                <w:tcPr>
                  <w:tcW w:type="pct" w:w="62%"/>
                  <w:tcBorders>
                    <w:top w:val="none" w:color="FFFFFF" w:sz="0"/>
                    <w:left w:val="none" w:color="FFFFFF" w:sz="0"/>
                    <w:bottom w:val="none" w:color="FFFFFF" w:sz="0"/>
                    <w:right w:val="none" w:color="FFFFFF" w:sz="0"/>
                  </w:tcBorders>
                  <w:tcMar>
                    <w:top w:type="dxa" w:w="50"/>
                    <w:left w:type="dxa" w:w="60"/>
                    <w:bottom w:type="dxa" w:w="50"/>
                    <w:right w:type="dxa" w:w="60"/>
                  </w:tcMar>
                </w:tcPr>
                <w:p>
                  <w:pPr>
                    <w:bidi/>
                    <w:spacing w:line="340" w:lineRule="atLeast"/>
                    <w:jc w:val="right"/>
                  </w:pPr>
                  <w:r>
                    <w:rPr>
                      <w:rFonts w:ascii="Arial" w:cs="Arial" w:hAnsi="Arial"/>
                      <w:b/>
                      <w:bCs/>
                      <w:i w:val="false"/>
                      <w:iCs w:val="false"/>
                      <w:color w:val="000000"/>
                      <w:sz w:val="24"/>
                      <w:szCs w:val="24"/>
                      <w:rtl/>
                    </w:rPr>
                    <w:t xml:space="preserve">فارس حسين ال منصور</w:t>
                  </w:r>
                </w:p>
              </w:tc>
              <w:tc>
                <w:tcPr>
                  <w:tcW w:type="pct" w:w="38%"/>
                  <w:tcBorders>
                    <w:top w:val="none" w:color="FFFFFF" w:sz="0"/>
                    <w:left w:val="none" w:color="FFFFFF" w:sz="0"/>
                    <w:bottom w:val="single" w:color="000000" w:sz="4"/>
                    <w:right w:val="none" w:color="FFFFFF" w:sz="0"/>
                  </w:tcBorders>
                  <w:tcMar>
                    <w:top w:type="dxa" w:w="50"/>
                    <w:left w:type="dxa" w:w="60"/>
                    <w:bottom w:type="dxa" w:w="50"/>
                    <w:right w:type="dxa" w:w="60"/>
                  </w:tcMar>
                </w:tcPr>
                <w:p>
                  <w:pPr>
                    <w:bidi w:val="false"/>
                    <w:spacing w:line="340" w:lineRule="atLeast"/>
                    <w:jc w:val="center"/>
                  </w:pPr>
                  <w:r>
                    <w:rPr>
                      <w:rFonts w:ascii="Arial" w:cs="Arial" w:hAnsi="Arial"/>
                      <w:b w:val="false"/>
                      <w:i w:val="false"/>
                      <w:iCs w:val="false"/>
                      <w:color w:val="000000"/>
                      <w:sz w:val="24"/>
                      <w:szCs w:val="24"/>
                      <w:rtl w:val="false"/>
                    </w:rPr>
                    <w:t xml:space="preserve">444100688</w:t>
                  </w:r>
                </w:p>
              </w:tc>
            </w:tr>
            <w:tr>
              <w:trPr>
                <w:cantSplit/>
              </w:trPr>
              <w:tc>
                <w:tcPr>
                  <w:tcW w:type="pct" w:w="62%"/>
                  <w:tcBorders>
                    <w:top w:val="none" w:color="FFFFFF" w:sz="0"/>
                    <w:left w:val="none" w:color="FFFFFF" w:sz="0"/>
                    <w:bottom w:val="none" w:color="FFFFFF" w:sz="0"/>
                    <w:right w:val="none" w:color="FFFFFF" w:sz="0"/>
                  </w:tcBorders>
                  <w:tcMar>
                    <w:top w:type="dxa" w:w="50"/>
                    <w:left w:type="dxa" w:w="60"/>
                    <w:bottom w:type="dxa" w:w="50"/>
                    <w:right w:type="dxa" w:w="60"/>
                  </w:tcMar>
                </w:tcPr>
                <w:p>
                  <w:pPr>
                    <w:bidi/>
                    <w:spacing w:line="340" w:lineRule="atLeast"/>
                    <w:jc w:val="right"/>
                  </w:pPr>
                  <w:r>
                    <w:rPr>
                      <w:rFonts w:ascii="Arial" w:cs="Arial" w:hAnsi="Arial"/>
                      <w:b/>
                      <w:bCs/>
                      <w:i w:val="false"/>
                      <w:iCs w:val="false"/>
                      <w:color w:val="000000"/>
                      <w:sz w:val="24"/>
                      <w:szCs w:val="24"/>
                      <w:rtl/>
                    </w:rPr>
                    <w:t xml:space="preserve">حسن صالح مسفر اليامي</w:t>
                  </w:r>
                </w:p>
              </w:tc>
              <w:tc>
                <w:tcPr>
                  <w:tcW w:type="pct" w:w="38%"/>
                  <w:tcBorders>
                    <w:top w:val="none" w:color="FFFFFF" w:sz="0"/>
                    <w:left w:val="none" w:color="FFFFFF" w:sz="0"/>
                    <w:bottom w:val="single" w:color="000000" w:sz="4"/>
                    <w:right w:val="none" w:color="FFFFFF" w:sz="0"/>
                  </w:tcBorders>
                  <w:tcMar>
                    <w:top w:type="dxa" w:w="50"/>
                    <w:left w:type="dxa" w:w="60"/>
                    <w:bottom w:type="dxa" w:w="50"/>
                    <w:right w:type="dxa" w:w="60"/>
                  </w:tcMar>
                </w:tcPr>
                <w:p>
                  <w:pPr>
                    <w:bidi w:val="false"/>
                    <w:spacing w:line="340" w:lineRule="atLeast"/>
                    <w:jc w:val="center"/>
                  </w:pPr>
                  <w:r>
                    <w:rPr>
                      <w:rFonts w:ascii="Arial" w:cs="Arial" w:hAnsi="Arial"/>
                      <w:b w:val="false"/>
                      <w:i w:val="false"/>
                      <w:iCs w:val="false"/>
                      <w:color w:val="000000"/>
                      <w:sz w:val="24"/>
                      <w:szCs w:val="24"/>
                      <w:rtl w:val="false"/>
                    </w:rPr>
                    <w:t xml:space="preserve">444100615</w:t>
                  </w:r>
                </w:p>
              </w:tc>
            </w:tr>
          </w:tbl>
          <w:p>
            <w:pPr>
              <w:spacing w:before="420" w:line="240"/>
            </w:pPr>
          </w:p>
        </w:tc>
      </w:tr>
    </w:tbl>
    <w:p>
      <w:pPr>
        <w:sectPr>
          <w:pgSz w:w="11906" w:h="16838" w:orient="portrait"/>
          <w:pgMar w:top="0" w:right="0" w:bottom="0" w:left="0" w:header="708" w:footer="708" w:gutter="0"/>
          <w:docGrid w:linePitch="360"/>
        </w:sectPr>
      </w:pPr>
    </w:p>
    <w:p>
      <w:pPr>
        <w:bidi/>
        <w:spacing w:after="320" w:before="240" w:line="460" w:lineRule="atLeast"/>
        <w:jc w:val="center"/>
      </w:pPr>
      <w:r>
        <w:rPr>
          <w:rFonts w:ascii="Arial" w:cs="Arial" w:hAnsi="Arial"/>
          <w:b/>
          <w:bCs/>
          <w:i w:val="false"/>
          <w:iCs w:val="false"/>
          <w:color w:val="000000"/>
          <w:sz w:val="34"/>
          <w:szCs w:val="34"/>
          <w:rtl/>
        </w:rPr>
        <w:t xml:space="preserve">فهرس المحتويات</w:t>
      </w:r>
    </w:p>
    <w:sdt>
      <w:sdtPr>
        <w:alias w:val="Table of Contents"/>
      </w:sdtPr>
      <w:sdtContent>
        <w:p>
          <w:r>
            <w:fldChar w:fldCharType="begin" w:dirty="true"/>
          </w:r>
          <w:r>
            <w:instrText xml:space="preserve">TOC \h \o "1-1"</w:instrText>
          </w:r>
          <w:r>
            <w:fldChar w:fldCharType="separate"/>
          </w:r>
        </w:p>
        <w:p>
          <w:pPr>
            <w:pStyle w:val="9"/>
            <w:tabs>
              <w:tab w:val="right" w:leader="dot" w:pos="9026"/>
            </w:tabs>
            <w:spacing w:before="120" w:after="60"/>
          </w:pPr>
          <w:hyperlink w:anchor="_Toc100000" w:history="1">
            <w:r>
              <w:rPr>
                <w:rStyle w:val="Hyperlink"/>
              </w:rPr>
              <w:t>1. المقدمة وتوصيف المشكلة</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الأهداف والمتطلبات</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لماذا الحوسبة السحابية والأنظمة الموزعة؟ (W1)</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4. نماذج الخدمة والنشر السحابية (W2)</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5. معمارية النظام (W3)</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6. إدارة الطوابير وكشف مستوى الضغط</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7. المحاكاة الافتراضية و Docker (W4)</w:t>
            </w:r>
            <w:r>
              <w:tab/>
            </w:r>
            <w:r>
              <w:fldChar w:fldCharType="begin"/>
            </w:r>
            <w:r>
              <w:instrText xml:space="preserve"> PAGEREF _Toc100006 \h </w:instrText>
            </w:r>
            <w:r>
              <w:fldChar w:fldCharType="separate"/>
            </w:r>
            <w:r>
              <w:t>6</w:t>
            </w:r>
            <w:r>
              <w:fldChar w:fldCharType="end"/>
            </w:r>
          </w:hyperlink>
        </w:p>
        <w:p>
          <w:pPr>
            <w:pStyle w:val="9"/>
            <w:tabs>
              <w:tab w:val="right" w:leader="dot" w:pos="9026"/>
            </w:tabs>
            <w:spacing w:before="120" w:after="60"/>
          </w:pPr>
          <w:hyperlink w:anchor="_Toc100007" w:history="1">
            <w:r>
              <w:rPr>
                <w:rStyle w:val="Hyperlink"/>
              </w:rPr>
              <w:t>8. التنفيذ الفعلي</w:t>
            </w:r>
            <w:r>
              <w:tab/>
            </w:r>
            <w:r>
              <w:fldChar w:fldCharType="begin"/>
            </w:r>
            <w:r>
              <w:instrText xml:space="preserve"> PAGEREF _Toc100007 \h </w:instrText>
            </w:r>
            <w:r>
              <w:fldChar w:fldCharType="separate"/>
            </w:r>
            <w:r>
              <w:t>6</w:t>
            </w:r>
            <w:r>
              <w:fldChar w:fldCharType="end"/>
            </w:r>
          </w:hyperlink>
        </w:p>
        <w:p>
          <w:pPr>
            <w:pStyle w:val="9"/>
            <w:tabs>
              <w:tab w:val="right" w:leader="dot" w:pos="9026"/>
            </w:tabs>
            <w:spacing w:before="120" w:after="60"/>
          </w:pPr>
          <w:hyperlink w:anchor="_Toc100008" w:history="1">
            <w:r>
              <w:rPr>
                <w:rStyle w:val="Hyperlink"/>
              </w:rPr>
              <w:t>9. اختبارات الأداء: المنهجية والنتائج (W5)</w:t>
            </w:r>
            <w:r>
              <w:tab/>
            </w:r>
            <w:r>
              <w:fldChar w:fldCharType="begin"/>
            </w:r>
            <w:r>
              <w:instrText xml:space="preserve"> PAGEREF _Toc100008 \h </w:instrText>
            </w:r>
            <w:r>
              <w:fldChar w:fldCharType="separate"/>
            </w:r>
            <w:r>
              <w:t>7</w:t>
            </w:r>
            <w:r>
              <w:fldChar w:fldCharType="end"/>
            </w:r>
          </w:hyperlink>
        </w:p>
        <w:p>
          <w:pPr>
            <w:pStyle w:val="9"/>
            <w:tabs>
              <w:tab w:val="right" w:leader="dot" w:pos="9026"/>
            </w:tabs>
            <w:spacing w:before="120" w:after="60"/>
          </w:pPr>
          <w:hyperlink w:anchor="_Toc100009" w:history="1">
            <w:r>
              <w:rPr>
                <w:rStyle w:val="Hyperlink"/>
              </w:rPr>
              <w:t>10. نتائج الأداء وتحليلها</w:t>
            </w:r>
            <w:r>
              <w:tab/>
            </w:r>
            <w:r>
              <w:fldChar w:fldCharType="begin"/>
            </w:r>
            <w:r>
              <w:instrText xml:space="preserve"> PAGEREF _Toc100009 \h </w:instrText>
            </w:r>
            <w:r>
              <w:fldChar w:fldCharType="separate"/>
            </w:r>
            <w:r>
              <w:t>8</w:t>
            </w:r>
            <w:r>
              <w:fldChar w:fldCharType="end"/>
            </w:r>
          </w:hyperlink>
        </w:p>
        <w:p>
          <w:pPr>
            <w:pStyle w:val="9"/>
            <w:tabs>
              <w:tab w:val="right" w:leader="dot" w:pos="9026"/>
            </w:tabs>
            <w:spacing w:before="120" w:after="60"/>
          </w:pPr>
          <w:hyperlink w:anchor="_Toc100010" w:history="1">
            <w:r>
              <w:rPr>
                <w:rStyle w:val="Hyperlink"/>
              </w:rPr>
              <w:t>11. تحليل قابلية التوسع (W6)</w:t>
            </w:r>
            <w:r>
              <w:tab/>
            </w:r>
            <w:r>
              <w:fldChar w:fldCharType="begin"/>
            </w:r>
            <w:r>
              <w:instrText xml:space="preserve"> PAGEREF _Toc100010 \h </w:instrText>
            </w:r>
            <w:r>
              <w:fldChar w:fldCharType="separate"/>
            </w:r>
            <w:r>
              <w:t>10</w:t>
            </w:r>
            <w:r>
              <w:fldChar w:fldCharType="end"/>
            </w:r>
          </w:hyperlink>
        </w:p>
        <w:p>
          <w:pPr>
            <w:pStyle w:val="9"/>
            <w:tabs>
              <w:tab w:val="right" w:leader="dot" w:pos="9026"/>
            </w:tabs>
            <w:spacing w:before="120" w:after="60"/>
          </w:pPr>
          <w:hyperlink w:anchor="_Toc100011" w:history="1">
            <w:r>
              <w:rPr>
                <w:rStyle w:val="Hyperlink"/>
              </w:rPr>
              <w:t>12. التحديات والتحسينات المستقبلية</w:t>
            </w:r>
            <w:r>
              <w:tab/>
            </w:r>
            <w:r>
              <w:fldChar w:fldCharType="begin"/>
            </w:r>
            <w:r>
              <w:instrText xml:space="preserve"> PAGEREF _Toc100011 \h </w:instrText>
            </w:r>
            <w:r>
              <w:fldChar w:fldCharType="separate"/>
            </w:r>
            <w:r>
              <w:t>10</w:t>
            </w:r>
            <w:r>
              <w:fldChar w:fldCharType="end"/>
            </w:r>
          </w:hyperlink>
        </w:p>
        <w:p>
          <w:pPr>
            <w:pStyle w:val="9"/>
            <w:tabs>
              <w:tab w:val="right" w:leader="dot" w:pos="9026"/>
            </w:tabs>
            <w:spacing w:before="120" w:after="60"/>
          </w:pPr>
          <w:hyperlink w:anchor="_Toc100012" w:history="1">
            <w:r>
              <w:rPr>
                <w:rStyle w:val="Hyperlink"/>
              </w:rPr>
              <w:t>13. الخاتمة</w:t>
            </w:r>
            <w:r>
              <w:tab/>
            </w:r>
            <w:r>
              <w:fldChar w:fldCharType="begin"/>
            </w:r>
            <w:r>
              <w:instrText xml:space="preserve"> PAGEREF _Toc100012 \h </w:instrText>
            </w:r>
            <w:r>
              <w:fldChar w:fldCharType="separate"/>
            </w:r>
            <w:r>
              <w:t>11</w:t>
            </w:r>
            <w:r>
              <w:fldChar w:fldCharType="end"/>
            </w:r>
          </w:hyperlink>
        </w:p>
        <w:p>
          <w:pPr>
            <w:pStyle w:val="9"/>
            <w:tabs>
              <w:tab w:val="right" w:leader="dot" w:pos="9026"/>
            </w:tabs>
            <w:spacing w:before="120" w:after="60"/>
          </w:pPr>
          <w:hyperlink w:anchor="_Toc100013" w:history="1">
            <w:r>
              <w:rPr>
                <w:rStyle w:val="Hyperlink"/>
              </w:rPr>
              <w:t>المراجع</w:t>
            </w:r>
            <w:r>
              <w:tab/>
            </w:r>
            <w:r>
              <w:fldChar w:fldCharType="begin"/>
            </w:r>
            <w:r>
              <w:instrText xml:space="preserve"> PAGEREF _Toc100013 \h </w:instrText>
            </w:r>
            <w:r>
              <w:fldChar w:fldCharType="separate"/>
            </w:r>
            <w:r>
              <w:t>11</w:t>
            </w:r>
            <w:r>
              <w:fldChar w:fldCharType="end"/>
            </w:r>
          </w:hyperlink>
        </w:p>
        <w:p>
          <w:r>
            <w:fldChar w:fldCharType="end"/>
          </w:r>
        </w:p>
      </w:sdtContent>
    </w:sdt>
    <w:p>
      <w:pPr>
        <w:bidi/>
        <w:spacing w:before="240" w:line="300"/>
      </w:pPr>
      <w:r>
        <w:rPr>
          <w:rFonts w:ascii="Arial" w:cs="Arial" w:hAnsi="Arial"/>
          <w:b w:val="false"/>
          <w:i/>
          <w:iCs/>
          <w:color w:val="888888"/>
          <w:sz w:val="18"/>
          <w:szCs w:val="18"/>
          <w:rtl/>
        </w:rPr>
        <w:t xml:space="preserve">ملاحظة: هذا الفهرس مولّد آليًا بحقول Word. بعد فتح الملف أو تعديله انقر بزر الفأرة الأيمن على الفهرس واختر «تحديث الحقل» ثم «تحديث الجدول بأكمله» لتحديث أرقام الصفحات.</w:t>
      </w:r>
    </w:p>
    <w:p>
      <w:r>
        <w:br w:type="page"/>
      </w:r>
    </w:p>
    <w:p>
      <w:pPr>
        <w:sectPr>
          <w:headerReference w:type="default" r:id="rId7"/>
          <w:footerReference w:type="default" r:id="rId8"/>
          <w:type w:val="nextPage"/>
          <w:pgSz w:w="11906" w:h="16838" w:orient="portrait"/>
          <w:pgMar w:top="1440" w:right="1417" w:bottom="1440" w:left="1701" w:header="850" w:footer="992" w:gutter="0"/>
          <w:pgNumType w:start="1" w:fmt="upperRoman"/>
          <w:docGrid w:linePitch="360"/>
        </w:sectPr>
      </w:pPr>
    </w:p>
    <w:p>
      <w:pPr>
        <w:pStyle w:val="Heading1"/>
        <w:keepNext/>
        <w:bidi/>
        <w:spacing w:after="150" w:before="300" w:line="400" w:lineRule="atLeast"/>
        <w:jc w:val="center"/>
      </w:pPr>
      <w:bookmarkStart w:id="100000" w:name="_Toc100000"/>
      <w:r>
        <w:rPr>
          <w:rFonts w:ascii="Arial" w:cs="Arial" w:hAnsi="Arial"/>
          <w:b/>
          <w:bCs/>
          <w:i w:val="false"/>
          <w:iCs w:val="false"/>
          <w:color w:val="000000"/>
          <w:sz w:val="32"/>
          <w:szCs w:val="32"/>
          <w:rtl/>
        </w:rPr>
        <w:t xml:space="preserve">1. المقدمة وتوصيف المشكلة</w:t>
      </w:r>
      <w:bookmarkEnd w:id="100000"/>
    </w:p>
    <w:p>
      <w:pPr>
        <w:keepNext w:val="false"/>
        <w:bidi/>
        <w:spacing w:after="110" w:before="0" w:line="304"/>
        <w:jc w:val="both"/>
      </w:pPr>
      <w:r>
        <w:rPr>
          <w:rFonts w:ascii="Arial" w:cs="Arial" w:hAnsi="Arial"/>
          <w:b w:val="false"/>
          <w:i w:val="false"/>
          <w:iCs w:val="false"/>
          <w:color w:val="000000"/>
          <w:sz w:val="24"/>
          <w:szCs w:val="24"/>
          <w:rtl/>
        </w:rPr>
        <w:t xml:space="preserve">تستقبل خدمات الدعم الأكاديمي والطلابي أعدادًا كبيرة من المستخدمين في لحظات متقاربة، كما في بداية الفصول وفترات التسجيل، فينتج عن ذلك طوابير طويلة غير منظمة وغياب أي مؤشر يخبر المستخدم بترتيبه الفعلي أو بمقدار الضغط الحالي على الخدمة. فالمشكلة ليست في الانتظار ذاته بل في غياب المعلومة التي تجعله قابلًا للإدارة: كم شخصًا قبلّي؟ ومتى دوري؟ وهل الخدمة مضغوطة الآن؟ يقدّم هذا التقرير مشروع CrowdCloud، وهو نموذج عمل قابل للتشغيل (Working Prototype) لمنصة سحابية ذكية لإدارة الطوابير وضغط الخدمات، نُفّذ ضمن متطلبات مقرر الحوسبة السحابية والأنظمة الموزعة (Cloud Computing &amp; Distributed Systems – 3CCN314). يختار المستخدم إحدى أربع خدمات جامعية (الإرشاد الأكاديمي، الدعم التقني، دعم التسجيل، خدمات الطلاب) فيصدر له رقم انتظار (Queue Ticket) يتابعه لحظيًا، بينما يحسب النظام عدد الطلبات المنتظرة لكل خدمة ويعرض ضغطها بإحدى ثلاث حالات: NORMAL أو BUSY أو HIGH LOAD. والنظام ليس واجهة شكلية: قاعدة SQLite حقيقية تحفظ كل تذكرة، وواجهات REST مختبرة فعليًا، وسيناريو عرض حي يُظهر انتقال الحالة، و18 قياس أداء موثقًا بنتائجه الخام.</w:t>
      </w:r>
    </w:p>
    <w:p>
      <w:pPr>
        <w:keepNext w:val="false"/>
        <w:bidi/>
        <w:spacing w:after="110" w:before="0" w:line="304"/>
        <w:jc w:val="both"/>
      </w:pPr>
      <w:r>
        <w:rPr>
          <w:rFonts w:ascii="Arial" w:cs="Arial" w:hAnsi="Arial"/>
          <w:b w:val="false"/>
          <w:i w:val="false"/>
          <w:iCs w:val="false"/>
          <w:color w:val="000000"/>
          <w:sz w:val="24"/>
          <w:szCs w:val="24"/>
          <w:rtl/>
        </w:rPr>
        <w:t xml:space="preserve">تتحلل المشكلة إلى ثلاث مشكلات مترابطة: غياب الشفافية في الترتيب لأن الدور يعتمد على الازدحام لا على ترتيب معلن؛ وغياب الرؤية لدى مقدم الخدمة إذ لا مؤشر كمّي يسمح بقرار استباقي كفتح منضدة إضافية؛ وهدر وقت المنتظر دون معلومة عن موقعه أو زمنه المتوقع. وهي مشكلة سحابية بامتياز لأن الطلب عليها متغير جذريًا: ذروة في بداية الفصل وشبه سكون في منتصفه، فأي خادم ثابت السعة سيكون إما مكلفًا معظم الوقت أو عاجزًا في الذروة، وهذا بالضبط ما تعالجه المرونة السحابية كما يبرره القسم الثالث (W1).</w:t>
      </w:r>
    </w:p>
    <w:p>
      <w:pPr>
        <w:pStyle w:val="Heading1"/>
        <w:keepNext/>
        <w:bidi/>
        <w:spacing w:after="150" w:before="300" w:line="400" w:lineRule="atLeast"/>
        <w:jc w:val="center"/>
      </w:pPr>
      <w:bookmarkStart w:id="100001" w:name="_Toc100001"/>
      <w:r>
        <w:rPr>
          <w:rFonts w:ascii="Arial" w:cs="Arial" w:hAnsi="Arial"/>
          <w:b/>
          <w:bCs/>
          <w:i w:val="false"/>
          <w:iCs w:val="false"/>
          <w:color w:val="000000"/>
          <w:sz w:val="32"/>
          <w:szCs w:val="32"/>
          <w:rtl/>
        </w:rPr>
        <w:t xml:space="preserve">2. الأهداف والمتطلبات</w:t>
      </w:r>
      <w:bookmarkEnd w:id="100001"/>
    </w:p>
    <w:p>
      <w:pPr>
        <w:keepNext w:val="false"/>
        <w:bidi/>
        <w:spacing w:after="110" w:before="0" w:line="304"/>
        <w:jc w:val="both"/>
      </w:pPr>
      <w:r>
        <w:rPr>
          <w:rFonts w:ascii="Arial" w:cs="Arial" w:hAnsi="Arial"/>
          <w:b w:val="false"/>
          <w:i w:val="false"/>
          <w:iCs w:val="false"/>
          <w:color w:val="000000"/>
          <w:sz w:val="24"/>
          <w:szCs w:val="24"/>
          <w:rtl/>
        </w:rPr>
        <w:t xml:space="preserve">صيغت الأهداف لتكون قابلة للتحقق وقد تحققت جميعها كما توثق أقسام التنفيذ والنتائج: نموذج فعلي لإدارة التذاكر بأربع خدمات وحفظ دائم؛ إظهار انتقال الضغط بصورة عملية وتراجعه عند المعالجة؛ تحديث حي للبيانات كل 3 ثوانٍ دون إعادة تحميل؛ اختبارات أداء حقيقية متدرجة موثقة؛ تجهيز التشغيل الحاوي عبر Docker؛ وربط صريح بمحاور المقرر W1 إلى W6. أما المتطلبات غير الوظيفية فقوبلت كالتالي: الصحة تحت التزامن عبر معاملات ذرية وادّعاءات محمية بشرط الحالة؛ واستمرارية البيانات عبر Docker Volume؛ وسهولة التشغيل بأمر واحد؛ وقابلية الاختبار عبر 29 اختبار pytest ناجحًا. ويلخص الجدول (1) المتطلبات الوظيفية كما وردت في ملف التكليف مقابل تنفيذها الفعلي، وجميعها مغطاة ومختبرة.</w:t>
      </w:r>
    </w:p>
    <w:p>
      <w:pPr>
        <w:keepNext/>
        <w:bidi/>
        <w:spacing w:after="80" w:before="160" w:line="300"/>
        <w:jc w:val="center"/>
      </w:pPr>
      <w:r>
        <w:rPr>
          <w:rFonts w:ascii="Arial" w:cs="Arial" w:hAnsi="Arial"/>
          <w:b/>
          <w:bCs/>
          <w:i w:val="false"/>
          <w:iCs w:val="false"/>
          <w:color w:val="000000"/>
          <w:sz w:val="21"/>
          <w:szCs w:val="21"/>
          <w:rtl/>
        </w:rPr>
        <w:t xml:space="preserve">جدول 1: المتطلبات الوظيفية وتغطيتها في التنفيذ</w:t>
      </w:r>
    </w:p>
    <w:tbl>
      <w:tblPr>
        <w:bidiVisual/>
        <w:tblW w:type="pct" w:w="1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100"/>
        <w:gridCol w:w="100"/>
        <w:gridCol w:w="100"/>
      </w:tblGrid>
      <w:tr>
        <w:trPr>
          <w:cantSplit/>
          <w:tblHeader/>
        </w:trPr>
        <w:tc>
          <w:tcPr>
            <w:tcW w:type="pct" w:w="40%"/>
            <w:tcBorders>
              <w:top w:val="none" w:color="FFFFFF" w:sz="0"/>
              <w:left w:val="none" w:color="FFFFFF" w:sz="0"/>
              <w:bottom w:val="single" w:color="000000" w:sz="4"/>
              <w:right w:val="none" w:color="FFFFFF" w:sz="0"/>
            </w:tcBorders>
            <w:shd w:fill="F5F7FA" w:val="clear"/>
            <w:tcMar>
              <w:top w:type="dxa" w:w="40"/>
              <w:left w:type="dxa" w:w="80"/>
              <w:bottom w:type="dxa" w:w="40"/>
              <w:right w:type="dxa" w:w="80"/>
            </w:tcMar>
          </w:tcPr>
          <w:p>
            <w:pPr>
              <w:bidi/>
              <w:spacing w:after="20" w:before="20" w:line="300"/>
              <w:jc w:val="center"/>
            </w:pPr>
            <w:r>
              <w:rPr>
                <w:rFonts w:ascii="Arial" w:cs="Arial" w:hAnsi="Arial"/>
                <w:b/>
                <w:bCs/>
                <w:i w:val="false"/>
                <w:iCs w:val="false"/>
                <w:color w:val="000000"/>
                <w:sz w:val="21"/>
                <w:szCs w:val="21"/>
                <w:rtl/>
              </w:rPr>
              <w:t xml:space="preserve">المتطلب</w:t>
            </w:r>
          </w:p>
        </w:tc>
        <w:tc>
          <w:tcPr>
            <w:tcW w:type="pct" w:w="52%"/>
            <w:tcBorders>
              <w:top w:val="none" w:color="FFFFFF" w:sz="0"/>
              <w:left w:val="none" w:color="FFFFFF" w:sz="0"/>
              <w:bottom w:val="single" w:color="000000" w:sz="4"/>
              <w:right w:val="none" w:color="FFFFFF" w:sz="0"/>
            </w:tcBorders>
            <w:shd w:fill="F5F7FA" w:val="clear"/>
            <w:tcMar>
              <w:top w:type="dxa" w:w="40"/>
              <w:left w:type="dxa" w:w="80"/>
              <w:bottom w:type="dxa" w:w="40"/>
              <w:right w:type="dxa" w:w="80"/>
            </w:tcMar>
          </w:tcPr>
          <w:p>
            <w:pPr>
              <w:bidi/>
              <w:spacing w:after="20" w:before="20" w:line="300"/>
              <w:jc w:val="center"/>
            </w:pPr>
            <w:r>
              <w:rPr>
                <w:rFonts w:ascii="Arial" w:cs="Arial" w:hAnsi="Arial"/>
                <w:b/>
                <w:bCs/>
                <w:i w:val="false"/>
                <w:iCs w:val="false"/>
                <w:color w:val="000000"/>
                <w:sz w:val="21"/>
                <w:szCs w:val="21"/>
                <w:rtl/>
              </w:rPr>
              <w:t xml:space="preserve">التنفيذ الفعلي</w:t>
            </w:r>
          </w:p>
        </w:tc>
        <w:tc>
          <w:tcPr>
            <w:tcW w:type="pct" w:w="8%"/>
            <w:tcBorders>
              <w:top w:val="none" w:color="FFFFFF" w:sz="0"/>
              <w:left w:val="none" w:color="FFFFFF" w:sz="0"/>
              <w:bottom w:val="single" w:color="000000" w:sz="4"/>
              <w:right w:val="none" w:color="FFFFFF" w:sz="0"/>
            </w:tcBorders>
            <w:shd w:fill="F5F7FA" w:val="clear"/>
            <w:tcMar>
              <w:top w:type="dxa" w:w="40"/>
              <w:left w:type="dxa" w:w="80"/>
              <w:bottom w:type="dxa" w:w="40"/>
              <w:right w:type="dxa" w:w="80"/>
            </w:tcMar>
          </w:tcPr>
          <w:p>
            <w:pPr>
              <w:bidi/>
              <w:spacing w:after="20" w:before="20" w:line="300"/>
              <w:jc w:val="center"/>
            </w:pPr>
            <w:r>
              <w:rPr>
                <w:rFonts w:ascii="Arial" w:cs="Arial" w:hAnsi="Arial"/>
                <w:b/>
                <w:bCs/>
                <w:i w:val="false"/>
                <w:iCs w:val="false"/>
                <w:color w:val="000000"/>
                <w:sz w:val="21"/>
                <w:szCs w:val="21"/>
                <w:rtl/>
              </w:rPr>
              <w:t xml:space="preserve">الحالة</w:t>
            </w:r>
          </w:p>
        </w:tc>
      </w:tr>
      <w:tr>
        <w:trPr>
          <w:cantSplit/>
        </w:trPr>
        <w:tc>
          <w:tcPr>
            <w:tcW w:type="pct" w:w="40%"/>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right"/>
            </w:pPr>
            <w:r>
              <w:rPr>
                <w:rFonts w:ascii="Arial" w:cs="Arial" w:hAnsi="Arial"/>
                <w:b w:val="false"/>
                <w:i w:val="false"/>
                <w:iCs w:val="false"/>
                <w:color w:val="000000"/>
                <w:sz w:val="21"/>
                <w:szCs w:val="21"/>
                <w:rtl/>
              </w:rPr>
              <w:t xml:space="preserve">اختيار الخدمة من واجهة المستخدم</w:t>
            </w:r>
          </w:p>
        </w:tc>
        <w:tc>
          <w:tcPr>
            <w:tcW w:type="pct" w:w="52%"/>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right"/>
            </w:pPr>
            <w:r>
              <w:rPr>
                <w:rFonts w:ascii="Arial" w:cs="Arial" w:hAnsi="Arial"/>
                <w:b w:val="false"/>
                <w:i w:val="false"/>
                <w:iCs w:val="false"/>
                <w:color w:val="000000"/>
                <w:sz w:val="21"/>
                <w:szCs w:val="21"/>
                <w:rtl/>
              </w:rPr>
              <w:t xml:space="preserve">صفحة رئيسية ببطاقات الخدمات الأربع</w:t>
            </w:r>
          </w:p>
        </w:tc>
        <w:tc>
          <w:tcPr>
            <w:tcW w:type="pct" w:w="8%"/>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center"/>
            </w:pPr>
            <w:r>
              <w:rPr>
                <w:rFonts w:ascii="Arial" w:cs="Arial" w:hAnsi="Arial"/>
                <w:b w:val="false"/>
                <w:i w:val="false"/>
                <w:iCs w:val="false"/>
                <w:color w:val="000000"/>
                <w:sz w:val="21"/>
                <w:szCs w:val="21"/>
                <w:rtl/>
              </w:rPr>
              <w:t xml:space="preserve">منفَّذ</w:t>
            </w:r>
          </w:p>
        </w:tc>
      </w:tr>
      <w:tr>
        <w:trPr>
          <w:cantSplit/>
        </w:trPr>
        <w:tc>
          <w:tcPr>
            <w:tcW w:type="pct" w:w="40%"/>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right"/>
            </w:pPr>
            <w:r>
              <w:rPr>
                <w:rFonts w:ascii="Arial" w:cs="Arial" w:hAnsi="Arial"/>
                <w:b w:val="false"/>
                <w:i w:val="false"/>
                <w:iCs w:val="false"/>
                <w:color w:val="000000"/>
                <w:sz w:val="21"/>
                <w:szCs w:val="21"/>
                <w:rtl/>
              </w:rPr>
              <w:t xml:space="preserve">إنشاء رقم انتظار/تذكرة لكل طلب</w:t>
            </w:r>
          </w:p>
        </w:tc>
        <w:tc>
          <w:tcPr>
            <w:tcW w:type="pct" w:w="52%"/>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right"/>
            </w:pPr>
            <w:r>
              <w:rPr>
                <w:rFonts w:ascii="Arial" w:cs="Arial" w:hAnsi="Arial"/>
                <w:b w:val="false"/>
                <w:i w:val="false"/>
                <w:iCs w:val="false"/>
                <w:color w:val="000000"/>
                <w:sz w:val="21"/>
                <w:szCs w:val="21"/>
                <w:rtl/>
              </w:rPr>
              <w:t xml:space="preserve">POST /api/tickets يصدر رقمًا فريدًا ببادئة الخدمة</w:t>
            </w:r>
          </w:p>
        </w:tc>
        <w:tc>
          <w:tcPr>
            <w:tcW w:type="pct" w:w="8%"/>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center"/>
            </w:pPr>
            <w:r>
              <w:rPr>
                <w:rFonts w:ascii="Arial" w:cs="Arial" w:hAnsi="Arial"/>
                <w:b w:val="false"/>
                <w:i w:val="false"/>
                <w:iCs w:val="false"/>
                <w:color w:val="000000"/>
                <w:sz w:val="21"/>
                <w:szCs w:val="21"/>
                <w:rtl/>
              </w:rPr>
              <w:t xml:space="preserve">منفَّذ</w:t>
            </w:r>
          </w:p>
        </w:tc>
      </w:tr>
      <w:tr>
        <w:trPr>
          <w:cantSplit/>
        </w:trPr>
        <w:tc>
          <w:tcPr>
            <w:tcW w:type="pct" w:w="40%"/>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right"/>
            </w:pPr>
            <w:r>
              <w:rPr>
                <w:rFonts w:ascii="Arial" w:cs="Arial" w:hAnsi="Arial"/>
                <w:b w:val="false"/>
                <w:i w:val="false"/>
                <w:iCs w:val="false"/>
                <w:color w:val="000000"/>
                <w:sz w:val="21"/>
                <w:szCs w:val="21"/>
                <w:rtl/>
              </w:rPr>
              <w:t xml:space="preserve">عرض رقم التذكرة وحالتها</w:t>
            </w:r>
          </w:p>
        </w:tc>
        <w:tc>
          <w:tcPr>
            <w:tcW w:type="pct" w:w="52%"/>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right"/>
            </w:pPr>
            <w:r>
              <w:rPr>
                <w:rFonts w:ascii="Arial" w:cs="Arial" w:hAnsi="Arial"/>
                <w:b w:val="false"/>
                <w:i w:val="false"/>
                <w:iCs w:val="false"/>
                <w:color w:val="000000"/>
                <w:sz w:val="21"/>
                <w:szCs w:val="21"/>
                <w:rtl/>
              </w:rPr>
              <w:t xml:space="preserve">صفحة /ticket/&lt;رقم&gt; بالحالة والموقع في الطابور</w:t>
            </w:r>
          </w:p>
        </w:tc>
        <w:tc>
          <w:tcPr>
            <w:tcW w:type="pct" w:w="8%"/>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center"/>
            </w:pPr>
            <w:r>
              <w:rPr>
                <w:rFonts w:ascii="Arial" w:cs="Arial" w:hAnsi="Arial"/>
                <w:b w:val="false"/>
                <w:i w:val="false"/>
                <w:iCs w:val="false"/>
                <w:color w:val="000000"/>
                <w:sz w:val="21"/>
                <w:szCs w:val="21"/>
                <w:rtl/>
              </w:rPr>
              <w:t xml:space="preserve">منفَّذ</w:t>
            </w:r>
          </w:p>
        </w:tc>
      </w:tr>
      <w:tr>
        <w:trPr>
          <w:cantSplit/>
        </w:trPr>
        <w:tc>
          <w:tcPr>
            <w:tcW w:type="pct" w:w="40%"/>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right"/>
            </w:pPr>
            <w:r>
              <w:rPr>
                <w:rFonts w:ascii="Arial" w:cs="Arial" w:hAnsi="Arial"/>
                <w:b w:val="false"/>
                <w:i w:val="false"/>
                <w:iCs w:val="false"/>
                <w:color w:val="000000"/>
                <w:sz w:val="21"/>
                <w:szCs w:val="21"/>
                <w:rtl/>
              </w:rPr>
              <w:t xml:space="preserve">عرض قائمة الطلبات الحالية</w:t>
            </w:r>
          </w:p>
        </w:tc>
        <w:tc>
          <w:tcPr>
            <w:tcW w:type="pct" w:w="52%"/>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right"/>
            </w:pPr>
            <w:r>
              <w:rPr>
                <w:rFonts w:ascii="Arial" w:cs="Arial" w:hAnsi="Arial"/>
                <w:b w:val="false"/>
                <w:i w:val="false"/>
                <w:iCs w:val="false"/>
                <w:color w:val="000000"/>
                <w:sz w:val="21"/>
                <w:szCs w:val="21"/>
                <w:rtl/>
              </w:rPr>
              <w:t xml:space="preserve">لوحة /queue وواجهة GET /api/tickets</w:t>
            </w:r>
          </w:p>
        </w:tc>
        <w:tc>
          <w:tcPr>
            <w:tcW w:type="pct" w:w="8%"/>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center"/>
            </w:pPr>
            <w:r>
              <w:rPr>
                <w:rFonts w:ascii="Arial" w:cs="Arial" w:hAnsi="Arial"/>
                <w:b w:val="false"/>
                <w:i w:val="false"/>
                <w:iCs w:val="false"/>
                <w:color w:val="000000"/>
                <w:sz w:val="21"/>
                <w:szCs w:val="21"/>
                <w:rtl/>
              </w:rPr>
              <w:t xml:space="preserve">منفَّذ</w:t>
            </w:r>
          </w:p>
        </w:tc>
      </w:tr>
      <w:tr>
        <w:trPr>
          <w:cantSplit/>
        </w:trPr>
        <w:tc>
          <w:tcPr>
            <w:tcW w:type="pct" w:w="40%"/>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right"/>
            </w:pPr>
            <w:r>
              <w:rPr>
                <w:rFonts w:ascii="Arial" w:cs="Arial" w:hAnsi="Arial"/>
                <w:b w:val="false"/>
                <w:i w:val="false"/>
                <w:iCs w:val="false"/>
                <w:color w:val="000000"/>
                <w:sz w:val="21"/>
                <w:szCs w:val="21"/>
                <w:rtl/>
              </w:rPr>
              <w:t xml:space="preserve">إدارة الطلبات وتحديث حالتها</w:t>
            </w:r>
          </w:p>
        </w:tc>
        <w:tc>
          <w:tcPr>
            <w:tcW w:type="pct" w:w="52%"/>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right"/>
            </w:pPr>
            <w:r>
              <w:rPr>
                <w:rFonts w:ascii="Arial" w:cs="Arial" w:hAnsi="Arial"/>
                <w:b w:val="false"/>
                <w:i w:val="false"/>
                <w:iCs w:val="false"/>
                <w:color w:val="000000"/>
                <w:sz w:val="21"/>
                <w:szCs w:val="21"/>
                <w:rtl/>
              </w:rPr>
              <w:t xml:space="preserve">لوحة /admin: مناداة التالي، إنهاء، إلغاء</w:t>
            </w:r>
          </w:p>
        </w:tc>
        <w:tc>
          <w:tcPr>
            <w:tcW w:type="pct" w:w="8%"/>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center"/>
            </w:pPr>
            <w:r>
              <w:rPr>
                <w:rFonts w:ascii="Arial" w:cs="Arial" w:hAnsi="Arial"/>
                <w:b w:val="false"/>
                <w:i w:val="false"/>
                <w:iCs w:val="false"/>
                <w:color w:val="000000"/>
                <w:sz w:val="21"/>
                <w:szCs w:val="21"/>
                <w:rtl/>
              </w:rPr>
              <w:t xml:space="preserve">منفَّذ</w:t>
            </w:r>
          </w:p>
        </w:tc>
      </w:tr>
      <w:tr>
        <w:trPr>
          <w:cantSplit/>
        </w:trPr>
        <w:tc>
          <w:tcPr>
            <w:tcW w:type="pct" w:w="40%"/>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right"/>
            </w:pPr>
            <w:r>
              <w:rPr>
                <w:rFonts w:ascii="Arial" w:cs="Arial" w:hAnsi="Arial"/>
                <w:b w:val="false"/>
                <w:i w:val="false"/>
                <w:iCs w:val="false"/>
                <w:color w:val="000000"/>
                <w:sz w:val="21"/>
                <w:szCs w:val="21"/>
                <w:rtl/>
              </w:rPr>
              <w:t xml:space="preserve">حساب مستوى ضغط الخدمة</w:t>
            </w:r>
          </w:p>
        </w:tc>
        <w:tc>
          <w:tcPr>
            <w:tcW w:type="pct" w:w="52%"/>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right"/>
            </w:pPr>
            <w:r>
              <w:rPr>
                <w:rFonts w:ascii="Arial" w:cs="Arial" w:hAnsi="Arial"/>
                <w:b w:val="false"/>
                <w:i w:val="false"/>
                <w:iCs w:val="false"/>
                <w:color w:val="000000"/>
                <w:sz w:val="21"/>
                <w:szCs w:val="21"/>
                <w:rtl/>
              </w:rPr>
              <w:t xml:space="preserve">عدّ المنتظرين لكل خدمة ومقارنته بعتبتين (8 و16)</w:t>
            </w:r>
          </w:p>
        </w:tc>
        <w:tc>
          <w:tcPr>
            <w:tcW w:type="pct" w:w="8%"/>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center"/>
            </w:pPr>
            <w:r>
              <w:rPr>
                <w:rFonts w:ascii="Arial" w:cs="Arial" w:hAnsi="Arial"/>
                <w:b w:val="false"/>
                <w:i w:val="false"/>
                <w:iCs w:val="false"/>
                <w:color w:val="000000"/>
                <w:sz w:val="21"/>
                <w:szCs w:val="21"/>
                <w:rtl/>
              </w:rPr>
              <w:t xml:space="preserve">منفَّذ</w:t>
            </w:r>
          </w:p>
        </w:tc>
      </w:tr>
      <w:tr>
        <w:trPr>
          <w:cantSplit/>
        </w:trPr>
        <w:tc>
          <w:tcPr>
            <w:tcW w:type="pct" w:w="40%"/>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right"/>
            </w:pPr>
            <w:r>
              <w:rPr>
                <w:rFonts w:ascii="Arial" w:cs="Arial" w:hAnsi="Arial"/>
                <w:b w:val="false"/>
                <w:i w:val="false"/>
                <w:iCs w:val="false"/>
                <w:color w:val="000000"/>
                <w:sz w:val="21"/>
                <w:szCs w:val="21"/>
                <w:rtl/>
              </w:rPr>
              <w:t xml:space="preserve">إظهار انتقال NORMAL ثم BUSY ثم HIGH LOAD</w:t>
            </w:r>
          </w:p>
        </w:tc>
        <w:tc>
          <w:tcPr>
            <w:tcW w:type="pct" w:w="52%"/>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right"/>
            </w:pPr>
            <w:r>
              <w:rPr>
                <w:rFonts w:ascii="Arial" w:cs="Arial" w:hAnsi="Arial"/>
                <w:b w:val="false"/>
                <w:i w:val="false"/>
                <w:iCs w:val="false"/>
                <w:color w:val="000000"/>
                <w:sz w:val="21"/>
                <w:szCs w:val="21"/>
                <w:rtl/>
              </w:rPr>
              <w:t xml:space="preserve">سيناريو موثّق بلقطات شاشة ومخرجات حقيقية</w:t>
            </w:r>
          </w:p>
        </w:tc>
        <w:tc>
          <w:tcPr>
            <w:tcW w:type="pct" w:w="8%"/>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center"/>
            </w:pPr>
            <w:r>
              <w:rPr>
                <w:rFonts w:ascii="Arial" w:cs="Arial" w:hAnsi="Arial"/>
                <w:b w:val="false"/>
                <w:i w:val="false"/>
                <w:iCs w:val="false"/>
                <w:color w:val="000000"/>
                <w:sz w:val="21"/>
                <w:szCs w:val="21"/>
                <w:rtl/>
              </w:rPr>
              <w:t xml:space="preserve">منفَّذ</w:t>
            </w:r>
          </w:p>
        </w:tc>
      </w:tr>
      <w:tr>
        <w:trPr>
          <w:cantSplit/>
        </w:trPr>
        <w:tc>
          <w:tcPr>
            <w:tcW w:type="pct" w:w="40%"/>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right"/>
            </w:pPr>
            <w:r>
              <w:rPr>
                <w:rFonts w:ascii="Arial" w:cs="Arial" w:hAnsi="Arial"/>
                <w:b w:val="false"/>
                <w:i w:val="false"/>
                <w:iCs w:val="false"/>
                <w:color w:val="000000"/>
                <w:sz w:val="21"/>
                <w:szCs w:val="21"/>
                <w:rtl/>
              </w:rPr>
              <w:t xml:space="preserve">تحديث البيانات أثناء الاستخدام بصورة ملحوظة</w:t>
            </w:r>
          </w:p>
        </w:tc>
        <w:tc>
          <w:tcPr>
            <w:tcW w:type="pct" w:w="52%"/>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right"/>
            </w:pPr>
            <w:r>
              <w:rPr>
                <w:rFonts w:ascii="Arial" w:cs="Arial" w:hAnsi="Arial"/>
                <w:b w:val="false"/>
                <w:i w:val="false"/>
                <w:iCs w:val="false"/>
                <w:color w:val="000000"/>
                <w:sz w:val="21"/>
                <w:szCs w:val="21"/>
                <w:rtl/>
              </w:rPr>
              <w:t xml:space="preserve">استطلاع كل 3 ثوانٍ مع اختبارات pytest للانتقالات</w:t>
            </w:r>
          </w:p>
        </w:tc>
        <w:tc>
          <w:tcPr>
            <w:tcW w:type="pct" w:w="8%"/>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center"/>
            </w:pPr>
            <w:r>
              <w:rPr>
                <w:rFonts w:ascii="Arial" w:cs="Arial" w:hAnsi="Arial"/>
                <w:b w:val="false"/>
                <w:i w:val="false"/>
                <w:iCs w:val="false"/>
                <w:color w:val="000000"/>
                <w:sz w:val="21"/>
                <w:szCs w:val="21"/>
                <w:rtl/>
              </w:rPr>
              <w:t xml:space="preserve">منفَّذ</w:t>
            </w:r>
          </w:p>
        </w:tc>
      </w:tr>
    </w:tbl>
    <w:p>
      <w:pPr>
        <w:spacing w:after="130" w:line="240"/>
      </w:pPr>
    </w:p>
    <w:p>
      <w:pPr>
        <w:pStyle w:val="Heading1"/>
        <w:keepNext/>
        <w:bidi/>
        <w:spacing w:after="150" w:before="300" w:line="400" w:lineRule="atLeast"/>
        <w:jc w:val="center"/>
      </w:pPr>
      <w:bookmarkStart w:id="100002" w:name="_Toc100002"/>
      <w:r>
        <w:rPr>
          <w:rFonts w:ascii="Arial" w:cs="Arial" w:hAnsi="Arial"/>
          <w:b/>
          <w:bCs/>
          <w:i w:val="false"/>
          <w:iCs w:val="false"/>
          <w:color w:val="000000"/>
          <w:sz w:val="32"/>
          <w:szCs w:val="32"/>
          <w:rtl/>
        </w:rPr>
        <w:t xml:space="preserve">3. لماذا الحوسبة السحابية والأنظمة الموزعة؟ (W1)</w:t>
      </w:r>
      <w:bookmarkEnd w:id="100002"/>
    </w:p>
    <w:p>
      <w:pPr>
        <w:keepNext w:val="false"/>
        <w:bidi/>
        <w:spacing w:after="110" w:before="0" w:line="304"/>
        <w:jc w:val="both"/>
      </w:pPr>
      <w:r>
        <w:rPr>
          <w:rFonts w:ascii="Arial" w:cs="Arial" w:hAnsi="Arial"/>
          <w:b w:val="false"/>
          <w:i w:val="false"/>
          <w:iCs w:val="false"/>
          <w:color w:val="000000"/>
          <w:sz w:val="24"/>
          <w:szCs w:val="24"/>
          <w:rtl/>
        </w:rPr>
        <w:t xml:space="preserve">يجيب هذا المحور عن السؤال المؤسِّس: لماذا تستفيد خدمة يتعامل معها عدد كبير من المستخدمين من الحوسبة السحابية والأنظمة الموزعة؟ ترتبط الإجابة بأربع خصائص مباشرة في CrowdCloud. أولًا المرونة السريعة (Elasticity): الطلب موسمي متغير، فخدمة التسجيل قد تخدم عشرات الطلبات يوميًا ثم آلافًا في أسبوع التسجيل، والبنية السحابية توسّع عدد النسخ (Scale Out) في الذروة وتقلصها بعدها خلال دقائق بدل خوادم ثابتة معطلة أو مكلفة معظم العام. وثانيًا النموذج الاقتصادي القائم على الاستهلاك (Pay-as-you-go) وهو الأنسب لخدمة موسمية بطبيعتها. وثالثًا التوافرية والوصول من أي مكان: منصة عبر المتصفح تجعل الطابور متاحًا من هاتف الطالب قبل وصوله، فتوزّع الوصول زمنيًا بدل تركّزه لحظيًا، وهذا بذاته تخفيف للضغط.</w:t>
      </w:r>
    </w:p>
    <w:p>
      <w:pPr>
        <w:keepNext w:val="false"/>
        <w:bidi/>
        <w:spacing w:after="110" w:before="0" w:line="304"/>
        <w:jc w:val="both"/>
      </w:pPr>
      <w:r>
        <w:rPr>
          <w:rFonts w:ascii="Arial" w:cs="Arial" w:hAnsi="Arial"/>
          <w:b w:val="false"/>
          <w:i w:val="false"/>
          <w:iCs w:val="false"/>
          <w:color w:val="000000"/>
          <w:sz w:val="24"/>
          <w:szCs w:val="24"/>
          <w:rtl/>
        </w:rPr>
        <w:t xml:space="preserve">ورابعًا، وهو جوهر الأنظمة الموزعة: فصل الحالة عن الحساب. فجميع الحالة في CrowdCloud (التذاكر والعدادات ومستويات الحمل) مخزنة في طبقة بيانات مستقلة عن طبقة التطبيق، وهي القرارية التي تجعل التطبيق قابلًا للاستنساخ على عدة نسخ دون فقدان صحة الطابور، إذ تقرأ أي نسخة الطابور ذاته وتكتب إليه بأمان بفضل المعاملات الذرية. وهذا الفصل بين طبقة تطبيق عديمة الحالة (Stateless) وطبقة بيانات هو ما يجعل التوسع الأفقي المرسوم في المخطط المعماري (القسم 5) ممكنًا عمليًا. وبعبارة مباشرة: مشكلة تدفق متزامن متغير على خدمة محدودة هي النموذج المثالي لما تحله السحابة، إذ تجعل السعة متغيرًا يُضبط بالطلب الفعلي المقيس بمراقب الحمل المبني داخل المشروع ذاته.</w:t>
      </w:r>
    </w:p>
    <w:p>
      <w:pPr>
        <w:pStyle w:val="Heading1"/>
        <w:keepNext/>
        <w:bidi/>
        <w:spacing w:after="150" w:before="300" w:line="400" w:lineRule="atLeast"/>
        <w:jc w:val="center"/>
      </w:pPr>
      <w:bookmarkStart w:id="100003" w:name="_Toc100003"/>
      <w:r>
        <w:rPr>
          <w:rFonts w:ascii="Arial" w:cs="Arial" w:hAnsi="Arial"/>
          <w:b/>
          <w:bCs/>
          <w:i w:val="false"/>
          <w:iCs w:val="false"/>
          <w:color w:val="000000"/>
          <w:sz w:val="32"/>
          <w:szCs w:val="32"/>
          <w:rtl/>
        </w:rPr>
        <w:t xml:space="preserve">4. نماذج الخدمة والنشر السحابية (W2)</w:t>
      </w:r>
      <w:bookmarkEnd w:id="100003"/>
    </w:p>
    <w:p>
      <w:pPr>
        <w:keepNext w:val="false"/>
        <w:bidi/>
        <w:spacing w:after="110" w:before="0" w:line="304"/>
        <w:jc w:val="both"/>
      </w:pPr>
      <w:r>
        <w:rPr>
          <w:rFonts w:ascii="Arial" w:cs="Arial" w:hAnsi="Arial"/>
          <w:b w:val="false"/>
          <w:i w:val="false"/>
          <w:iCs w:val="false"/>
          <w:color w:val="000000"/>
          <w:sz w:val="24"/>
          <w:szCs w:val="24"/>
          <w:rtl/>
        </w:rPr>
        <w:t xml:space="preserve">دُرست بدائل نماذج الخدمة الثلاثة مقابل متطلبات المشروع. فمن منظور المستخدم النهائي — الطالب والموظف يستخدمان الخدمة عبر المتصفح دون تثبيت — النظام SaaS، بينما تُنشر الخدمة في مرحلتها الحالية على بنية IaaS مع حاويات Docker أو على خدمات حاويات مُدارة مثل Azure Container Apps أو AWS ECS أو Google Cloud Run (نهج PaaS حاوي). واختير هذا النهج عمدًا لأن ملفات المشروع تجعل الانتقال بين IaaS و PaaS روتينيًا لا إعادة هندسة فيه، وهو درس مباشر في استقلالية التطبيق عن المنصة (Platform Portability). أما قاعدة البيانات فاختُبرت بـ SQLite داخل الحاوية حفاظًا على اكتمال النموذج التعليمي، مع توثيق صريح في W6 لسبب قصورها عند التوسع الكبير ولماذا تكون قاعدة بيانات مُدارة (مثل Amazon RDS) الخطوة الطبيعية التالية.</w:t>
      </w:r>
    </w:p>
    <w:p>
      <w:pPr>
        <w:keepNext w:val="false"/>
        <w:bidi/>
        <w:spacing w:after="110" w:before="0" w:line="304"/>
        <w:jc w:val="both"/>
      </w:pPr>
      <w:r>
        <w:rPr>
          <w:rFonts w:ascii="Arial" w:cs="Arial" w:hAnsi="Arial"/>
          <w:b w:val="false"/>
          <w:i w:val="false"/>
          <w:iCs w:val="false"/>
          <w:color w:val="000000"/>
          <w:sz w:val="24"/>
          <w:szCs w:val="24"/>
          <w:rtl/>
        </w:rPr>
        <w:t xml:space="preserve">وعلى مستوى نموذج النشر فالأنسب للنشر الحقيقي هو السحابة العامة (Public Cloud): فنمط الطلب موسمي فتظهر ميزة الدفع حسب الاستخدام بأوضح صورها، ولا حاجة لبنية خاصة، والحاجة الأساسية هي التوسع الفوري عند الذروة. ولو أضيفت متطلبات خصوصية بيانات الطلاب لصار النموذج الهجين (Hybrid) معقولًا: بقاء البيانات الحساسة خاصًّا وتشغيل طبقة التطبيق المرنة عامًّا، وهي بنية تتوافق مع فصل الحالة عن الحساب الذي يعتمده المشروع أصلًا. أما السحابة الخاصة فتعيد مشكلة السعة الثابتة التي انطلقنا منها فلا تبررها طبيعة الخدمة.</w:t>
      </w:r>
    </w:p>
    <w:p>
      <w:pPr>
        <w:pStyle w:val="Heading1"/>
        <w:keepNext/>
        <w:bidi/>
        <w:spacing w:after="150" w:before="300" w:line="400" w:lineRule="atLeast"/>
        <w:jc w:val="center"/>
      </w:pPr>
      <w:bookmarkStart w:id="100004" w:name="_Toc100004"/>
      <w:r>
        <w:rPr>
          <w:rFonts w:ascii="Arial" w:cs="Arial" w:hAnsi="Arial"/>
          <w:b/>
          <w:bCs/>
          <w:i w:val="false"/>
          <w:iCs w:val="false"/>
          <w:color w:val="000000"/>
          <w:sz w:val="32"/>
          <w:szCs w:val="32"/>
          <w:rtl/>
        </w:rPr>
        <w:t xml:space="preserve">5. معمارية النظام (W3)</w:t>
      </w:r>
      <w:bookmarkEnd w:id="100004"/>
    </w:p>
    <w:p>
      <w:pPr>
        <w:keepNext w:val="false"/>
        <w:bidi/>
        <w:spacing w:after="110" w:before="0" w:line="304"/>
        <w:jc w:val="both"/>
      </w:pPr>
      <w:r>
        <w:rPr>
          <w:rFonts w:ascii="Arial" w:cs="Arial" w:hAnsi="Arial"/>
          <w:b w:val="false"/>
          <w:i w:val="false"/>
          <w:iCs w:val="false"/>
          <w:color w:val="000000"/>
          <w:sz w:val="24"/>
          <w:szCs w:val="24"/>
          <w:rtl/>
        </w:rPr>
        <w:t xml:space="preserve">صُممت معمارية CrowdCloud لتطابق حرفيًا ما يعمل عند التشغيل؛ فكل مكوّن في الشكل (1) له مقابل ملموس في الشيفرة أو ملفات التشغيل، ولا شيء فيه نظري غير منفّذ. يعرض المخطط طبقات التكليف الأربع: المستخدمون (Users) وهم ثلاثة عملاء تتحدث جميعها عبر HTTP: متصفح الطالب، ولوحة الموظف (Staff Console) التي تنادي التالي وتنهي الطلبات، وأدوات اختبار الحمل (curl والأداة المكافئة لـ ApacheBench) التي تستهلك الواجهات ذاتها التي يستخدمها المتصفح — وهو شرط منهجي جعل القياس ممثلًا للاستخدام الحقيقي. ثم التطبيق (Application): حاوية يشغّلها Gunicorn بأربعة عمال وخيطين، فيها مسارات الصفحات (Routes &amp; Views) المنتجة لـ HTML بقوالب Jinja2 وواجهة REST المنتجة لـ JSON. ثم منطق الطابور (Queue Logic): مدير الطابور (Queue Manager) صاحب دورة حياة التذكرة والادّعاءات الذرية، ومراقب الحمل (Load Monitor) الذي يحسب المنتظرين ويصنّف الضغط. ثم البيانات (Data): SQLite بملف crowdcloud.db بوضع WAL (يسمح بقراءات متزامنة مع الكتابة) مخزّن على Docker Volume باسم crowdcloud-data حتى تبقى التذاكر بعد إعادة التشغيل. ويلخص أسفل المخطط سيناريو التوسع الأفقي المجهز في docker-compose.scale.yml: موزّع Nginx أمام نسخ متعددة تتشارك الحجم نفسه، ويُحلل نقديًا في W6.</w:t>
      </w:r>
    </w:p>
    <w:p>
      <w:pPr>
        <w:keepNext/>
        <w:spacing w:after="40" w:before="100"/>
        <w:jc w:val="center"/>
      </w:pPr>
      <w:r>
        <w:drawing>
          <wp:inline distT="0" distB="0" distL="0" distR="0">
            <wp:extent cx="390525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905250" cy="3600450"/>
                    </a:xfrm>
                    <a:prstGeom prst="rect">
                      <a:avLst/>
                    </a:prstGeom>
                  </pic:spPr>
                </pic:pic>
              </a:graphicData>
            </a:graphic>
          </wp:inline>
        </w:drawing>
      </w:r>
    </w:p>
    <w:p>
      <w:pPr>
        <w:bidi/>
        <w:spacing w:after="130" w:line="300"/>
        <w:jc w:val="center"/>
      </w:pPr>
      <w:r>
        <w:rPr>
          <w:rFonts w:ascii="Arial" w:cs="Arial" w:hAnsi="Arial"/>
          <w:b/>
          <w:bCs/>
          <w:i w:val="false"/>
          <w:iCs w:val="false"/>
          <w:color w:val="595959"/>
          <w:sz w:val="21"/>
          <w:szCs w:val="21"/>
          <w:rtl/>
        </w:rPr>
        <w:t xml:space="preserve">شكل 1: المخطط المعماري السحابي كما هو منفّذ فعليًا (نسخة قابلة للتحرير: docs/architecture.drawio عبر diagrams.net)</w:t>
      </w:r>
    </w:p>
    <w:p>
      <w:pPr>
        <w:keepNext w:val="false"/>
        <w:bidi/>
        <w:spacing w:after="110" w:before="0" w:line="304"/>
        <w:jc w:val="both"/>
      </w:pPr>
      <w:r>
        <w:rPr>
          <w:rFonts w:ascii="Arial" w:cs="Arial" w:hAnsi="Arial"/>
          <w:b w:val="false"/>
          <w:i w:val="false"/>
          <w:iCs w:val="false"/>
          <w:color w:val="000000"/>
          <w:sz w:val="24"/>
          <w:szCs w:val="24"/>
          <w:rtl/>
        </w:rPr>
        <w:t xml:space="preserve">ويتبع الطلب النموذجي الخطوات المرقّمة في المخطط: (1) يرسل العميل POST /api/tickets مع رمز الخدمة؛ (2) يفتح مدير الطابور معاملة ذرية تحدّث عدّاد الخدمة وتُدرج التذكرة برقم فريد؛ (3) تُحفظ التذكرة في القاعدة على الحجم الدائم؛ (4) يُعاد رد JSON يحمل رقم التذكرة وموقع الطالب والزمن التقديري؛ (5) يواصل المتصفح استطلاع الحالة كل 3 ثوانٍ؛ (6) يعيد مراقب الحمل الحساب فتتغير شارة الخدمة إلى NORMAL أو BUSY أو HIGH LOAD في الواجهتين؛ (7) تنفّذ إجراءات الموظف عبر انتقالات محمية الحالة؛ و(8) يفحص نظام التشغيل الجهوزية عبر GET /healthz الذي يستخدمه Docker HEALTHCHECK وموزّع الحمل.</w:t>
      </w:r>
    </w:p>
    <w:p>
      <w:pPr>
        <w:pStyle w:val="Heading1"/>
        <w:keepNext/>
        <w:bidi/>
        <w:spacing w:after="150" w:before="300" w:line="400" w:lineRule="atLeast"/>
        <w:jc w:val="center"/>
      </w:pPr>
      <w:bookmarkStart w:id="100005" w:name="_Toc100005"/>
      <w:r>
        <w:rPr>
          <w:rFonts w:ascii="Arial" w:cs="Arial" w:hAnsi="Arial"/>
          <w:b/>
          <w:bCs/>
          <w:i w:val="false"/>
          <w:iCs w:val="false"/>
          <w:color w:val="000000"/>
          <w:sz w:val="32"/>
          <w:szCs w:val="32"/>
          <w:rtl/>
        </w:rPr>
        <w:t xml:space="preserve">6. إدارة الطوابير وكشف مستوى الضغط</w:t>
      </w:r>
      <w:bookmarkEnd w:id="100005"/>
    </w:p>
    <w:p>
      <w:pPr>
        <w:keepNext w:val="false"/>
        <w:bidi/>
        <w:spacing w:after="110" w:before="0" w:line="304"/>
        <w:jc w:val="both"/>
      </w:pPr>
      <w:r>
        <w:rPr>
          <w:rFonts w:ascii="Arial" w:cs="Arial" w:hAnsi="Arial"/>
          <w:b w:val="false"/>
          <w:i w:val="false"/>
          <w:iCs w:val="false"/>
          <w:color w:val="000000"/>
          <w:sz w:val="24"/>
          <w:szCs w:val="24"/>
          <w:rtl/>
        </w:rPr>
        <w:t xml:space="preserve">لكل تذكرة رقم فريد من بادئة الخدمة ورقم تسلسلي خاص بها (مثل IT-017)، ويُدار التسلسل بجدول عدادات يُحدّث داخل المعاملة ذاتها التي تُدرج التذكرة فلا يتكرر الرقم مهما بلغ التزامن. وتمر التذكرة بأربع حالات (WAITING ثم SERVING ثم DONE، مع CANCELLED كمسار إلغاء) بانتقالات مسموحة فقط، يُفرض القيد في قاعدة البيانات (CHECK) وفي طبقة التطبيق ثم يُطبَّق ذريًّا بعبارة UPDATE مشروطة بالحالة الحالية، فلا يمكن مناداة التذكرة نفسها من موظفين في اللحظة ذاتها، وهو مغطى باختبار pytest مخصص. وتُعرض للمستخدم معلومات موقعه الحقيقي لحظيًا (عدد المتقدمين من ترتيبه بين المنتظرين) مع زمن تقديري يفترض متوسط معالجة دقيقتين — افتراض معلن صراحة لا قياس — بينما تعرض لوحة /queue قوائم المنتظرين لكل خدمة بترتيبها مثل لوحات المطارات.</w:t>
      </w:r>
    </w:p>
    <w:p>
      <w:pPr>
        <w:keepNext w:val="false"/>
        <w:bidi/>
        <w:spacing w:after="110" w:before="0" w:line="304"/>
        <w:jc w:val="both"/>
      </w:pPr>
      <w:r>
        <w:rPr>
          <w:rFonts w:ascii="Arial" w:cs="Arial" w:hAnsi="Arial"/>
          <w:b w:val="false"/>
          <w:i w:val="false"/>
          <w:iCs w:val="false"/>
          <w:color w:val="000000"/>
          <w:sz w:val="24"/>
          <w:szCs w:val="24"/>
          <w:rtl/>
        </w:rPr>
        <w:t xml:space="preserve">قاعدة كشف الضغط معلنة وقابلة للضبط بمتغيرات البيئة (جدول 2): يُحسب لكل خدمة على حدة عدد تذاكر WAITING فيقابل مستوى وشريط ضغط مئويًّا، والحالة العامة هي أشد حالة بين الخدمات مع استقلال كل خدمة بضغطها. وقد نُفّذ سيناريو العرض المطلوب فعليًا؛ يعرض الشكل (2) مساره الحقيقي لخدمة الدعم التقني: تصفير ثم 3 تذاكر (NORMAL) ثم 8 (BUSY) ثم 16 (HIGH LOAD) ثم هبوط إلى 13 (BUSY) بعد خدمة ثلاثة عملاء، مما يثبت أن الانتقال مرئي وأن النظام يتراجع درجة تلقائيًا عند المعالجة، كما تُظهر المخرجات الحقيقية المقتبسة أسفل الشكل والأشكال من (3) إلى (5) لقطات شاشة غير معدّلة للحالات الثلاث.</w:t>
      </w:r>
    </w:p>
    <w:p>
      <w:pPr>
        <w:keepNext/>
        <w:bidi/>
        <w:spacing w:after="80" w:before="160" w:line="300"/>
        <w:jc w:val="center"/>
      </w:pPr>
      <w:r>
        <w:rPr>
          <w:rFonts w:ascii="Arial" w:cs="Arial" w:hAnsi="Arial"/>
          <w:b/>
          <w:bCs/>
          <w:i w:val="false"/>
          <w:iCs w:val="false"/>
          <w:color w:val="000000"/>
          <w:sz w:val="21"/>
          <w:szCs w:val="21"/>
          <w:rtl/>
        </w:rPr>
        <w:t xml:space="preserve">جدول 2: عتبات مستوى الضغط المستخدمة في العرض والقياس</w:t>
      </w:r>
    </w:p>
    <w:tbl>
      <w:tblPr>
        <w:bidiVisual/>
        <w:tblW w:type="pct" w:w="1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100"/>
        <w:gridCol w:w="100"/>
        <w:gridCol w:w="100"/>
      </w:tblGrid>
      <w:tr>
        <w:trPr>
          <w:cantSplit/>
          <w:tblHeader/>
        </w:trPr>
        <w:tc>
          <w:tcPr>
            <w:tcW w:type="pct" w:w="40%"/>
            <w:tcBorders>
              <w:top w:val="none" w:color="FFFFFF" w:sz="0"/>
              <w:left w:val="none" w:color="FFFFFF" w:sz="0"/>
              <w:bottom w:val="single" w:color="000000" w:sz="4"/>
              <w:right w:val="none" w:color="FFFFFF" w:sz="0"/>
            </w:tcBorders>
            <w:shd w:fill="F5F7FA" w:val="clear"/>
            <w:tcMar>
              <w:top w:type="dxa" w:w="40"/>
              <w:left w:type="dxa" w:w="80"/>
              <w:bottom w:type="dxa" w:w="40"/>
              <w:right w:type="dxa" w:w="80"/>
            </w:tcMar>
          </w:tcPr>
          <w:p>
            <w:pPr>
              <w:bidi/>
              <w:spacing w:after="20" w:before="20" w:line="300"/>
              <w:jc w:val="center"/>
            </w:pPr>
            <w:r>
              <w:rPr>
                <w:rFonts w:ascii="Arial" w:cs="Arial" w:hAnsi="Arial"/>
                <w:b/>
                <w:bCs/>
                <w:i w:val="false"/>
                <w:iCs w:val="false"/>
                <w:color w:val="000000"/>
                <w:sz w:val="21"/>
                <w:szCs w:val="21"/>
                <w:rtl/>
              </w:rPr>
              <w:t xml:space="preserve">المنتظرون (لكل خدمة)</w:t>
            </w:r>
          </w:p>
        </w:tc>
        <w:tc>
          <w:tcPr>
            <w:tcW w:type="pct" w:w="26%"/>
            <w:tcBorders>
              <w:top w:val="none" w:color="FFFFFF" w:sz="0"/>
              <w:left w:val="none" w:color="FFFFFF" w:sz="0"/>
              <w:bottom w:val="single" w:color="000000" w:sz="4"/>
              <w:right w:val="none" w:color="FFFFFF" w:sz="0"/>
            </w:tcBorders>
            <w:shd w:fill="F5F7FA" w:val="clear"/>
            <w:tcMar>
              <w:top w:type="dxa" w:w="40"/>
              <w:left w:type="dxa" w:w="80"/>
              <w:bottom w:type="dxa" w:w="40"/>
              <w:right w:type="dxa" w:w="80"/>
            </w:tcMar>
          </w:tcPr>
          <w:p>
            <w:pPr>
              <w:bidi/>
              <w:spacing w:after="20" w:before="20" w:line="300"/>
              <w:jc w:val="center"/>
            </w:pPr>
            <w:r>
              <w:rPr>
                <w:rFonts w:ascii="Arial" w:cs="Arial" w:hAnsi="Arial"/>
                <w:b/>
                <w:bCs/>
                <w:i w:val="false"/>
                <w:iCs w:val="false"/>
                <w:color w:val="000000"/>
                <w:sz w:val="21"/>
                <w:szCs w:val="21"/>
                <w:rtl/>
              </w:rPr>
              <w:t xml:space="preserve">المستوى</w:t>
            </w:r>
          </w:p>
        </w:tc>
        <w:tc>
          <w:tcPr>
            <w:tcW w:type="pct" w:w="34%"/>
            <w:tcBorders>
              <w:top w:val="none" w:color="FFFFFF" w:sz="0"/>
              <w:left w:val="none" w:color="FFFFFF" w:sz="0"/>
              <w:bottom w:val="single" w:color="000000" w:sz="4"/>
              <w:right w:val="none" w:color="FFFFFF" w:sz="0"/>
            </w:tcBorders>
            <w:shd w:fill="F5F7FA" w:val="clear"/>
            <w:tcMar>
              <w:top w:type="dxa" w:w="40"/>
              <w:left w:type="dxa" w:w="80"/>
              <w:bottom w:type="dxa" w:w="40"/>
              <w:right w:type="dxa" w:w="80"/>
            </w:tcMar>
          </w:tcPr>
          <w:p>
            <w:pPr>
              <w:bidi/>
              <w:spacing w:after="20" w:before="20" w:line="300"/>
              <w:jc w:val="center"/>
            </w:pPr>
            <w:r>
              <w:rPr>
                <w:rFonts w:ascii="Arial" w:cs="Arial" w:hAnsi="Arial"/>
                <w:b/>
                <w:bCs/>
                <w:i w:val="false"/>
                <w:iCs w:val="false"/>
                <w:color w:val="000000"/>
                <w:sz w:val="21"/>
                <w:szCs w:val="21"/>
                <w:rtl/>
              </w:rPr>
              <w:t xml:space="preserve">الدلالة البصرية</w:t>
            </w:r>
          </w:p>
        </w:tc>
      </w:tr>
      <w:tr>
        <w:trPr>
          <w:cantSplit/>
        </w:trPr>
        <w:tc>
          <w:tcPr>
            <w:tcW w:type="pct" w:w="40%"/>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center"/>
            </w:pPr>
            <w:r>
              <w:rPr>
                <w:rFonts w:ascii="Arial" w:cs="Arial" w:hAnsi="Arial"/>
                <w:b w:val="false"/>
                <w:i w:val="false"/>
                <w:iCs w:val="false"/>
                <w:color w:val="000000"/>
                <w:sz w:val="21"/>
                <w:szCs w:val="21"/>
                <w:rtl/>
              </w:rPr>
              <w:t xml:space="preserve">أقل من 8</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NORMAL</w:t>
            </w:r>
          </w:p>
        </w:tc>
        <w:tc>
          <w:tcPr>
            <w:tcW w:type="pct" w:w="34%"/>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center"/>
            </w:pPr>
            <w:r>
              <w:rPr>
                <w:rFonts w:ascii="Arial" w:cs="Arial" w:hAnsi="Arial"/>
                <w:b w:val="false"/>
                <w:i w:val="false"/>
                <w:iCs w:val="false"/>
                <w:color w:val="000000"/>
                <w:sz w:val="21"/>
                <w:szCs w:val="21"/>
                <w:rtl/>
              </w:rPr>
              <w:t xml:space="preserve">شارة خضراء</w:t>
            </w:r>
          </w:p>
        </w:tc>
      </w:tr>
      <w:tr>
        <w:trPr>
          <w:cantSplit/>
        </w:trPr>
        <w:tc>
          <w:tcPr>
            <w:tcW w:type="pct" w:w="40%"/>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center"/>
            </w:pPr>
            <w:r>
              <w:rPr>
                <w:rFonts w:ascii="Arial" w:cs="Arial" w:hAnsi="Arial"/>
                <w:b w:val="false"/>
                <w:i w:val="false"/>
                <w:iCs w:val="false"/>
                <w:color w:val="000000"/>
                <w:sz w:val="21"/>
                <w:szCs w:val="21"/>
                <w:rtl/>
              </w:rPr>
              <w:t xml:space="preserve">من 8 إلى 15</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BUSY</w:t>
            </w:r>
          </w:p>
        </w:tc>
        <w:tc>
          <w:tcPr>
            <w:tcW w:type="pct" w:w="34%"/>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center"/>
            </w:pPr>
            <w:r>
              <w:rPr>
                <w:rFonts w:ascii="Arial" w:cs="Arial" w:hAnsi="Arial"/>
                <w:b w:val="false"/>
                <w:i w:val="false"/>
                <w:iCs w:val="false"/>
                <w:color w:val="000000"/>
                <w:sz w:val="21"/>
                <w:szCs w:val="21"/>
                <w:rtl/>
              </w:rPr>
              <w:t xml:space="preserve">شارة برتقالية</w:t>
            </w:r>
          </w:p>
        </w:tc>
      </w:tr>
      <w:tr>
        <w:trPr>
          <w:cantSplit/>
        </w:trPr>
        <w:tc>
          <w:tcPr>
            <w:tcW w:type="pct" w:w="40%"/>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center"/>
            </w:pPr>
            <w:r>
              <w:rPr>
                <w:rFonts w:ascii="Arial" w:cs="Arial" w:hAnsi="Arial"/>
                <w:b w:val="false"/>
                <w:i w:val="false"/>
                <w:iCs w:val="false"/>
                <w:color w:val="000000"/>
                <w:sz w:val="21"/>
                <w:szCs w:val="21"/>
                <w:rtl/>
              </w:rPr>
              <w:t xml:space="preserve">16 فأكثر</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HIGH LOAD</w:t>
            </w:r>
          </w:p>
        </w:tc>
        <w:tc>
          <w:tcPr>
            <w:tcW w:type="pct" w:w="34%"/>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center"/>
            </w:pPr>
            <w:r>
              <w:rPr>
                <w:rFonts w:ascii="Arial" w:cs="Arial" w:hAnsi="Arial"/>
                <w:b w:val="false"/>
                <w:i w:val="false"/>
                <w:iCs w:val="false"/>
                <w:color w:val="000000"/>
                <w:sz w:val="21"/>
                <w:szCs w:val="21"/>
                <w:rtl/>
              </w:rPr>
              <w:t xml:space="preserve">شارة حمراء نابضة</w:t>
            </w:r>
          </w:p>
        </w:tc>
      </w:tr>
    </w:tbl>
    <w:p>
      <w:pPr>
        <w:spacing w:after="130" w:line="240"/>
      </w:pPr>
    </w:p>
    <w:p>
      <w:pPr>
        <w:keepNext/>
        <w:spacing w:after="40" w:before="100"/>
        <w:jc w:val="center"/>
      </w:pPr>
      <w:r>
        <w:drawing>
          <wp:inline distT="0" distB="0" distL="0" distR="0">
            <wp:extent cx="352425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524250" cy="2009775"/>
                    </a:xfrm>
                    <a:prstGeom prst="rect">
                      <a:avLst/>
                    </a:prstGeom>
                  </pic:spPr>
                </pic:pic>
              </a:graphicData>
            </a:graphic>
          </wp:inline>
        </w:drawing>
      </w:r>
    </w:p>
    <w:p>
      <w:pPr>
        <w:bidi/>
        <w:spacing w:after="130" w:line="300"/>
        <w:jc w:val="center"/>
      </w:pPr>
      <w:r>
        <w:rPr>
          <w:rFonts w:ascii="Arial" w:cs="Arial" w:hAnsi="Arial"/>
          <w:b/>
          <w:bCs/>
          <w:i w:val="false"/>
          <w:iCs w:val="false"/>
          <w:color w:val="595959"/>
          <w:sz w:val="21"/>
          <w:szCs w:val="21"/>
          <w:rtl/>
        </w:rPr>
        <w:t xml:space="preserve">شكل 2: الانتقال الفعلي لمستوى الضغط أثناء سيناريو العرض الحي (من مخرجات scripts/demo_scenario.sh الحقيقية)</w:t>
      </w:r>
    </w:p>
    <w:p>
      <w:pPr>
        <w:shd w:fill="F4F6F8" w:val="clear"/>
        <w:spacing w:after="0" w:line="276"/>
        <w:jc w:val="left"/>
      </w:pPr>
      <w:r>
        <w:rPr>
          <w:rFonts w:ascii="Courier New" w:cs="Courier New" w:hAnsi="Courier New"/>
          <w:b w:val="false"/>
          <w:i w:val="false"/>
          <w:iCs w:val="false"/>
          <w:color w:val="1F2937"/>
          <w:sz w:val="17"/>
          <w:szCs w:val="17"/>
          <w:rtl w:val="false"/>
        </w:rPr>
        <w:t xml:space="preserve">== STEP 3 — peak: +8 tickets = 16 waiting (HIGH LOAD expected)</w:t>
      </w:r>
    </w:p>
    <w:p>
      <w:pPr>
        <w:shd w:fill="F4F6F8" w:val="clear"/>
        <w:spacing w:after="0" w:line="276"/>
        <w:jc w:val="left"/>
      </w:pPr>
      <w:r>
        <w:rPr>
          <w:rFonts w:ascii="Courier New" w:cs="Courier New" w:hAnsi="Courier New"/>
          <w:b w:val="false"/>
          <w:i w:val="false"/>
          <w:iCs w:val="false"/>
          <w:color w:val="1F2937"/>
          <w:sz w:val="17"/>
          <w:szCs w:val="17"/>
          <w:rtl w:val="false"/>
        </w:rPr>
        <w:t xml:space="preserve">  IT Support               waiting= 16   in-service=  0   load=HIGH LOAD</w:t>
      </w:r>
    </w:p>
    <w:p>
      <w:pPr>
        <w:shd w:fill="F4F6F8" w:val="clear"/>
        <w:spacing w:after="0" w:line="276"/>
        <w:jc w:val="left"/>
      </w:pPr>
      <w:r>
        <w:rPr>
          <w:rFonts w:ascii="Courier New" w:cs="Courier New" w:hAnsi="Courier New"/>
          <w:b w:val="false"/>
          <w:i w:val="false"/>
          <w:iCs w:val="false"/>
          <w:color w:val="1F2937"/>
          <w:sz w:val="17"/>
          <w:szCs w:val="17"/>
          <w:rtl w:val="false"/>
        </w:rPr>
        <w:t xml:space="preserve">  OVERALL: waiting=16  overall load = HIGH LOAD</w:t>
      </w:r>
    </w:p>
    <w:p>
      <w:pPr>
        <w:shd w:fill="F4F6F8" w:val="clear"/>
        <w:spacing w:after="0" w:line="276"/>
        <w:jc w:val="left"/>
      </w:pPr>
      <w:r>
        <w:rPr>
          <w:rFonts w:ascii="Courier New" w:cs="Courier New" w:hAnsi="Courier New"/>
          <w:b w:val="false"/>
          <w:i w:val="false"/>
          <w:iCs w:val="false"/>
          <w:color w:val="1F2937"/>
          <w:sz w:val="17"/>
          <w:szCs w:val="17"/>
          <w:rtl w:val="false"/>
        </w:rPr>
        <w:t xml:space="preserve"> </w:t>
      </w:r>
    </w:p>
    <w:p>
      <w:pPr>
        <w:shd w:fill="F4F6F8" w:val="clear"/>
        <w:spacing w:after="0" w:line="276"/>
        <w:jc w:val="left"/>
      </w:pPr>
      <w:r>
        <w:rPr>
          <w:rFonts w:ascii="Courier New" w:cs="Courier New" w:hAnsi="Courier New"/>
          <w:b w:val="false"/>
          <w:i w:val="false"/>
          <w:iCs w:val="false"/>
          <w:color w:val="1F2937"/>
          <w:sz w:val="17"/>
          <w:szCs w:val="17"/>
          <w:rtl w:val="false"/>
        </w:rPr>
        <w:t xml:space="preserve">== STEP 4 — staff serves customers: 3 completed (de-escalation)</w:t>
      </w:r>
    </w:p>
    <w:p>
      <w:pPr>
        <w:shd w:fill="F4F6F8" w:val="clear"/>
        <w:spacing w:after="0" w:line="276"/>
        <w:jc w:val="left"/>
      </w:pPr>
      <w:r>
        <w:rPr>
          <w:rFonts w:ascii="Courier New" w:cs="Courier New" w:hAnsi="Courier New"/>
          <w:b w:val="false"/>
          <w:i w:val="false"/>
          <w:iCs w:val="false"/>
          <w:color w:val="1F2937"/>
          <w:sz w:val="17"/>
          <w:szCs w:val="17"/>
          <w:rtl w:val="false"/>
        </w:rPr>
        <w:t xml:space="preserve">  IT Support               waiting= 13   in-service=  0   load=BUSY</w:t>
      </w:r>
    </w:p>
    <w:p>
      <w:pPr>
        <w:shd w:fill="F4F6F8" w:val="clear"/>
        <w:spacing w:after="160" w:line="276"/>
        <w:jc w:val="left"/>
      </w:pPr>
      <w:r>
        <w:rPr>
          <w:rFonts w:ascii="Courier New" w:cs="Courier New" w:hAnsi="Courier New"/>
          <w:b w:val="false"/>
          <w:i w:val="false"/>
          <w:iCs w:val="false"/>
          <w:color w:val="1F2937"/>
          <w:sz w:val="17"/>
          <w:szCs w:val="17"/>
          <w:rtl w:val="false"/>
        </w:rPr>
        <w:t xml:space="preserve">  OVERALL: waiting=13  overall load = BUSY</w:t>
      </w:r>
    </w:p>
    <w:p>
      <w:pPr>
        <w:keepNext/>
        <w:spacing w:after="40" w:before="100"/>
        <w:jc w:val="center"/>
      </w:pPr>
      <w:r>
        <w:drawing>
          <wp:inline distT="0" distB="0" distL="0" distR="0">
            <wp:extent cx="314325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43250" cy="2295525"/>
                    </a:xfrm>
                    <a:prstGeom prst="rect">
                      <a:avLst/>
                    </a:prstGeom>
                  </pic:spPr>
                </pic:pic>
              </a:graphicData>
            </a:graphic>
          </wp:inline>
        </w:drawing>
      </w:r>
    </w:p>
    <w:p>
      <w:pPr>
        <w:bidi/>
        <w:spacing w:after="130" w:line="300"/>
        <w:jc w:val="center"/>
      </w:pPr>
      <w:r>
        <w:rPr>
          <w:rFonts w:ascii="Arial" w:cs="Arial" w:hAnsi="Arial"/>
          <w:b/>
          <w:bCs/>
          <w:i w:val="false"/>
          <w:iCs w:val="false"/>
          <w:color w:val="595959"/>
          <w:sz w:val="21"/>
          <w:szCs w:val="21"/>
          <w:rtl/>
        </w:rPr>
        <w:t xml:space="preserve">شكل 3: لوحة الخدمات في حالة NORMAL قبل تصاعد الحمل</w:t>
      </w:r>
    </w:p>
    <w:p>
      <w:pPr>
        <w:keepNext/>
        <w:spacing w:after="40" w:before="100"/>
        <w:jc w:val="center"/>
      </w:pPr>
      <w:r>
        <w:drawing>
          <wp:inline distT="0" distB="0" distL="0" distR="0">
            <wp:extent cx="314325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43250" cy="2295525"/>
                    </a:xfrm>
                    <a:prstGeom prst="rect">
                      <a:avLst/>
                    </a:prstGeom>
                  </pic:spPr>
                </pic:pic>
              </a:graphicData>
            </a:graphic>
          </wp:inline>
        </w:drawing>
      </w:r>
    </w:p>
    <w:p>
      <w:pPr>
        <w:bidi/>
        <w:spacing w:after="130" w:line="300"/>
        <w:jc w:val="center"/>
      </w:pPr>
      <w:r>
        <w:rPr>
          <w:rFonts w:ascii="Arial" w:cs="Arial" w:hAnsi="Arial"/>
          <w:b/>
          <w:bCs/>
          <w:i w:val="false"/>
          <w:iCs w:val="false"/>
          <w:color w:val="595959"/>
          <w:sz w:val="21"/>
          <w:szCs w:val="21"/>
          <w:rtl/>
        </w:rPr>
        <w:t xml:space="preserve">شكل 4: لوحة الخدمات عند 8 منتظرين في الدعم التقني: الانتقال إلى BUSY</w:t>
      </w:r>
    </w:p>
    <w:p>
      <w:pPr>
        <w:keepNext/>
        <w:spacing w:after="40" w:before="100"/>
        <w:jc w:val="center"/>
      </w:pPr>
      <w:r>
        <w:drawing>
          <wp:inline distT="0" distB="0" distL="0" distR="0">
            <wp:extent cx="314325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43250" cy="2295525"/>
                    </a:xfrm>
                    <a:prstGeom prst="rect">
                      <a:avLst/>
                    </a:prstGeom>
                  </pic:spPr>
                </pic:pic>
              </a:graphicData>
            </a:graphic>
          </wp:inline>
        </w:drawing>
      </w:r>
    </w:p>
    <w:p>
      <w:pPr>
        <w:bidi/>
        <w:spacing w:after="130" w:line="300"/>
        <w:jc w:val="center"/>
      </w:pPr>
      <w:r>
        <w:rPr>
          <w:rFonts w:ascii="Arial" w:cs="Arial" w:hAnsi="Arial"/>
          <w:b/>
          <w:bCs/>
          <w:i w:val="false"/>
          <w:iCs w:val="false"/>
          <w:color w:val="595959"/>
          <w:sz w:val="21"/>
          <w:szCs w:val="21"/>
          <w:rtl/>
        </w:rPr>
        <w:t xml:space="preserve">شكل 5: لوحة الخدمات عند 16 منتظرًا: حالة HIGH LOAD بشارة حمراء ومؤشر ضغط أقصى</w:t>
      </w:r>
    </w:p>
    <w:p>
      <w:pPr>
        <w:pStyle w:val="Heading1"/>
        <w:keepNext/>
        <w:bidi/>
        <w:spacing w:after="150" w:before="300" w:line="400" w:lineRule="atLeast"/>
        <w:jc w:val="center"/>
      </w:pPr>
      <w:bookmarkStart w:id="100006" w:name="_Toc100006"/>
      <w:r>
        <w:rPr>
          <w:rFonts w:ascii="Arial" w:cs="Arial" w:hAnsi="Arial"/>
          <w:b/>
          <w:bCs/>
          <w:i w:val="false"/>
          <w:iCs w:val="false"/>
          <w:color w:val="000000"/>
          <w:sz w:val="32"/>
          <w:szCs w:val="32"/>
          <w:rtl/>
        </w:rPr>
        <w:t xml:space="preserve">7. المحاكاة الافتراضية و Docker (W4)</w:t>
      </w:r>
      <w:bookmarkEnd w:id="100006"/>
    </w:p>
    <w:p>
      <w:pPr>
        <w:keepNext w:val="false"/>
        <w:bidi/>
        <w:spacing w:after="110" w:before="0" w:line="304"/>
        <w:jc w:val="both"/>
      </w:pPr>
      <w:r>
        <w:rPr>
          <w:rFonts w:ascii="Arial" w:cs="Arial" w:hAnsi="Arial"/>
          <w:b w:val="false"/>
          <w:i w:val="false"/>
          <w:iCs w:val="false"/>
          <w:color w:val="000000"/>
          <w:sz w:val="24"/>
          <w:szCs w:val="24"/>
          <w:rtl/>
        </w:rPr>
        <w:t xml:space="preserve">المحاكاة الافتراضية على مستوى الحاويات تقسم موارد نظام تشغيل المضيف إلى بيئات معزولة تشترك في نواة واحدة، بخلاف الأجهزة الافتراضية الكاملة بنواة لكل آلة، ولهذا الخفيف أثر مباشر في المشروع: إقلاع الحاوية يستغرق ثوانٍ وحجمها عشرات الميغابايت، فيصبح استنساخ نسخة إضافية عند الذروة عملية رخيصة وسريعة، وهو الأساس التقني للمرونة السحابية المناقشة في W1 و W6. ويتحقق العزل في CrowdCloud على ثلاث طبقات: عزل التطبيق عن مضيفه (صورة python:3.12-slim بمتطلباتها في طبقة مستقلة فلا تعارض مع أي شيء آخر على المضيف)، وعزل البيانات عن دورة حياة الحاوية (قاعدة البيانات على Docker Volume فلا تضيع بإعادة البناء)، وعزل الشبكة (منفذ 5000 معلن فقط، وسيناريو التوسع يعزل النسخ خلف Nginx). كما يوفر Dockerfile فحص HEALTHCHECK يستعلم /healthz فيعرف النظام صلاحية الحاوية قبل توجيه الطلبات إليها، وهو الترتيب ذاته في بيئات السحابة الحقيقية. الملفات المرفقة: Dockerfile (يبني الصورة ويشغّل Gunicorn بأربعة عمال)، و docker-compose.yml (عقدة واحدة بحجم دائم ومتغيرات العتبات)، و docker-compose.scale.yml مع docker/nginx.conf لسيناريو التوسع.</w:t>
      </w:r>
    </w:p>
    <w:p>
      <w:pPr>
        <w:keepNext w:val="false"/>
        <w:bidi/>
        <w:spacing w:after="110" w:before="0" w:line="304"/>
        <w:jc w:val="both"/>
      </w:pPr>
      <w:r>
        <w:rPr>
          <w:rFonts w:ascii="Arial" w:cs="Arial" w:hAnsi="Arial"/>
          <w:b w:val="false"/>
          <w:i w:val="false"/>
          <w:iCs w:val="false"/>
          <w:color w:val="000000"/>
          <w:sz w:val="24"/>
          <w:szCs w:val="24"/>
          <w:rtl/>
        </w:rPr>
        <w:t xml:space="preserve">ويجب التصريح بأمانة أكاديمية كاملة: بيئة إعداد هذا التسليم لا تتوفر فيها Docker (لا مزوّد حاويات)، لذلك اختُبر التطبيق فعليًا بتشغيل Gunicorn بالإعدادات نفسها المضبوطة في Dockerfile (أربعة عمال وخيطين) ووُثّقت نتائج ذلك في قسم الأداء، بينما ملفات الحاويات جاهزة للتشغيل على أي جهاز فيه Docker بتعليمات README، ويُذكر القيد نفسه في التحديات.</w:t>
      </w:r>
    </w:p>
    <w:p>
      <w:pPr>
        <w:pStyle w:val="Heading1"/>
        <w:keepNext/>
        <w:bidi/>
        <w:spacing w:after="150" w:before="300" w:line="400" w:lineRule="atLeast"/>
        <w:jc w:val="center"/>
      </w:pPr>
      <w:bookmarkStart w:id="100007" w:name="_Toc100007"/>
      <w:r>
        <w:rPr>
          <w:rFonts w:ascii="Arial" w:cs="Arial" w:hAnsi="Arial"/>
          <w:b/>
          <w:bCs/>
          <w:i w:val="false"/>
          <w:iCs w:val="false"/>
          <w:color w:val="000000"/>
          <w:sz w:val="32"/>
          <w:szCs w:val="32"/>
          <w:rtl/>
        </w:rPr>
        <w:t xml:space="preserve">8. التنفيذ الفعلي</w:t>
      </w:r>
      <w:bookmarkEnd w:id="100007"/>
    </w:p>
    <w:p>
      <w:pPr>
        <w:keepNext w:val="false"/>
        <w:bidi/>
        <w:spacing w:after="110" w:before="0" w:line="304"/>
        <w:jc w:val="both"/>
      </w:pPr>
      <w:r>
        <w:rPr>
          <w:rFonts w:ascii="Arial" w:cs="Arial" w:hAnsi="Arial"/>
          <w:b w:val="false"/>
          <w:i w:val="false"/>
          <w:iCs w:val="false"/>
          <w:color w:val="000000"/>
          <w:sz w:val="24"/>
          <w:szCs w:val="24"/>
          <w:rtl/>
        </w:rPr>
        <w:t xml:space="preserve">نُفّذ المشروع بالتقنيات المطلوبـة وبالإصدارات الفعلية: Python 3.12.14 و Flask 3.1.3 (مصنع التطبيق) و SQLite 3.53.1 و Gunicorn 26.2.0 و pytest 9.0.2 (29 اختبارًا ناجحًا) و diagrams.net للمخطط القابل للتحرير، وبالهيكل المتعارف عليه الذي يقترحه التكليف: مجلد app (المصنع وقاعدة البيانات والنماذج ومنطق الحمل والمسارات تحت app/routes) و templates و static للواجهة الحية و database لملف SQLite و tests و scripts لسيناريو العرض و benchmarks لأداة الحمل ونتائجه الخام و docs للمخطط واللقطات، مع Dockerfile و docker-compose.yml و requirements.txt و README.md. وقد فُصلت واجهات REST عن صفحات HTML عمدًا حتى تكون مادة اختبار الحمل هي نفسها مسارات الاستخدام الحقيقي، وأبرزها: POST /api/tickets للإصدار، و GET /api/tickets/&lt;رقم&gt; للمتابعة، و GET /api/services للخدمات ومستوياتها، و POST /api/services/&lt;رمز&gt;/next لمناداة التالي، و GET /healthz للجهوزية.</w:t>
      </w:r>
    </w:p>
    <w:p>
      <w:pPr>
        <w:keepNext w:val="false"/>
        <w:bidi/>
        <w:spacing w:after="110" w:before="0" w:line="304"/>
        <w:jc w:val="both"/>
      </w:pPr>
      <w:r>
        <w:rPr>
          <w:rFonts w:ascii="Arial" w:cs="Arial" w:hAnsi="Arial"/>
          <w:b w:val="false"/>
          <w:i w:val="false"/>
          <w:iCs w:val="false"/>
          <w:color w:val="000000"/>
          <w:sz w:val="24"/>
          <w:szCs w:val="24"/>
          <w:rtl/>
        </w:rPr>
        <w:t xml:space="preserve">وتُظهر الأشكال التالية الرحلة الكاملة من النظام العامل: صفحة التذكرة الصادرة برقمها وحالتها وموقع صاحبها في الطابور (الشكل 6)، ولوحة الانتظار العامة بقوائم المنتظرين في حالة BUSY (الشكل 7)، ولوحة الموظف أثناء الضغط المرتفع مع أزرار المناداة والإنهاء والإلغاء وجدول التذاكر (الشكل 8). جميعها لقطات حقيقية غير معدّلة، ومؤشرات الضغط في ترويسة كل صفحة تتحدث تلقائيًا دون تحديث يدوي.</w:t>
      </w:r>
    </w:p>
    <w:p>
      <w:pPr>
        <w:keepNext/>
        <w:spacing w:after="40" w:before="100"/>
        <w:jc w:val="center"/>
      </w:pPr>
      <w:r>
        <w:drawing>
          <wp:inline distT="0" distB="0" distL="0" distR="0">
            <wp:extent cx="314325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143250" cy="2295525"/>
                    </a:xfrm>
                    <a:prstGeom prst="rect">
                      <a:avLst/>
                    </a:prstGeom>
                  </pic:spPr>
                </pic:pic>
              </a:graphicData>
            </a:graphic>
          </wp:inline>
        </w:drawing>
      </w:r>
    </w:p>
    <w:p>
      <w:pPr>
        <w:bidi/>
        <w:spacing w:after="130" w:line="300"/>
        <w:jc w:val="center"/>
      </w:pPr>
      <w:r>
        <w:rPr>
          <w:rFonts w:ascii="Arial" w:cs="Arial" w:hAnsi="Arial"/>
          <w:b/>
          <w:bCs/>
          <w:i w:val="false"/>
          <w:iCs w:val="false"/>
          <w:color w:val="595959"/>
          <w:sz w:val="21"/>
          <w:szCs w:val="21"/>
          <w:rtl/>
        </w:rPr>
        <w:t xml:space="preserve">شكل 6: صفحة التذكرة الصادرة IT-003 مع الحالة والموقع والزمن التقديري المعلن</w:t>
      </w:r>
    </w:p>
    <w:p>
      <w:pPr>
        <w:keepNext/>
        <w:spacing w:after="40" w:before="100"/>
        <w:jc w:val="center"/>
      </w:pPr>
      <w:r>
        <w:drawing>
          <wp:inline distT="0" distB="0" distL="0" distR="0">
            <wp:extent cx="314325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143250" cy="2657475"/>
                    </a:xfrm>
                    <a:prstGeom prst="rect">
                      <a:avLst/>
                    </a:prstGeom>
                  </pic:spPr>
                </pic:pic>
              </a:graphicData>
            </a:graphic>
          </wp:inline>
        </w:drawing>
      </w:r>
    </w:p>
    <w:p>
      <w:pPr>
        <w:bidi/>
        <w:spacing w:after="130" w:line="300"/>
        <w:jc w:val="center"/>
      </w:pPr>
      <w:r>
        <w:rPr>
          <w:rFonts w:ascii="Arial" w:cs="Arial" w:hAnsi="Arial"/>
          <w:b/>
          <w:bCs/>
          <w:i w:val="false"/>
          <w:iCs w:val="false"/>
          <w:color w:val="595959"/>
          <w:sz w:val="21"/>
          <w:szCs w:val="21"/>
          <w:rtl/>
        </w:rPr>
        <w:t xml:space="preserve">شكل 7: لوحة الانتظار العامة /queue في حالة BUSY (قوائم المنتظرين بترتيبهم)</w:t>
      </w:r>
    </w:p>
    <w:p>
      <w:pPr>
        <w:keepNext/>
        <w:spacing w:after="40" w:before="100"/>
        <w:jc w:val="center"/>
      </w:pPr>
      <w:r>
        <w:drawing>
          <wp:inline distT="0" distB="0" distL="0" distR="0">
            <wp:extent cx="3619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19500" cy="3190875"/>
                    </a:xfrm>
                    <a:prstGeom prst="rect">
                      <a:avLst/>
                    </a:prstGeom>
                  </pic:spPr>
                </pic:pic>
              </a:graphicData>
            </a:graphic>
          </wp:inline>
        </w:drawing>
      </w:r>
    </w:p>
    <w:p>
      <w:pPr>
        <w:bidi/>
        <w:spacing w:after="130" w:line="300"/>
        <w:jc w:val="center"/>
      </w:pPr>
      <w:r>
        <w:rPr>
          <w:rFonts w:ascii="Arial" w:cs="Arial" w:hAnsi="Arial"/>
          <w:b/>
          <w:bCs/>
          <w:i w:val="false"/>
          <w:iCs w:val="false"/>
          <w:color w:val="595959"/>
          <w:sz w:val="21"/>
          <w:szCs w:val="21"/>
          <w:rtl/>
        </w:rPr>
        <w:t xml:space="preserve">شكل 8: لوحة الموظف /admin أثناء HIGH LOAD: أزرار المعالجة وجدول التذاكر</w:t>
      </w:r>
    </w:p>
    <w:p>
      <w:pPr>
        <w:pStyle w:val="Heading1"/>
        <w:keepNext/>
        <w:bidi/>
        <w:spacing w:after="150" w:before="300" w:line="400" w:lineRule="atLeast"/>
        <w:jc w:val="center"/>
      </w:pPr>
      <w:bookmarkStart w:id="100008" w:name="_Toc100008"/>
      <w:r>
        <w:rPr>
          <w:rFonts w:ascii="Arial" w:cs="Arial" w:hAnsi="Arial"/>
          <w:b/>
          <w:bCs/>
          <w:i w:val="false"/>
          <w:iCs w:val="false"/>
          <w:color w:val="000000"/>
          <w:sz w:val="32"/>
          <w:szCs w:val="32"/>
          <w:rtl/>
        </w:rPr>
        <w:t xml:space="preserve">9. اختبارات الأداء: المنهجية والنتائج (W5)</w:t>
      </w:r>
      <w:bookmarkEnd w:id="100008"/>
    </w:p>
    <w:p>
      <w:pPr>
        <w:keepNext w:val="false"/>
        <w:bidi/>
        <w:spacing w:after="110" w:before="0" w:line="304"/>
        <w:jc w:val="both"/>
      </w:pPr>
      <w:r>
        <w:rPr>
          <w:rFonts w:ascii="Arial" w:cs="Arial" w:hAnsi="Arial"/>
          <w:b w:val="false"/>
          <w:i w:val="false"/>
          <w:iCs w:val="false"/>
          <w:color w:val="000000"/>
          <w:sz w:val="24"/>
          <w:szCs w:val="24"/>
          <w:rtl/>
        </w:rPr>
        <w:t xml:space="preserve">نُفّذت جميع الاختبارات على بيئة الجدول (3)، والخادم المقيس هو الإعداد الإنتاجي نفسه المضبوط في Dockerfile (أربعة عمال Gunicorn بخيطين لكل عامل). أما أداة الحمل فالمطلوب الأول كان ApacheBench، غير أن بيئة إعداد النتائج لا تتضمن أمر ab ولا تسمح بتركيبه (غياب صلاحيات root)، ولأن التكليف يجيز صراحة أدوات بديلة مناسبة بُنيت أداة benchmarks/bench.py بلغة Python القياسية وحدها لتنتج مقاييس ab نفسها: عدد الطلبات، والتزامن، والطلبات في الثانية (RPS)، وزمن الاستجابة (المتوسط ومئويات p50 و p95 و p99 والأقصى)، والطلبات الفاشلة، مع اتصالات دائمة (Keep-Alive) لكل خيط كما يفعل ab. ولإثبات أن الأداة نفسها ليست عنق الزجاجة أُضيف قياس تحكم على نقطة الجهوزية /healthz ذات الاستجابة التافهة: 2124.22 طلبًا/ثانية عند تزامن 50، أي أكثر من ضعف أعلى قراءة للنقاط الديناميكية. وحدّ منهجي معلن: كون مولّد الحمل والخادم على الجهاز نفسه يعني تنازعًا على المعالجين، وهي سمة معروفة لقياسات Localhost تؤثر في الأرقام المطلقة أكثر من نسب المقارنة، وأوامر ab المكافئة كاملة في benchmarks/ab_commands.txt لإعادة الجولة نفسها على أي جهاز يحتويها.</w:t>
      </w:r>
    </w:p>
    <w:p>
      <w:pPr>
        <w:keepNext/>
        <w:bidi/>
        <w:spacing w:after="80" w:before="160" w:line="300"/>
        <w:jc w:val="center"/>
      </w:pPr>
      <w:r>
        <w:rPr>
          <w:rFonts w:ascii="Arial" w:cs="Arial" w:hAnsi="Arial"/>
          <w:b/>
          <w:bCs/>
          <w:i w:val="false"/>
          <w:iCs w:val="false"/>
          <w:color w:val="000000"/>
          <w:sz w:val="21"/>
          <w:szCs w:val="21"/>
          <w:rtl/>
        </w:rPr>
        <w:t xml:space="preserve">جدول 3: بيئة الاختبار كما هي فعليًا</w:t>
      </w:r>
    </w:p>
    <w:tbl>
      <w:tblPr>
        <w:bidiVisual/>
        <w:tblW w:type="pct" w:w="1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100"/>
        <w:gridCol w:w="100"/>
      </w:tblGrid>
      <w:tr>
        <w:trPr>
          <w:cantSplit/>
          <w:tblHeader/>
        </w:trPr>
        <w:tc>
          <w:tcPr>
            <w:tcW w:type="pct" w:w="34%"/>
            <w:tcBorders>
              <w:top w:val="none" w:color="FFFFFF" w:sz="0"/>
              <w:left w:val="none" w:color="FFFFFF" w:sz="0"/>
              <w:bottom w:val="single" w:color="000000" w:sz="4"/>
              <w:right w:val="none" w:color="FFFFFF" w:sz="0"/>
            </w:tcBorders>
            <w:shd w:fill="F5F7FA" w:val="clear"/>
            <w:tcMar>
              <w:top w:type="dxa" w:w="40"/>
              <w:left w:type="dxa" w:w="80"/>
              <w:bottom w:type="dxa" w:w="40"/>
              <w:right w:type="dxa" w:w="80"/>
            </w:tcMar>
          </w:tcPr>
          <w:p>
            <w:pPr>
              <w:bidi/>
              <w:spacing w:after="20" w:before="20" w:line="300"/>
              <w:jc w:val="center"/>
            </w:pPr>
            <w:r>
              <w:rPr>
                <w:rFonts w:ascii="Arial" w:cs="Arial" w:hAnsi="Arial"/>
                <w:b/>
                <w:bCs/>
                <w:i w:val="false"/>
                <w:iCs w:val="false"/>
                <w:color w:val="000000"/>
                <w:sz w:val="21"/>
                <w:szCs w:val="21"/>
                <w:rtl/>
              </w:rPr>
              <w:t xml:space="preserve">العنصر</w:t>
            </w:r>
          </w:p>
        </w:tc>
        <w:tc>
          <w:tcPr>
            <w:tcW w:type="pct" w:w="66%"/>
            <w:tcBorders>
              <w:top w:val="none" w:color="FFFFFF" w:sz="0"/>
              <w:left w:val="none" w:color="FFFFFF" w:sz="0"/>
              <w:bottom w:val="single" w:color="000000" w:sz="4"/>
              <w:right w:val="none" w:color="FFFFFF" w:sz="0"/>
            </w:tcBorders>
            <w:shd w:fill="F5F7FA" w:val="clear"/>
            <w:tcMar>
              <w:top w:type="dxa" w:w="40"/>
              <w:left w:type="dxa" w:w="80"/>
              <w:bottom w:type="dxa" w:w="40"/>
              <w:right w:type="dxa" w:w="80"/>
            </w:tcMar>
          </w:tcPr>
          <w:p>
            <w:pPr>
              <w:bidi/>
              <w:spacing w:after="20" w:before="20" w:line="300"/>
              <w:jc w:val="center"/>
            </w:pPr>
            <w:r>
              <w:rPr>
                <w:rFonts w:ascii="Arial" w:cs="Arial" w:hAnsi="Arial"/>
                <w:b/>
                <w:bCs/>
                <w:i w:val="false"/>
                <w:iCs w:val="false"/>
                <w:color w:val="000000"/>
                <w:sz w:val="21"/>
                <w:szCs w:val="21"/>
                <w:rtl/>
              </w:rPr>
              <w:t xml:space="preserve">القيمة الفعلية</w:t>
            </w:r>
          </w:p>
        </w:tc>
      </w:tr>
      <w:tr>
        <w:trPr>
          <w:cantSplit/>
        </w:trPr>
        <w:tc>
          <w:tcPr>
            <w:tcW w:type="pct" w:w="34%"/>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right"/>
            </w:pPr>
            <w:r>
              <w:rPr>
                <w:rFonts w:ascii="Arial" w:cs="Arial" w:hAnsi="Arial"/>
                <w:b w:val="false"/>
                <w:i w:val="false"/>
                <w:iCs w:val="false"/>
                <w:color w:val="000000"/>
                <w:sz w:val="21"/>
                <w:szCs w:val="21"/>
                <w:rtl/>
              </w:rPr>
              <w:t xml:space="preserve">المعالجات / الذاكرة</w:t>
            </w:r>
          </w:p>
        </w:tc>
        <w:tc>
          <w:tcPr>
            <w:tcW w:type="pct" w:w="66%"/>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right"/>
            </w:pPr>
            <w:r>
              <w:rPr>
                <w:rFonts w:ascii="Arial" w:cs="Arial" w:hAnsi="Arial"/>
                <w:b w:val="false"/>
                <w:i w:val="false"/>
                <w:iCs w:val="false"/>
                <w:color w:val="000000"/>
                <w:sz w:val="21"/>
                <w:szCs w:val="21"/>
                <w:rtl/>
              </w:rPr>
              <w:t xml:space="preserve">2 vCPU / 4 GB RAM (بيئة Linux مشتركة)</w:t>
            </w:r>
          </w:p>
        </w:tc>
      </w:tr>
      <w:tr>
        <w:trPr>
          <w:cantSplit/>
        </w:trPr>
        <w:tc>
          <w:tcPr>
            <w:tcW w:type="pct" w:w="34%"/>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right"/>
            </w:pPr>
            <w:r>
              <w:rPr>
                <w:rFonts w:ascii="Arial" w:cs="Arial" w:hAnsi="Arial"/>
                <w:b w:val="false"/>
                <w:i w:val="false"/>
                <w:iCs w:val="false"/>
                <w:color w:val="000000"/>
                <w:sz w:val="21"/>
                <w:szCs w:val="21"/>
                <w:rtl/>
              </w:rPr>
              <w:t xml:space="preserve">الخادم</w:t>
            </w:r>
          </w:p>
        </w:tc>
        <w:tc>
          <w:tcPr>
            <w:tcW w:type="pct" w:w="66%"/>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right"/>
            </w:pPr>
            <w:r>
              <w:rPr>
                <w:rFonts w:ascii="Arial" w:cs="Arial" w:hAnsi="Arial"/>
                <w:b w:val="false"/>
                <w:i w:val="false"/>
                <w:iCs w:val="false"/>
                <w:color w:val="000000"/>
                <w:sz w:val="21"/>
                <w:szCs w:val="21"/>
                <w:rtl/>
              </w:rPr>
              <w:t xml:space="preserve">Gunicorn 26.2.0 — 4 عمال × 2 خيوط</w:t>
            </w:r>
          </w:p>
        </w:tc>
      </w:tr>
      <w:tr>
        <w:trPr>
          <w:cantSplit/>
        </w:trPr>
        <w:tc>
          <w:tcPr>
            <w:tcW w:type="pct" w:w="34%"/>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right"/>
            </w:pPr>
            <w:r>
              <w:rPr>
                <w:rFonts w:ascii="Arial" w:cs="Arial" w:hAnsi="Arial"/>
                <w:b w:val="false"/>
                <w:i w:val="false"/>
                <w:iCs w:val="false"/>
                <w:color w:val="000000"/>
                <w:sz w:val="21"/>
                <w:szCs w:val="21"/>
                <w:rtl/>
              </w:rPr>
              <w:t xml:space="preserve">قاعدة البيانات</w:t>
            </w:r>
          </w:p>
        </w:tc>
        <w:tc>
          <w:tcPr>
            <w:tcW w:type="pct" w:w="66%"/>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right"/>
            </w:pPr>
            <w:r>
              <w:rPr>
                <w:rFonts w:ascii="Arial" w:cs="Arial" w:hAnsi="Arial"/>
                <w:b w:val="false"/>
                <w:i w:val="false"/>
                <w:iCs w:val="false"/>
                <w:color w:val="000000"/>
                <w:sz w:val="21"/>
                <w:szCs w:val="21"/>
                <w:rtl/>
              </w:rPr>
              <w:t xml:space="preserve">SQLite 3.53.1 بوضع WAL على قرص محلي</w:t>
            </w:r>
          </w:p>
        </w:tc>
      </w:tr>
      <w:tr>
        <w:trPr>
          <w:cantSplit/>
        </w:trPr>
        <w:tc>
          <w:tcPr>
            <w:tcW w:type="pct" w:w="34%"/>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right"/>
            </w:pPr>
            <w:r>
              <w:rPr>
                <w:rFonts w:ascii="Arial" w:cs="Arial" w:hAnsi="Arial"/>
                <w:b w:val="false"/>
                <w:i w:val="false"/>
                <w:iCs w:val="false"/>
                <w:color w:val="000000"/>
                <w:sz w:val="21"/>
                <w:szCs w:val="21"/>
                <w:rtl/>
              </w:rPr>
              <w:t xml:space="preserve">مولّد الحمل</w:t>
            </w:r>
          </w:p>
        </w:tc>
        <w:tc>
          <w:tcPr>
            <w:tcW w:type="pct" w:w="66%"/>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right"/>
            </w:pPr>
            <w:r>
              <w:rPr>
                <w:rFonts w:ascii="Arial" w:cs="Arial" w:hAnsi="Arial"/>
                <w:b w:val="false"/>
                <w:i w:val="false"/>
                <w:iCs w:val="false"/>
                <w:color w:val="000000"/>
                <w:sz w:val="21"/>
                <w:szCs w:val="21"/>
                <w:rtl/>
              </w:rPr>
              <w:t xml:space="preserve">bench.py (Python 3.12.14، خيوط متزامنة، Keep-Alive)</w:t>
            </w:r>
          </w:p>
        </w:tc>
      </w:tr>
      <w:tr>
        <w:trPr>
          <w:cantSplit/>
        </w:trPr>
        <w:tc>
          <w:tcPr>
            <w:tcW w:type="pct" w:w="34%"/>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right"/>
            </w:pPr>
            <w:r>
              <w:rPr>
                <w:rFonts w:ascii="Arial" w:cs="Arial" w:hAnsi="Arial"/>
                <w:b w:val="false"/>
                <w:i w:val="false"/>
                <w:iCs w:val="false"/>
                <w:color w:val="000000"/>
                <w:sz w:val="21"/>
                <w:szCs w:val="21"/>
                <w:rtl/>
              </w:rPr>
              <w:t xml:space="preserve">موقع العميل والخادم</w:t>
            </w:r>
          </w:p>
        </w:tc>
        <w:tc>
          <w:tcPr>
            <w:tcW w:type="pct" w:w="66%"/>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right"/>
            </w:pPr>
            <w:r>
              <w:rPr>
                <w:rFonts w:ascii="Arial" w:cs="Arial" w:hAnsi="Arial"/>
                <w:b w:val="false"/>
                <w:i w:val="false"/>
                <w:iCs w:val="false"/>
                <w:color w:val="000000"/>
                <w:sz w:val="21"/>
                <w:szCs w:val="21"/>
                <w:rtl/>
              </w:rPr>
              <w:t xml:space="preserve">الجهاز نفسه (Localhost) — بلا زمن شبكة خارجي</w:t>
            </w:r>
          </w:p>
        </w:tc>
      </w:tr>
    </w:tbl>
    <w:p>
      <w:pPr>
        <w:spacing w:after="130" w:line="240"/>
      </w:pPr>
    </w:p>
    <w:p>
      <w:pPr>
        <w:keepNext w:val="false"/>
        <w:bidi/>
        <w:spacing w:after="110" w:before="0" w:line="304"/>
        <w:jc w:val="both"/>
      </w:pPr>
      <w:r>
        <w:rPr>
          <w:rFonts w:ascii="Arial" w:cs="Arial" w:hAnsi="Arial"/>
          <w:b w:val="false"/>
          <w:i w:val="false"/>
          <w:iCs w:val="false"/>
          <w:color w:val="000000"/>
          <w:sz w:val="24"/>
          <w:szCs w:val="24"/>
          <w:rtl/>
        </w:rPr>
        <w:t xml:space="preserve">اختيرت ثلاثة مستويات متدرجة كما يتطلب التكليف (طلب قليل ثم أكبر مع تزامن أعلى) وأُضيف رابع ضاغط للكتابة: L1 بـ 200 طلب وتزامن 1، و L2 بـ 500 وتزامن 10، و L3 بـ 1000 وتزامن 50، و L4 بـ 2000 وتزامن 100 (لإنشاء التذاكر فقط). وقِيس ثلاث نقاط تمثل أنماط تشغيل مختلفة: الصفحة الرئيسية GET / (توليد HTML كامل بقوالب Jinja2 مع استعلامات العدّ)، و GET /api/services (JSON باستعلامات تجميعية)، و POST /api/tickets (معاملة SQLite كاملة: عدّاد + إدراج). وقبل كل مستوى كتابة صُفّرت قاعدة البيانات لتوحيد ظروف البداية، وبعد كل مستوى تحقق فعلي من عدد التذاكر المحفوظة فطابق عدد الطلبات الناجح تمامًا.</w:t>
      </w:r>
    </w:p>
    <w:p>
      <w:pPr>
        <w:pStyle w:val="Heading1"/>
        <w:keepNext/>
        <w:bidi/>
        <w:spacing w:after="150" w:before="300" w:line="400" w:lineRule="atLeast"/>
        <w:jc w:val="center"/>
      </w:pPr>
      <w:bookmarkStart w:id="100009" w:name="_Toc100009"/>
      <w:r>
        <w:rPr>
          <w:rFonts w:ascii="Arial" w:cs="Arial" w:hAnsi="Arial"/>
          <w:b/>
          <w:bCs/>
          <w:i w:val="false"/>
          <w:iCs w:val="false"/>
          <w:color w:val="000000"/>
          <w:sz w:val="32"/>
          <w:szCs w:val="32"/>
          <w:rtl/>
        </w:rPr>
        <w:t xml:space="preserve">10. نتائج الأداء وتحليلها</w:t>
      </w:r>
      <w:bookmarkEnd w:id="100009"/>
    </w:p>
    <w:p>
      <w:pPr>
        <w:keepNext w:val="false"/>
        <w:bidi/>
        <w:spacing w:after="110" w:before="0" w:line="304"/>
        <w:jc w:val="both"/>
      </w:pPr>
      <w:r>
        <w:rPr>
          <w:rFonts w:ascii="Arial" w:cs="Arial" w:hAnsi="Arial"/>
          <w:b w:val="false"/>
          <w:i w:val="false"/>
          <w:iCs w:val="false"/>
          <w:color w:val="000000"/>
          <w:sz w:val="24"/>
          <w:szCs w:val="24"/>
          <w:rtl/>
        </w:rPr>
        <w:t xml:space="preserve">يعرض الجدول (4) النتائج الحقيقية كاملة كما خرجت من الأداة (الملفات الخام في benchmarks/results)، وكل رقم فيه وفي المخططات التالية ناتج تنفيذ فعلي لا تقدير. وقد نجحت جميع الطلبات في القياسات الثمانية عشر دون أي فشل، بمجموع 13,100 طلب، ويجسّد الشكل (9) مقارنة الإنتاجية بين النقاط والمستويات بصريًا مع خط التحكم.</w:t>
      </w:r>
    </w:p>
    <w:p>
      <w:pPr>
        <w:keepNext/>
        <w:bidi/>
        <w:spacing w:after="80" w:before="160" w:line="300"/>
        <w:jc w:val="center"/>
      </w:pPr>
      <w:r>
        <w:rPr>
          <w:rFonts w:ascii="Arial" w:cs="Arial" w:hAnsi="Arial"/>
          <w:b/>
          <w:bCs/>
          <w:i w:val="false"/>
          <w:iCs w:val="false"/>
          <w:color w:val="000000"/>
          <w:sz w:val="21"/>
          <w:szCs w:val="21"/>
          <w:rtl/>
        </w:rPr>
        <w:t xml:space="preserve">جدول 4: نتائج اختبارات الأداء الفعلية (Gunicorn 4×2 على 2 vCPU)</w:t>
      </w:r>
    </w:p>
    <w:tbl>
      <w:tblPr>
        <w:bidiVisual/>
        <w:tblW w:type="pct" w:w="1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100"/>
        <w:gridCol w:w="100"/>
        <w:gridCol w:w="100"/>
        <w:gridCol w:w="100"/>
        <w:gridCol w:w="100"/>
        <w:gridCol w:w="100"/>
        <w:gridCol w:w="100"/>
      </w:tblGrid>
      <w:tr>
        <w:trPr>
          <w:cantSplit/>
          <w:tblHeader/>
        </w:trPr>
        <w:tc>
          <w:tcPr>
            <w:tcW w:type="pct" w:w="24%"/>
            <w:tcBorders>
              <w:top w:val="none" w:color="FFFFFF" w:sz="0"/>
              <w:left w:val="none" w:color="FFFFFF" w:sz="0"/>
              <w:bottom w:val="single" w:color="000000" w:sz="4"/>
              <w:right w:val="none" w:color="FFFFFF" w:sz="0"/>
            </w:tcBorders>
            <w:shd w:fill="F5F7FA" w:val="clear"/>
            <w:tcMar>
              <w:top w:type="dxa" w:w="40"/>
              <w:left w:type="dxa" w:w="80"/>
              <w:bottom w:type="dxa" w:w="40"/>
              <w:right w:type="dxa" w:w="80"/>
            </w:tcMar>
          </w:tcPr>
          <w:p>
            <w:pPr>
              <w:bidi/>
              <w:spacing w:after="20" w:before="20" w:line="300"/>
              <w:jc w:val="center"/>
            </w:pPr>
            <w:r>
              <w:rPr>
                <w:rFonts w:ascii="Arial" w:cs="Arial" w:hAnsi="Arial"/>
                <w:b/>
                <w:bCs/>
                <w:i w:val="false"/>
                <w:iCs w:val="false"/>
                <w:color w:val="000000"/>
                <w:sz w:val="21"/>
                <w:szCs w:val="21"/>
                <w:rtl/>
              </w:rPr>
              <w:t xml:space="preserve">النقطة</w:t>
            </w:r>
          </w:p>
        </w:tc>
        <w:tc>
          <w:tcPr>
            <w:tcW w:type="pct" w:w="18%"/>
            <w:tcBorders>
              <w:top w:val="none" w:color="FFFFFF" w:sz="0"/>
              <w:left w:val="none" w:color="FFFFFF" w:sz="0"/>
              <w:bottom w:val="single" w:color="000000" w:sz="4"/>
              <w:right w:val="none" w:color="FFFFFF" w:sz="0"/>
            </w:tcBorders>
            <w:shd w:fill="F5F7FA" w:val="clear"/>
            <w:tcMar>
              <w:top w:type="dxa" w:w="40"/>
              <w:left w:type="dxa" w:w="80"/>
              <w:bottom w:type="dxa" w:w="40"/>
              <w:right w:type="dxa" w:w="80"/>
            </w:tcMar>
          </w:tcPr>
          <w:p>
            <w:pPr>
              <w:bidi/>
              <w:spacing w:after="20" w:before="20" w:line="300"/>
              <w:jc w:val="center"/>
            </w:pPr>
            <w:r>
              <w:rPr>
                <w:rFonts w:ascii="Arial" w:cs="Arial" w:hAnsi="Arial"/>
                <w:b/>
                <w:bCs/>
                <w:i w:val="false"/>
                <w:iCs w:val="false"/>
                <w:color w:val="000000"/>
                <w:sz w:val="21"/>
                <w:szCs w:val="21"/>
                <w:rtl/>
              </w:rPr>
              <w:t xml:space="preserve">المستوى (عدد/تزامن)</w:t>
            </w:r>
          </w:p>
        </w:tc>
        <w:tc>
          <w:tcPr>
            <w:tcW w:type="pct" w:w="12%"/>
            <w:tcBorders>
              <w:top w:val="none" w:color="FFFFFF" w:sz="0"/>
              <w:left w:val="none" w:color="FFFFFF" w:sz="0"/>
              <w:bottom w:val="single" w:color="000000" w:sz="4"/>
              <w:right w:val="none" w:color="FFFFFF" w:sz="0"/>
            </w:tcBorders>
            <w:shd w:fill="F5F7FA" w:val="clear"/>
            <w:tcMar>
              <w:top w:type="dxa" w:w="40"/>
              <w:left w:type="dxa" w:w="80"/>
              <w:bottom w:type="dxa" w:w="40"/>
              <w:right w:type="dxa" w:w="80"/>
            </w:tcMar>
          </w:tcPr>
          <w:p>
            <w:pPr>
              <w:bidi w:val="false"/>
              <w:spacing w:after="20" w:before="20" w:line="300"/>
              <w:jc w:val="center"/>
            </w:pPr>
            <w:r>
              <w:rPr>
                <w:rFonts w:ascii="Arial" w:cs="Arial" w:hAnsi="Arial"/>
                <w:b/>
                <w:bCs/>
                <w:i w:val="false"/>
                <w:iCs w:val="false"/>
                <w:color w:val="000000"/>
                <w:sz w:val="21"/>
                <w:szCs w:val="21"/>
                <w:rtl w:val="false"/>
              </w:rPr>
              <w:t xml:space="preserve">RPS</w:t>
            </w:r>
          </w:p>
        </w:tc>
        <w:tc>
          <w:tcPr>
            <w:tcW w:type="pct" w:w="12%"/>
            <w:tcBorders>
              <w:top w:val="none" w:color="FFFFFF" w:sz="0"/>
              <w:left w:val="none" w:color="FFFFFF" w:sz="0"/>
              <w:bottom w:val="single" w:color="000000" w:sz="4"/>
              <w:right w:val="none" w:color="FFFFFF" w:sz="0"/>
            </w:tcBorders>
            <w:shd w:fill="F5F7FA" w:val="clear"/>
            <w:tcMar>
              <w:top w:type="dxa" w:w="40"/>
              <w:left w:type="dxa" w:w="80"/>
              <w:bottom w:type="dxa" w:w="40"/>
              <w:right w:type="dxa" w:w="80"/>
            </w:tcMar>
          </w:tcPr>
          <w:p>
            <w:pPr>
              <w:bidi/>
              <w:spacing w:after="20" w:before="20" w:line="300"/>
              <w:jc w:val="center"/>
            </w:pPr>
            <w:r>
              <w:rPr>
                <w:rFonts w:ascii="Arial" w:cs="Arial" w:hAnsi="Arial"/>
                <w:b/>
                <w:bCs/>
                <w:i w:val="false"/>
                <w:iCs w:val="false"/>
                <w:color w:val="000000"/>
                <w:sz w:val="21"/>
                <w:szCs w:val="21"/>
                <w:rtl/>
              </w:rPr>
              <w:t xml:space="preserve">المتوسط (ms)</w:t>
            </w:r>
          </w:p>
        </w:tc>
        <w:tc>
          <w:tcPr>
            <w:tcW w:type="pct" w:w="12%"/>
            <w:tcBorders>
              <w:top w:val="none" w:color="FFFFFF" w:sz="0"/>
              <w:left w:val="none" w:color="FFFFFF" w:sz="0"/>
              <w:bottom w:val="single" w:color="000000" w:sz="4"/>
              <w:right w:val="none" w:color="FFFFFF" w:sz="0"/>
            </w:tcBorders>
            <w:shd w:fill="F5F7FA" w:val="clear"/>
            <w:tcMar>
              <w:top w:type="dxa" w:w="40"/>
              <w:left w:type="dxa" w:w="80"/>
              <w:bottom w:type="dxa" w:w="40"/>
              <w:right w:type="dxa" w:w="80"/>
            </w:tcMar>
          </w:tcPr>
          <w:p>
            <w:pPr>
              <w:bidi w:val="false"/>
              <w:spacing w:after="20" w:before="20" w:line="300"/>
              <w:jc w:val="center"/>
            </w:pPr>
            <w:r>
              <w:rPr>
                <w:rFonts w:ascii="Arial" w:cs="Arial" w:hAnsi="Arial"/>
                <w:b/>
                <w:bCs/>
                <w:i w:val="false"/>
                <w:iCs w:val="false"/>
                <w:color w:val="000000"/>
                <w:sz w:val="21"/>
                <w:szCs w:val="21"/>
                <w:rtl w:val="false"/>
              </w:rPr>
              <w:t xml:space="preserve">p95 (ms)</w:t>
            </w:r>
          </w:p>
        </w:tc>
        <w:tc>
          <w:tcPr>
            <w:tcW w:type="pct" w:w="12%"/>
            <w:tcBorders>
              <w:top w:val="none" w:color="FFFFFF" w:sz="0"/>
              <w:left w:val="none" w:color="FFFFFF" w:sz="0"/>
              <w:bottom w:val="single" w:color="000000" w:sz="4"/>
              <w:right w:val="none" w:color="FFFFFF" w:sz="0"/>
            </w:tcBorders>
            <w:shd w:fill="F5F7FA" w:val="clear"/>
            <w:tcMar>
              <w:top w:type="dxa" w:w="40"/>
              <w:left w:type="dxa" w:w="80"/>
              <w:bottom w:type="dxa" w:w="40"/>
              <w:right w:type="dxa" w:w="80"/>
            </w:tcMar>
          </w:tcPr>
          <w:p>
            <w:pPr>
              <w:bidi w:val="false"/>
              <w:spacing w:after="20" w:before="20" w:line="300"/>
              <w:jc w:val="center"/>
            </w:pPr>
            <w:r>
              <w:rPr>
                <w:rFonts w:ascii="Arial" w:cs="Arial" w:hAnsi="Arial"/>
                <w:b/>
                <w:bCs/>
                <w:i w:val="false"/>
                <w:iCs w:val="false"/>
                <w:color w:val="000000"/>
                <w:sz w:val="21"/>
                <w:szCs w:val="21"/>
                <w:rtl w:val="false"/>
              </w:rPr>
              <w:t xml:space="preserve">p99 (ms)</w:t>
            </w:r>
          </w:p>
        </w:tc>
        <w:tc>
          <w:tcPr>
            <w:tcW w:type="pct" w:w="10%"/>
            <w:tcBorders>
              <w:top w:val="none" w:color="FFFFFF" w:sz="0"/>
              <w:left w:val="none" w:color="FFFFFF" w:sz="0"/>
              <w:bottom w:val="single" w:color="000000" w:sz="4"/>
              <w:right w:val="none" w:color="FFFFFF" w:sz="0"/>
            </w:tcBorders>
            <w:shd w:fill="F5F7FA" w:val="clear"/>
            <w:tcMar>
              <w:top w:type="dxa" w:w="40"/>
              <w:left w:type="dxa" w:w="80"/>
              <w:bottom w:type="dxa" w:w="40"/>
              <w:right w:type="dxa" w:w="80"/>
            </w:tcMar>
          </w:tcPr>
          <w:p>
            <w:pPr>
              <w:bidi/>
              <w:spacing w:after="20" w:before="20" w:line="300"/>
              <w:jc w:val="center"/>
            </w:pPr>
            <w:r>
              <w:rPr>
                <w:rFonts w:ascii="Arial" w:cs="Arial" w:hAnsi="Arial"/>
                <w:b/>
                <w:bCs/>
                <w:i w:val="false"/>
                <w:iCs w:val="false"/>
                <w:color w:val="000000"/>
                <w:sz w:val="21"/>
                <w:szCs w:val="21"/>
                <w:rtl/>
              </w:rPr>
              <w:t xml:space="preserve">فاشل</w:t>
            </w:r>
          </w:p>
        </w:tc>
      </w:tr>
      <w:tr>
        <w:trPr>
          <w:cantSplit/>
        </w:trPr>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GET / (HTML)</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L1: 200 / 1</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563.68</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1.77</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1.99</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6.98</w:t>
            </w:r>
          </w:p>
        </w:tc>
        <w:tc>
          <w:tcPr>
            <w:tcW w:type="pct" w:w="10%"/>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0</w:t>
            </w:r>
          </w:p>
        </w:tc>
      </w:tr>
      <w:tr>
        <w:trPr>
          <w:cantSplit/>
        </w:trPr>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GET / (HTML)</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L2: 500 / 10</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706.99</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10.70</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32.00</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39.79</w:t>
            </w:r>
          </w:p>
        </w:tc>
        <w:tc>
          <w:tcPr>
            <w:tcW w:type="pct" w:w="10%"/>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0</w:t>
            </w:r>
          </w:p>
        </w:tc>
      </w:tr>
      <w:tr>
        <w:trPr>
          <w:cantSplit/>
        </w:trPr>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GET / (HTML)</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L3: 1000 / 50</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908.47</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37.41</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80.63</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87.50</w:t>
            </w:r>
          </w:p>
        </w:tc>
        <w:tc>
          <w:tcPr>
            <w:tcW w:type="pct" w:w="10%"/>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0</w:t>
            </w:r>
          </w:p>
        </w:tc>
      </w:tr>
      <w:tr>
        <w:trPr>
          <w:cantSplit/>
        </w:trPr>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GET /api/services</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L1: 200 / 1</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639.42</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1.56</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1.64</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3.00</w:t>
            </w:r>
          </w:p>
        </w:tc>
        <w:tc>
          <w:tcPr>
            <w:tcW w:type="pct" w:w="10%"/>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0</w:t>
            </w:r>
          </w:p>
        </w:tc>
      </w:tr>
      <w:tr>
        <w:trPr>
          <w:cantSplit/>
        </w:trPr>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GET /api/services</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L2: 500 / 10</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1003.84</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7.43</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30.10</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36.48</w:t>
            </w:r>
          </w:p>
        </w:tc>
        <w:tc>
          <w:tcPr>
            <w:tcW w:type="pct" w:w="10%"/>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0</w:t>
            </w:r>
          </w:p>
        </w:tc>
      </w:tr>
      <w:tr>
        <w:trPr>
          <w:cantSplit/>
        </w:trPr>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GET /api/services</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L3: 1000 / 50</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939.75</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28.48</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75.06</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84.10</w:t>
            </w:r>
          </w:p>
        </w:tc>
        <w:tc>
          <w:tcPr>
            <w:tcW w:type="pct" w:w="10%"/>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0</w:t>
            </w:r>
          </w:p>
        </w:tc>
      </w:tr>
      <w:tr>
        <w:trPr>
          <w:cantSplit/>
        </w:trPr>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POST /api/tickets</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L1: 200 / 1</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575.69</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1.73</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1.85</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1.97</w:t>
            </w:r>
          </w:p>
        </w:tc>
        <w:tc>
          <w:tcPr>
            <w:tcW w:type="pct" w:w="10%"/>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0</w:t>
            </w:r>
          </w:p>
        </w:tc>
      </w:tr>
      <w:tr>
        <w:trPr>
          <w:cantSplit/>
        </w:trPr>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POST /api/tickets</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L2: 500 / 10</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774.91</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9.19</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31.01</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40.72</w:t>
            </w:r>
          </w:p>
        </w:tc>
        <w:tc>
          <w:tcPr>
            <w:tcW w:type="pct" w:w="10%"/>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0</w:t>
            </w:r>
          </w:p>
        </w:tc>
      </w:tr>
      <w:tr>
        <w:trPr>
          <w:cantSplit/>
        </w:trPr>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POST /api/tickets</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L3: 1000 / 50</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913.64</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28.77</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79.80</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92.05</w:t>
            </w:r>
          </w:p>
        </w:tc>
        <w:tc>
          <w:tcPr>
            <w:tcW w:type="pct" w:w="10%"/>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0</w:t>
            </w:r>
          </w:p>
        </w:tc>
      </w:tr>
      <w:tr>
        <w:trPr>
          <w:cantSplit/>
        </w:trPr>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POST /api/tickets</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L4: 2000 / 100</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865.50</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69.77</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126.55</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143.79</w:t>
            </w:r>
          </w:p>
        </w:tc>
        <w:tc>
          <w:tcPr>
            <w:tcW w:type="pct" w:w="10%"/>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0</w:t>
            </w:r>
          </w:p>
        </w:tc>
      </w:tr>
      <w:tr>
        <w:trPr>
          <w:cantSplit/>
        </w:trPr>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center"/>
            </w:pPr>
            <w:r>
              <w:rPr>
                <w:rFonts w:ascii="Arial" w:cs="Arial" w:hAnsi="Arial"/>
                <w:b w:val="false"/>
                <w:i w:val="false"/>
                <w:iCs w:val="false"/>
                <w:color w:val="000000"/>
                <w:sz w:val="21"/>
                <w:szCs w:val="21"/>
                <w:rtl/>
              </w:rPr>
              <w:t xml:space="preserve">GET /healthz (تحكم)</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L2: 500 / 10</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1898.03</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3.25</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8.10</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29.45</w:t>
            </w:r>
          </w:p>
        </w:tc>
        <w:tc>
          <w:tcPr>
            <w:tcW w:type="pct" w:w="10%"/>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0</w:t>
            </w:r>
          </w:p>
        </w:tc>
      </w:tr>
      <w:tr>
        <w:trPr>
          <w:cantSplit/>
        </w:trPr>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center"/>
            </w:pPr>
            <w:r>
              <w:rPr>
                <w:rFonts w:ascii="Arial" w:cs="Arial" w:hAnsi="Arial"/>
                <w:b w:val="false"/>
                <w:i w:val="false"/>
                <w:iCs w:val="false"/>
                <w:color w:val="000000"/>
                <w:sz w:val="21"/>
                <w:szCs w:val="21"/>
                <w:rtl/>
              </w:rPr>
              <w:t xml:space="preserve">GET /healthz (تحكم)</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L3: 1000 / 50</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2124.22</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5.76</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25.80</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39.76</w:t>
            </w:r>
          </w:p>
        </w:tc>
        <w:tc>
          <w:tcPr>
            <w:tcW w:type="pct" w:w="10%"/>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0</w:t>
            </w:r>
          </w:p>
        </w:tc>
      </w:tr>
    </w:tbl>
    <w:p>
      <w:pPr>
        <w:spacing w:after="130" w:line="240"/>
      </w:pPr>
    </w:p>
    <w:p>
      <w:pPr>
        <w:keepNext/>
        <w:spacing w:after="40" w:before="100"/>
        <w:jc w:val="center"/>
      </w:pPr>
      <w:r>
        <w:drawing>
          <wp:inline distT="0" distB="0" distL="0" distR="0">
            <wp:extent cx="36195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19500" cy="2066925"/>
                    </a:xfrm>
                    <a:prstGeom prst="rect">
                      <a:avLst/>
                    </a:prstGeom>
                  </pic:spPr>
                </pic:pic>
              </a:graphicData>
            </a:graphic>
          </wp:inline>
        </w:drawing>
      </w:r>
    </w:p>
    <w:p>
      <w:pPr>
        <w:bidi/>
        <w:spacing w:after="130" w:line="300"/>
        <w:jc w:val="center"/>
      </w:pPr>
      <w:r>
        <w:rPr>
          <w:rFonts w:ascii="Arial" w:cs="Arial" w:hAnsi="Arial"/>
          <w:b/>
          <w:bCs/>
          <w:i w:val="false"/>
          <w:iCs w:val="false"/>
          <w:color w:val="595959"/>
          <w:sz w:val="21"/>
          <w:szCs w:val="21"/>
          <w:rtl/>
        </w:rPr>
        <w:t xml:space="preserve">شكل 9: الإنتاجية (RPS) لكل نقطة نهاية عبر مستويات الحمل مع خط التحكم لنقطة الجهوزية</w:t>
      </w:r>
    </w:p>
    <w:p>
      <w:pPr>
        <w:keepNext w:val="false"/>
        <w:bidi/>
        <w:spacing w:after="110" w:before="0" w:line="304"/>
        <w:jc w:val="both"/>
      </w:pPr>
      <w:r>
        <w:rPr>
          <w:rFonts w:ascii="Arial" w:cs="Arial" w:hAnsi="Arial"/>
          <w:b w:val="false"/>
          <w:i w:val="false"/>
          <w:iCs w:val="false"/>
          <w:color w:val="000000"/>
          <w:sz w:val="24"/>
          <w:szCs w:val="24"/>
          <w:rtl/>
        </w:rPr>
        <w:t xml:space="preserve">تُظهر المقارنة السلوك الكلاسيكي المتوقع من خدمة محدودة الموارد. ففي الإنتاجية يرتفع RPS ارتفاعًا كبيرًا من L1 إلى L2 (للصفحة الرئيسية من 563.68 إلى 706.99، وللواجهة البرمجية من 639.42 إلى 1003.84) لأن التزامن الأعلى يُشغّل الخيوط المتاحة أكثر، ثم يتشبع تقريبًا عند L3 (908.47 و 939.75) لأن المعالجين يصبحان حدًّا فعليًا، مع تراجع طفيف في كتابة L4 (865.50) بسبب ازدحام قائمة الطلبات الداخلية والتنازع على قفل كتابة SQLite. وفي زمن الاستجابة تتضح المقايضة العكسية: من 1.6 إلى 1.8 ميلي ثانية عند تزامن 1، إلى 69.77 م في الكتابة عند L4، مع بقاء p95 و p99 دون 145 م في أسوأ قياس ودون أي فشل، أي انحدار لطيف (Graceful Degradation): يتباطأ النظام تدريجيًا بدل الانهيار عند تجاوز سعته. وملاحظة مهمة: أداء الكتابة قارب أداء القراءة (913.64 مقابل 939.75 عند L3) رغم أن كل كتابة معاملة كاملة، بفضل وضع WAL وصغر المعاملة، وقد تحقق فعليًا أن 2000 تذكرة متتالية عند L4 حُفظت جميعها.</w:t>
      </w:r>
    </w:p>
    <w:p>
      <w:pPr>
        <w:keepNext w:val="false"/>
        <w:bidi/>
        <w:spacing w:after="110" w:before="0" w:line="304"/>
        <w:jc w:val="both"/>
      </w:pPr>
      <w:r>
        <w:rPr>
          <w:rFonts w:ascii="Arial" w:cs="Arial" w:hAnsi="Arial"/>
          <w:b w:val="false"/>
          <w:i w:val="false"/>
          <w:iCs w:val="false"/>
          <w:color w:val="000000"/>
          <w:sz w:val="24"/>
          <w:szCs w:val="24"/>
          <w:rtl/>
        </w:rPr>
        <w:t xml:space="preserve">ولقياس أثر إضافة طاقة معالجة شُغّل Gunicorn بثلاثة تشكيلات (عامل واحد ثم اثنان ثم أربعة) وقِيس على كل تشكيل حمل قراءة ثابت (1000 طلب بتزامن 50) وحمل كتابة ثابت (500 طلب بتزامن 25). النتائج في الجدول (5) والشكل (10) تحمل درسًا مهمًا: القفزة الكبرى جاءت من مضاعفة العمال من واحد إلى اثنين (+36% في القراءة من 758.98 إلى 1031.64، و +34% في الكتابة من 651.91 إلى 873.92)، ثم كاد التحسن يتوقف عند أربعة عمال (+2.7% فقط) لأن المعالجات المنطقية اثنان؛ أي أن التوسع الرأسي على هذا المضيف بلغ حدّه، وهي قراءة تجريبية مباشرة تدخل تحليل التوسع الأفقي في W6.</w:t>
      </w:r>
    </w:p>
    <w:p>
      <w:pPr>
        <w:keepNext/>
        <w:bidi/>
        <w:spacing w:after="80" w:before="160" w:line="300"/>
        <w:jc w:val="center"/>
      </w:pPr>
      <w:r>
        <w:rPr>
          <w:rFonts w:ascii="Arial" w:cs="Arial" w:hAnsi="Arial"/>
          <w:b/>
          <w:bCs/>
          <w:i w:val="false"/>
          <w:iCs w:val="false"/>
          <w:color w:val="000000"/>
          <w:sz w:val="21"/>
          <w:szCs w:val="21"/>
          <w:rtl/>
        </w:rPr>
        <w:t xml:space="preserve">جدول 5: نتائج توسيع عمال Gunicorn (قراءة: 1000 طلب بتزامن 50، كتابة: 500 طلب بتزامن 25)</w:t>
      </w:r>
    </w:p>
    <w:tbl>
      <w:tblPr>
        <w:bidiVisual/>
        <w:tblW w:type="pct" w:w="1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100"/>
        <w:gridCol w:w="100"/>
        <w:gridCol w:w="100"/>
        <w:gridCol w:w="100"/>
        <w:gridCol w:w="100"/>
      </w:tblGrid>
      <w:tr>
        <w:trPr>
          <w:cantSplit/>
          <w:tblHeader/>
        </w:trPr>
        <w:tc>
          <w:tcPr>
            <w:tcW w:type="pct" w:w="22%"/>
            <w:tcBorders>
              <w:top w:val="none" w:color="FFFFFF" w:sz="0"/>
              <w:left w:val="none" w:color="FFFFFF" w:sz="0"/>
              <w:bottom w:val="single" w:color="000000" w:sz="4"/>
              <w:right w:val="none" w:color="FFFFFF" w:sz="0"/>
            </w:tcBorders>
            <w:shd w:fill="F5F7FA" w:val="clear"/>
            <w:tcMar>
              <w:top w:type="dxa" w:w="40"/>
              <w:left w:type="dxa" w:w="80"/>
              <w:bottom w:type="dxa" w:w="40"/>
              <w:right w:type="dxa" w:w="80"/>
            </w:tcMar>
          </w:tcPr>
          <w:p>
            <w:pPr>
              <w:bidi/>
              <w:spacing w:after="20" w:before="20" w:line="300"/>
              <w:jc w:val="center"/>
            </w:pPr>
            <w:r>
              <w:rPr>
                <w:rFonts w:ascii="Arial" w:cs="Arial" w:hAnsi="Arial"/>
                <w:b/>
                <w:bCs/>
                <w:i w:val="false"/>
                <w:iCs w:val="false"/>
                <w:color w:val="000000"/>
                <w:sz w:val="21"/>
                <w:szCs w:val="21"/>
                <w:rtl/>
              </w:rPr>
              <w:t xml:space="preserve">التشكيل</w:t>
            </w:r>
          </w:p>
        </w:tc>
        <w:tc>
          <w:tcPr>
            <w:tcW w:type="pct" w:w="19%"/>
            <w:tcBorders>
              <w:top w:val="none" w:color="FFFFFF" w:sz="0"/>
              <w:left w:val="none" w:color="FFFFFF" w:sz="0"/>
              <w:bottom w:val="single" w:color="000000" w:sz="4"/>
              <w:right w:val="none" w:color="FFFFFF" w:sz="0"/>
            </w:tcBorders>
            <w:shd w:fill="F5F7FA" w:val="clear"/>
            <w:tcMar>
              <w:top w:type="dxa" w:w="40"/>
              <w:left w:type="dxa" w:w="80"/>
              <w:bottom w:type="dxa" w:w="40"/>
              <w:right w:type="dxa" w:w="80"/>
            </w:tcMar>
          </w:tcPr>
          <w:p>
            <w:pPr>
              <w:bidi/>
              <w:spacing w:after="20" w:before="20" w:line="300"/>
              <w:jc w:val="center"/>
            </w:pPr>
            <w:r>
              <w:rPr>
                <w:rFonts w:ascii="Arial" w:cs="Arial" w:hAnsi="Arial"/>
                <w:b/>
                <w:bCs/>
                <w:i w:val="false"/>
                <w:iCs w:val="false"/>
                <w:color w:val="000000"/>
                <w:sz w:val="21"/>
                <w:szCs w:val="21"/>
                <w:rtl/>
              </w:rPr>
              <w:t xml:space="preserve">قراءة: RPS</w:t>
            </w:r>
          </w:p>
        </w:tc>
        <w:tc>
          <w:tcPr>
            <w:tcW w:type="pct" w:w="19%"/>
            <w:tcBorders>
              <w:top w:val="none" w:color="FFFFFF" w:sz="0"/>
              <w:left w:val="none" w:color="FFFFFF" w:sz="0"/>
              <w:bottom w:val="single" w:color="000000" w:sz="4"/>
              <w:right w:val="none" w:color="FFFFFF" w:sz="0"/>
            </w:tcBorders>
            <w:shd w:fill="F5F7FA" w:val="clear"/>
            <w:tcMar>
              <w:top w:type="dxa" w:w="40"/>
              <w:left w:type="dxa" w:w="80"/>
              <w:bottom w:type="dxa" w:w="40"/>
              <w:right w:type="dxa" w:w="80"/>
            </w:tcMar>
          </w:tcPr>
          <w:p>
            <w:pPr>
              <w:bidi/>
              <w:spacing w:after="20" w:before="20" w:line="300"/>
              <w:jc w:val="center"/>
            </w:pPr>
            <w:r>
              <w:rPr>
                <w:rFonts w:ascii="Arial" w:cs="Arial" w:hAnsi="Arial"/>
                <w:b/>
                <w:bCs/>
                <w:i w:val="false"/>
                <w:iCs w:val="false"/>
                <w:color w:val="000000"/>
                <w:sz w:val="21"/>
                <w:szCs w:val="21"/>
                <w:rtl/>
              </w:rPr>
              <w:t xml:space="preserve">قراءة: المتوسط (ms)</w:t>
            </w:r>
          </w:p>
        </w:tc>
        <w:tc>
          <w:tcPr>
            <w:tcW w:type="pct" w:w="19%"/>
            <w:tcBorders>
              <w:top w:val="none" w:color="FFFFFF" w:sz="0"/>
              <w:left w:val="none" w:color="FFFFFF" w:sz="0"/>
              <w:bottom w:val="single" w:color="000000" w:sz="4"/>
              <w:right w:val="none" w:color="FFFFFF" w:sz="0"/>
            </w:tcBorders>
            <w:shd w:fill="F5F7FA" w:val="clear"/>
            <w:tcMar>
              <w:top w:type="dxa" w:w="40"/>
              <w:left w:type="dxa" w:w="80"/>
              <w:bottom w:type="dxa" w:w="40"/>
              <w:right w:type="dxa" w:w="80"/>
            </w:tcMar>
          </w:tcPr>
          <w:p>
            <w:pPr>
              <w:bidi/>
              <w:spacing w:after="20" w:before="20" w:line="300"/>
              <w:jc w:val="center"/>
            </w:pPr>
            <w:r>
              <w:rPr>
                <w:rFonts w:ascii="Arial" w:cs="Arial" w:hAnsi="Arial"/>
                <w:b/>
                <w:bCs/>
                <w:i w:val="false"/>
                <w:iCs w:val="false"/>
                <w:color w:val="000000"/>
                <w:sz w:val="21"/>
                <w:szCs w:val="21"/>
                <w:rtl/>
              </w:rPr>
              <w:t xml:space="preserve">كتابة: RPS</w:t>
            </w:r>
          </w:p>
        </w:tc>
        <w:tc>
          <w:tcPr>
            <w:tcW w:type="pct" w:w="21%"/>
            <w:tcBorders>
              <w:top w:val="none" w:color="FFFFFF" w:sz="0"/>
              <w:left w:val="none" w:color="FFFFFF" w:sz="0"/>
              <w:bottom w:val="single" w:color="000000" w:sz="4"/>
              <w:right w:val="none" w:color="FFFFFF" w:sz="0"/>
            </w:tcBorders>
            <w:shd w:fill="F5F7FA" w:val="clear"/>
            <w:tcMar>
              <w:top w:type="dxa" w:w="40"/>
              <w:left w:type="dxa" w:w="80"/>
              <w:bottom w:type="dxa" w:w="40"/>
              <w:right w:type="dxa" w:w="80"/>
            </w:tcMar>
          </w:tcPr>
          <w:p>
            <w:pPr>
              <w:bidi/>
              <w:spacing w:after="20" w:before="20" w:line="300"/>
              <w:jc w:val="center"/>
            </w:pPr>
            <w:r>
              <w:rPr>
                <w:rFonts w:ascii="Arial" w:cs="Arial" w:hAnsi="Arial"/>
                <w:b/>
                <w:bCs/>
                <w:i w:val="false"/>
                <w:iCs w:val="false"/>
                <w:color w:val="000000"/>
                <w:sz w:val="21"/>
                <w:szCs w:val="21"/>
                <w:rtl/>
              </w:rPr>
              <w:t xml:space="preserve">كتابة: المتوسط (ms)</w:t>
            </w:r>
          </w:p>
        </w:tc>
      </w:tr>
      <w:tr>
        <w:trPr>
          <w:cantSplit/>
        </w:trPr>
        <w:tc>
          <w:tcPr>
            <w:tcW w:type="pct" w:w="22%"/>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center"/>
            </w:pPr>
            <w:r>
              <w:rPr>
                <w:rFonts w:ascii="Arial" w:cs="Arial" w:hAnsi="Arial"/>
                <w:b w:val="false"/>
                <w:i w:val="false"/>
                <w:iCs w:val="false"/>
                <w:color w:val="000000"/>
                <w:sz w:val="21"/>
                <w:szCs w:val="21"/>
                <w:rtl/>
              </w:rPr>
              <w:t xml:space="preserve">عامل واحد</w:t>
            </w:r>
          </w:p>
        </w:tc>
        <w:tc>
          <w:tcPr>
            <w:tcW w:type="pct" w:w="19%"/>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758.98</w:t>
            </w:r>
          </w:p>
        </w:tc>
        <w:tc>
          <w:tcPr>
            <w:tcW w:type="pct" w:w="19%"/>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62.73</w:t>
            </w:r>
          </w:p>
        </w:tc>
        <w:tc>
          <w:tcPr>
            <w:tcW w:type="pct" w:w="19%"/>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651.91</w:t>
            </w:r>
          </w:p>
        </w:tc>
        <w:tc>
          <w:tcPr>
            <w:tcW w:type="pct" w:w="21%"/>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36.87</w:t>
            </w:r>
          </w:p>
        </w:tc>
      </w:tr>
      <w:tr>
        <w:trPr>
          <w:cantSplit/>
        </w:trPr>
        <w:tc>
          <w:tcPr>
            <w:tcW w:type="pct" w:w="22%"/>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center"/>
            </w:pPr>
            <w:r>
              <w:rPr>
                <w:rFonts w:ascii="Arial" w:cs="Arial" w:hAnsi="Arial"/>
                <w:b w:val="false"/>
                <w:i w:val="false"/>
                <w:iCs w:val="false"/>
                <w:color w:val="000000"/>
                <w:sz w:val="21"/>
                <w:szCs w:val="21"/>
                <w:rtl/>
              </w:rPr>
              <w:t xml:space="preserve">عاملان</w:t>
            </w:r>
          </w:p>
        </w:tc>
        <w:tc>
          <w:tcPr>
            <w:tcW w:type="pct" w:w="19%"/>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1031.64</w:t>
            </w:r>
          </w:p>
        </w:tc>
        <w:tc>
          <w:tcPr>
            <w:tcW w:type="pct" w:w="19%"/>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44.70</w:t>
            </w:r>
          </w:p>
        </w:tc>
        <w:tc>
          <w:tcPr>
            <w:tcW w:type="pct" w:w="19%"/>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873.92</w:t>
            </w:r>
          </w:p>
        </w:tc>
        <w:tc>
          <w:tcPr>
            <w:tcW w:type="pct" w:w="21%"/>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26.58</w:t>
            </w:r>
          </w:p>
        </w:tc>
      </w:tr>
      <w:tr>
        <w:trPr>
          <w:cantSplit/>
        </w:trPr>
        <w:tc>
          <w:tcPr>
            <w:tcW w:type="pct" w:w="22%"/>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center"/>
            </w:pPr>
            <w:r>
              <w:rPr>
                <w:rFonts w:ascii="Arial" w:cs="Arial" w:hAnsi="Arial"/>
                <w:b w:val="false"/>
                <w:i w:val="false"/>
                <w:iCs w:val="false"/>
                <w:color w:val="000000"/>
                <w:sz w:val="21"/>
                <w:szCs w:val="21"/>
                <w:rtl/>
              </w:rPr>
              <w:t xml:space="preserve">أربعة عمال</w:t>
            </w:r>
          </w:p>
        </w:tc>
        <w:tc>
          <w:tcPr>
            <w:tcW w:type="pct" w:w="19%"/>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1059.39</w:t>
            </w:r>
          </w:p>
        </w:tc>
        <w:tc>
          <w:tcPr>
            <w:tcW w:type="pct" w:w="19%"/>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42.18</w:t>
            </w:r>
          </w:p>
        </w:tc>
        <w:tc>
          <w:tcPr>
            <w:tcW w:type="pct" w:w="19%"/>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998.61</w:t>
            </w:r>
          </w:p>
        </w:tc>
        <w:tc>
          <w:tcPr>
            <w:tcW w:type="pct" w:w="21%"/>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23.41</w:t>
            </w:r>
          </w:p>
        </w:tc>
      </w:tr>
    </w:tbl>
    <w:p>
      <w:pPr>
        <w:spacing w:after="130" w:line="240"/>
      </w:pPr>
    </w:p>
    <w:p>
      <w:pPr>
        <w:keepNext/>
        <w:spacing w:after="40" w:before="100"/>
        <w:jc w:val="center"/>
      </w:pPr>
      <w:r>
        <w:drawing>
          <wp:inline distT="0" distB="0" distL="0" distR="0">
            <wp:extent cx="36195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19500" cy="2066925"/>
                    </a:xfrm>
                    <a:prstGeom prst="rect">
                      <a:avLst/>
                    </a:prstGeom>
                  </pic:spPr>
                </pic:pic>
              </a:graphicData>
            </a:graphic>
          </wp:inline>
        </w:drawing>
      </w:r>
    </w:p>
    <w:p>
      <w:pPr>
        <w:bidi/>
        <w:spacing w:after="130" w:line="300"/>
        <w:jc w:val="center"/>
      </w:pPr>
      <w:r>
        <w:rPr>
          <w:rFonts w:ascii="Arial" w:cs="Arial" w:hAnsi="Arial"/>
          <w:b/>
          <w:bCs/>
          <w:i w:val="false"/>
          <w:iCs w:val="false"/>
          <w:color w:val="595959"/>
          <w:sz w:val="21"/>
          <w:szCs w:val="21"/>
          <w:rtl/>
        </w:rPr>
        <w:t xml:space="preserve">شكل 10: أثر إضافة عمال Gunicorn: قفزة كبيرة ثم تشبع عند حدّي المعالجين</w:t>
      </w:r>
    </w:p>
    <w:p>
      <w:pPr>
        <w:pStyle w:val="Heading1"/>
        <w:keepNext/>
        <w:bidi/>
        <w:spacing w:after="150" w:before="300" w:line="400" w:lineRule="atLeast"/>
        <w:jc w:val="center"/>
      </w:pPr>
      <w:bookmarkStart w:id="100010" w:name="_Toc100010"/>
      <w:r>
        <w:rPr>
          <w:rFonts w:ascii="Arial" w:cs="Arial" w:hAnsi="Arial"/>
          <w:b/>
          <w:bCs/>
          <w:i w:val="false"/>
          <w:iCs w:val="false"/>
          <w:color w:val="000000"/>
          <w:sz w:val="32"/>
          <w:szCs w:val="32"/>
          <w:rtl/>
        </w:rPr>
        <w:t xml:space="preserve">11. تحليل قابلية التوسع (W6)</w:t>
      </w:r>
      <w:bookmarkEnd w:id="100010"/>
    </w:p>
    <w:p>
      <w:pPr>
        <w:keepNext w:val="false"/>
        <w:bidi/>
        <w:spacing w:after="110" w:before="0" w:line="304"/>
        <w:jc w:val="both"/>
      </w:pPr>
      <w:r>
        <w:rPr>
          <w:rFonts w:ascii="Arial" w:cs="Arial" w:hAnsi="Arial"/>
          <w:b w:val="false"/>
          <w:i w:val="false"/>
          <w:iCs w:val="false"/>
          <w:color w:val="000000"/>
          <w:sz w:val="24"/>
          <w:szCs w:val="24"/>
          <w:rtl/>
        </w:rPr>
        <w:t xml:space="preserve">يطرح التكليف السيناريو المحوري: ماذا لو ارتفع عدد المستخدمين من عشرات إلى آلاف في الوقت نفسه؟ والإجابة المستندة إلى قياساتنا: عند العشرات يعمل النظام شبه فوري (أقل من 2 ميلي ثانية للتذكرة عند تزامن 1)؛ وعند المئات المتزامنة يقترب من حدّه (تشبع قرب 900 إلى 1000 طلب/ثانية على مضيف 2 vCPU)؛ وعند آلاف المتزامنين تظهر ثلاثة اختناقات متتالية. الأول طبقة التطبيق: عمال Gunicorn على مضيف واحد يبلغون حد المعالجات، وحله التوسع الأفقي باستنساخ الحاوية خلف موزّع حمل، وهو المجهز عمليًا في docker-compose.scale.yml عبر Nginx، والتطبيق عديم الحالة أصلًا فالاستنساخ آمن. والثاني قاعدة البيانات: ملف SQLite الواحد ممتاز لنطاق المشروع لكن قفل الكتابة الواحد سيصبح عنق زجاجة بنيويًا عند آلاف الكتابات المتزامنة (رغم صموده حتى 2000 كتابة متتالية في قياسنا)، والحل الانتقال إلى PostgreSQL أو قاعدة مُدارة سحابيًا أو إدخال Redis كطابور أمام القاعدة. والثالث نمط الاتصال: استطلاع كل 3 ثوانٍ من آلاف المتصفحات يولد حجم طلبات ضخمًا بلا داعٍ، وحله الدفع الفوري عبر WebSocket أو Server-Sent Events أو التخزين المؤقت قصير الأجل لحالة الخدمات.</w:t>
      </w:r>
    </w:p>
    <w:p>
      <w:pPr>
        <w:keepNext/>
        <w:bidi/>
        <w:spacing w:after="80" w:before="160" w:line="300"/>
        <w:jc w:val="center"/>
      </w:pPr>
      <w:r>
        <w:rPr>
          <w:rFonts w:ascii="Arial" w:cs="Arial" w:hAnsi="Arial"/>
          <w:b/>
          <w:bCs/>
          <w:i w:val="false"/>
          <w:iCs w:val="false"/>
          <w:color w:val="000000"/>
          <w:sz w:val="21"/>
          <w:szCs w:val="21"/>
          <w:rtl/>
        </w:rPr>
        <w:t xml:space="preserve">جدول 6: مقارنة استراتيجيات التعامل مع زيادة الحمل إلى آلاف المتزامنين</w:t>
      </w:r>
    </w:p>
    <w:tbl>
      <w:tblPr>
        <w:bidiVisual/>
        <w:tblW w:type="pct" w:w="1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100"/>
        <w:gridCol w:w="100"/>
        <w:gridCol w:w="100"/>
        <w:gridCol w:w="100"/>
      </w:tblGrid>
      <w:tr>
        <w:trPr>
          <w:cantSplit/>
          <w:tblHeader/>
        </w:trPr>
        <w:tc>
          <w:tcPr>
            <w:tcW w:type="pct" w:w="26%"/>
            <w:tcBorders>
              <w:top w:val="none" w:color="FFFFFF" w:sz="0"/>
              <w:left w:val="none" w:color="FFFFFF" w:sz="0"/>
              <w:bottom w:val="single" w:color="000000" w:sz="4"/>
              <w:right w:val="none" w:color="FFFFFF" w:sz="0"/>
            </w:tcBorders>
            <w:shd w:fill="F5F7FA" w:val="clear"/>
            <w:tcMar>
              <w:top w:type="dxa" w:w="40"/>
              <w:left w:type="dxa" w:w="80"/>
              <w:bottom w:type="dxa" w:w="40"/>
              <w:right w:type="dxa" w:w="80"/>
            </w:tcMar>
          </w:tcPr>
          <w:p>
            <w:pPr>
              <w:bidi/>
              <w:spacing w:after="20" w:before="20" w:line="300"/>
              <w:jc w:val="center"/>
            </w:pPr>
            <w:r>
              <w:rPr>
                <w:rFonts w:ascii="Arial" w:cs="Arial" w:hAnsi="Arial"/>
                <w:b/>
                <w:bCs/>
                <w:i w:val="false"/>
                <w:iCs w:val="false"/>
                <w:color w:val="000000"/>
                <w:sz w:val="21"/>
                <w:szCs w:val="21"/>
                <w:rtl/>
              </w:rPr>
              <w:t xml:space="preserve">الاستراتيجية</w:t>
            </w:r>
          </w:p>
        </w:tc>
        <w:tc>
          <w:tcPr>
            <w:tcW w:type="pct" w:w="28%"/>
            <w:tcBorders>
              <w:top w:val="none" w:color="FFFFFF" w:sz="0"/>
              <w:left w:val="none" w:color="FFFFFF" w:sz="0"/>
              <w:bottom w:val="single" w:color="000000" w:sz="4"/>
              <w:right w:val="none" w:color="FFFFFF" w:sz="0"/>
            </w:tcBorders>
            <w:shd w:fill="F5F7FA" w:val="clear"/>
            <w:tcMar>
              <w:top w:type="dxa" w:w="40"/>
              <w:left w:type="dxa" w:w="80"/>
              <w:bottom w:type="dxa" w:w="40"/>
              <w:right w:type="dxa" w:w="80"/>
            </w:tcMar>
          </w:tcPr>
          <w:p>
            <w:pPr>
              <w:bidi/>
              <w:spacing w:after="20" w:before="20" w:line="300"/>
              <w:jc w:val="center"/>
            </w:pPr>
            <w:r>
              <w:rPr>
                <w:rFonts w:ascii="Arial" w:cs="Arial" w:hAnsi="Arial"/>
                <w:b/>
                <w:bCs/>
                <w:i w:val="false"/>
                <w:iCs w:val="false"/>
                <w:color w:val="000000"/>
                <w:sz w:val="21"/>
                <w:szCs w:val="21"/>
                <w:rtl/>
              </w:rPr>
              <w:t xml:space="preserve">ما تحله</w:t>
            </w:r>
          </w:p>
        </w:tc>
        <w:tc>
          <w:tcPr>
            <w:tcW w:type="pct" w:w="14%"/>
            <w:tcBorders>
              <w:top w:val="none" w:color="FFFFFF" w:sz="0"/>
              <w:left w:val="none" w:color="FFFFFF" w:sz="0"/>
              <w:bottom w:val="single" w:color="000000" w:sz="4"/>
              <w:right w:val="none" w:color="FFFFFF" w:sz="0"/>
            </w:tcBorders>
            <w:shd w:fill="F5F7FA" w:val="clear"/>
            <w:tcMar>
              <w:top w:type="dxa" w:w="40"/>
              <w:left w:type="dxa" w:w="80"/>
              <w:bottom w:type="dxa" w:w="40"/>
              <w:right w:type="dxa" w:w="80"/>
            </w:tcMar>
          </w:tcPr>
          <w:p>
            <w:pPr>
              <w:bidi/>
              <w:spacing w:after="20" w:before="20" w:line="300"/>
              <w:jc w:val="center"/>
            </w:pPr>
            <w:r>
              <w:rPr>
                <w:rFonts w:ascii="Arial" w:cs="Arial" w:hAnsi="Arial"/>
                <w:b/>
                <w:bCs/>
                <w:i w:val="false"/>
                <w:iCs w:val="false"/>
                <w:color w:val="000000"/>
                <w:sz w:val="21"/>
                <w:szCs w:val="21"/>
                <w:rtl/>
              </w:rPr>
              <w:t xml:space="preserve">الكلفة</w:t>
            </w:r>
          </w:p>
        </w:tc>
        <w:tc>
          <w:tcPr>
            <w:tcW w:type="pct" w:w="32%"/>
            <w:tcBorders>
              <w:top w:val="none" w:color="FFFFFF" w:sz="0"/>
              <w:left w:val="none" w:color="FFFFFF" w:sz="0"/>
              <w:bottom w:val="single" w:color="000000" w:sz="4"/>
              <w:right w:val="none" w:color="FFFFFF" w:sz="0"/>
            </w:tcBorders>
            <w:shd w:fill="F5F7FA" w:val="clear"/>
            <w:tcMar>
              <w:top w:type="dxa" w:w="40"/>
              <w:left w:type="dxa" w:w="80"/>
              <w:bottom w:type="dxa" w:w="40"/>
              <w:right w:type="dxa" w:w="80"/>
            </w:tcMar>
          </w:tcPr>
          <w:p>
            <w:pPr>
              <w:bidi/>
              <w:spacing w:after="20" w:before="20" w:line="300"/>
              <w:jc w:val="center"/>
            </w:pPr>
            <w:r>
              <w:rPr>
                <w:rFonts w:ascii="Arial" w:cs="Arial" w:hAnsi="Arial"/>
                <w:b/>
                <w:bCs/>
                <w:i w:val="false"/>
                <w:iCs w:val="false"/>
                <w:color w:val="000000"/>
                <w:sz w:val="21"/>
                <w:szCs w:val="21"/>
                <w:rtl/>
              </w:rPr>
              <w:t xml:space="preserve">موضعها في المشروع</w:t>
            </w:r>
          </w:p>
        </w:tc>
      </w:tr>
      <w:tr>
        <w:trPr>
          <w:cantSplit/>
        </w:trPr>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right"/>
            </w:pPr>
            <w:r>
              <w:rPr>
                <w:rFonts w:ascii="Arial" w:cs="Arial" w:hAnsi="Arial"/>
                <w:b w:val="false"/>
                <w:i w:val="false"/>
                <w:iCs w:val="false"/>
                <w:color w:val="000000"/>
                <w:sz w:val="21"/>
                <w:szCs w:val="21"/>
                <w:rtl/>
              </w:rPr>
              <w:t xml:space="preserve">توسع أفقي للحاويات خلف موزّع</w:t>
            </w:r>
          </w:p>
        </w:tc>
        <w:tc>
          <w:tcPr>
            <w:tcW w:type="pct" w:w="28%"/>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right"/>
            </w:pPr>
            <w:r>
              <w:rPr>
                <w:rFonts w:ascii="Arial" w:cs="Arial" w:hAnsi="Arial"/>
                <w:b w:val="false"/>
                <w:i w:val="false"/>
                <w:iCs w:val="false"/>
                <w:color w:val="000000"/>
                <w:sz w:val="21"/>
                <w:szCs w:val="21"/>
                <w:rtl/>
              </w:rPr>
              <w:t xml:space="preserve">تشبع طبقة التطبيق</w:t>
            </w:r>
          </w:p>
        </w:tc>
        <w:tc>
          <w:tcPr>
            <w:tcW w:type="pct" w:w="14%"/>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center"/>
            </w:pPr>
            <w:r>
              <w:rPr>
                <w:rFonts w:ascii="Arial" w:cs="Arial" w:hAnsi="Arial"/>
                <w:b w:val="false"/>
                <w:i w:val="false"/>
                <w:iCs w:val="false"/>
                <w:color w:val="000000"/>
                <w:sz w:val="21"/>
                <w:szCs w:val="21"/>
                <w:rtl/>
              </w:rPr>
              <w:t xml:space="preserve">منخفضة</w:t>
            </w:r>
          </w:p>
        </w:tc>
        <w:tc>
          <w:tcPr>
            <w:tcW w:type="pct" w:w="32%"/>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right"/>
            </w:pPr>
            <w:r>
              <w:rPr>
                <w:rFonts w:ascii="Arial" w:cs="Arial" w:hAnsi="Arial"/>
                <w:b w:val="false"/>
                <w:i w:val="false"/>
                <w:iCs w:val="false"/>
                <w:color w:val="000000"/>
                <w:sz w:val="21"/>
                <w:szCs w:val="21"/>
                <w:rtl/>
              </w:rPr>
              <w:t xml:space="preserve">جاهز تجريبيًا في docker-compose.scale.yml</w:t>
            </w:r>
          </w:p>
        </w:tc>
      </w:tr>
      <w:tr>
        <w:trPr>
          <w:cantSplit/>
        </w:trPr>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right"/>
            </w:pPr>
            <w:r>
              <w:rPr>
                <w:rFonts w:ascii="Arial" w:cs="Arial" w:hAnsi="Arial"/>
                <w:b w:val="false"/>
                <w:i w:val="false"/>
                <w:iCs w:val="false"/>
                <w:color w:val="000000"/>
                <w:sz w:val="21"/>
                <w:szCs w:val="21"/>
                <w:rtl/>
              </w:rPr>
              <w:t xml:space="preserve">توسع رأسي للمضيف</w:t>
            </w:r>
          </w:p>
        </w:tc>
        <w:tc>
          <w:tcPr>
            <w:tcW w:type="pct" w:w="28%"/>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right"/>
            </w:pPr>
            <w:r>
              <w:rPr>
                <w:rFonts w:ascii="Arial" w:cs="Arial" w:hAnsi="Arial"/>
                <w:b w:val="false"/>
                <w:i w:val="false"/>
                <w:iCs w:val="false"/>
                <w:color w:val="000000"/>
                <w:sz w:val="21"/>
                <w:szCs w:val="21"/>
                <w:rtl/>
              </w:rPr>
              <w:t xml:space="preserve">حدّ المعالجات مؤقتًا</w:t>
            </w:r>
          </w:p>
        </w:tc>
        <w:tc>
          <w:tcPr>
            <w:tcW w:type="pct" w:w="14%"/>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center"/>
            </w:pPr>
            <w:r>
              <w:rPr>
                <w:rFonts w:ascii="Arial" w:cs="Arial" w:hAnsi="Arial"/>
                <w:b w:val="false"/>
                <w:i w:val="false"/>
                <w:iCs w:val="false"/>
                <w:color w:val="000000"/>
                <w:sz w:val="21"/>
                <w:szCs w:val="21"/>
                <w:rtl/>
              </w:rPr>
              <w:t xml:space="preserve">منخفضة</w:t>
            </w:r>
          </w:p>
        </w:tc>
        <w:tc>
          <w:tcPr>
            <w:tcW w:type="pct" w:w="32%"/>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right"/>
            </w:pPr>
            <w:r>
              <w:rPr>
                <w:rFonts w:ascii="Arial" w:cs="Arial" w:hAnsi="Arial"/>
                <w:b w:val="false"/>
                <w:i w:val="false"/>
                <w:iCs w:val="false"/>
                <w:color w:val="000000"/>
                <w:sz w:val="21"/>
                <w:szCs w:val="21"/>
                <w:rtl/>
              </w:rPr>
              <w:t xml:space="preserve">مقيس فعليًا في الجدول (5)</w:t>
            </w:r>
          </w:p>
        </w:tc>
      </w:tr>
      <w:tr>
        <w:trPr>
          <w:cantSplit/>
        </w:trPr>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right"/>
            </w:pPr>
            <w:r>
              <w:rPr>
                <w:rFonts w:ascii="Arial" w:cs="Arial" w:hAnsi="Arial"/>
                <w:b w:val="false"/>
                <w:i w:val="false"/>
                <w:iCs w:val="false"/>
                <w:color w:val="000000"/>
                <w:sz w:val="21"/>
                <w:szCs w:val="21"/>
                <w:rtl/>
              </w:rPr>
              <w:t xml:space="preserve">قاعدة بيانات مُدارة/موزعة</w:t>
            </w:r>
          </w:p>
        </w:tc>
        <w:tc>
          <w:tcPr>
            <w:tcW w:type="pct" w:w="28%"/>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right"/>
            </w:pPr>
            <w:r>
              <w:rPr>
                <w:rFonts w:ascii="Arial" w:cs="Arial" w:hAnsi="Arial"/>
                <w:b w:val="false"/>
                <w:i w:val="false"/>
                <w:iCs w:val="false"/>
                <w:color w:val="000000"/>
                <w:sz w:val="21"/>
                <w:szCs w:val="21"/>
                <w:rtl/>
              </w:rPr>
              <w:t xml:space="preserve">قفل كتابة SQLite عند الذروات</w:t>
            </w:r>
          </w:p>
        </w:tc>
        <w:tc>
          <w:tcPr>
            <w:tcW w:type="pct" w:w="14%"/>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center"/>
            </w:pPr>
            <w:r>
              <w:rPr>
                <w:rFonts w:ascii="Arial" w:cs="Arial" w:hAnsi="Arial"/>
                <w:b w:val="false"/>
                <w:i w:val="false"/>
                <w:iCs w:val="false"/>
                <w:color w:val="000000"/>
                <w:sz w:val="21"/>
                <w:szCs w:val="21"/>
                <w:rtl/>
              </w:rPr>
              <w:t xml:space="preserve">متوسطة</w:t>
            </w:r>
          </w:p>
        </w:tc>
        <w:tc>
          <w:tcPr>
            <w:tcW w:type="pct" w:w="32%"/>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right"/>
            </w:pPr>
            <w:r>
              <w:rPr>
                <w:rFonts w:ascii="Arial" w:cs="Arial" w:hAnsi="Arial"/>
                <w:b w:val="false"/>
                <w:i w:val="false"/>
                <w:iCs w:val="false"/>
                <w:color w:val="000000"/>
                <w:sz w:val="21"/>
                <w:szCs w:val="21"/>
                <w:rtl/>
              </w:rPr>
              <w:t xml:space="preserve">خطة W6 المعلنة</w:t>
            </w:r>
          </w:p>
        </w:tc>
      </w:tr>
      <w:tr>
        <w:trPr>
          <w:cantSplit/>
        </w:trPr>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right"/>
            </w:pPr>
            <w:r>
              <w:rPr>
                <w:rFonts w:ascii="Arial" w:cs="Arial" w:hAnsi="Arial"/>
                <w:b w:val="false"/>
                <w:i w:val="false"/>
                <w:iCs w:val="false"/>
                <w:color w:val="000000"/>
                <w:sz w:val="21"/>
                <w:szCs w:val="21"/>
                <w:rtl/>
              </w:rPr>
              <w:t xml:space="preserve">Redis + دفع فوري (WebSocket)</w:t>
            </w:r>
          </w:p>
        </w:tc>
        <w:tc>
          <w:tcPr>
            <w:tcW w:type="pct" w:w="28%"/>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right"/>
            </w:pPr>
            <w:r>
              <w:rPr>
                <w:rFonts w:ascii="Arial" w:cs="Arial" w:hAnsi="Arial"/>
                <w:b w:val="false"/>
                <w:i w:val="false"/>
                <w:iCs w:val="false"/>
                <w:color w:val="000000"/>
                <w:sz w:val="21"/>
                <w:szCs w:val="21"/>
                <w:rtl/>
              </w:rPr>
              <w:t xml:space="preserve">ذروات الكتابة وحجم الاستطلاع</w:t>
            </w:r>
          </w:p>
        </w:tc>
        <w:tc>
          <w:tcPr>
            <w:tcW w:type="pct" w:w="14%"/>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center"/>
            </w:pPr>
            <w:r>
              <w:rPr>
                <w:rFonts w:ascii="Arial" w:cs="Arial" w:hAnsi="Arial"/>
                <w:b w:val="false"/>
                <w:i w:val="false"/>
                <w:iCs w:val="false"/>
                <w:color w:val="000000"/>
                <w:sz w:val="21"/>
                <w:szCs w:val="21"/>
                <w:rtl/>
              </w:rPr>
              <w:t xml:space="preserve">متوسطة</w:t>
            </w:r>
          </w:p>
        </w:tc>
        <w:tc>
          <w:tcPr>
            <w:tcW w:type="pct" w:w="32%"/>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right"/>
            </w:pPr>
            <w:r>
              <w:rPr>
                <w:rFonts w:ascii="Arial" w:cs="Arial" w:hAnsi="Arial"/>
                <w:b w:val="false"/>
                <w:i w:val="false"/>
                <w:iCs w:val="false"/>
                <w:color w:val="000000"/>
                <w:sz w:val="21"/>
                <w:szCs w:val="21"/>
                <w:rtl/>
              </w:rPr>
              <w:t xml:space="preserve">توصية مستقبلية موثقة</w:t>
            </w:r>
          </w:p>
        </w:tc>
      </w:tr>
    </w:tbl>
    <w:p>
      <w:pPr>
        <w:spacing w:after="130" w:line="240"/>
      </w:pPr>
    </w:p>
    <w:p>
      <w:pPr>
        <w:keepNext w:val="false"/>
        <w:bidi/>
        <w:spacing w:after="110" w:before="0" w:line="304"/>
        <w:jc w:val="both"/>
      </w:pPr>
      <w:r>
        <w:rPr>
          <w:rFonts w:ascii="Arial" w:cs="Arial" w:hAnsi="Arial"/>
          <w:b w:val="false"/>
          <w:i w:val="false"/>
          <w:iCs w:val="false"/>
          <w:color w:val="000000"/>
          <w:sz w:val="24"/>
          <w:szCs w:val="24"/>
          <w:rtl/>
        </w:rPr>
        <w:t xml:space="preserve">ويجمع هذه الاستراتيجيات مبدأ واحد تُلخصه المقارنة في الجدول (6): حمل آلاف المستخدمين لا يُعالج بخادم أضخم بل ببنية تضيف سعة عند الحاجة وتتخلص منها بعدها، مع فصل طبقة الحساب القابلة للتوسع الأفقي عن طبقة الحالة التي تتوسع بمنطقها الخاص. وبُني CrowdCloud منذ البداية على هذا الفصل، فالانتقال من النموذج الحالي (حاوية واحدة وقاعدة ملف واحد) إلى النموذج الموزع الكامل مسار ترقية تدريجي لا إعادة بناء.</w:t>
      </w:r>
    </w:p>
    <w:p>
      <w:pPr>
        <w:pStyle w:val="Heading1"/>
        <w:keepNext/>
        <w:bidi/>
        <w:spacing w:after="150" w:before="300" w:line="400" w:lineRule="atLeast"/>
        <w:jc w:val="center"/>
      </w:pPr>
      <w:bookmarkStart w:id="100011" w:name="_Toc100011"/>
      <w:r>
        <w:rPr>
          <w:rFonts w:ascii="Arial" w:cs="Arial" w:hAnsi="Arial"/>
          <w:b/>
          <w:bCs/>
          <w:i w:val="false"/>
          <w:iCs w:val="false"/>
          <w:color w:val="000000"/>
          <w:sz w:val="32"/>
          <w:szCs w:val="32"/>
          <w:rtl/>
        </w:rPr>
        <w:t xml:space="preserve">12. التحديات والتحسينات المستقبلية</w:t>
      </w:r>
      <w:bookmarkEnd w:id="100011"/>
    </w:p>
    <w:p>
      <w:pPr>
        <w:keepNext w:val="false"/>
        <w:bidi/>
        <w:spacing w:after="110" w:before="0" w:line="304"/>
        <w:jc w:val="both"/>
      </w:pPr>
      <w:r>
        <w:rPr>
          <w:rFonts w:ascii="Arial" w:cs="Arial" w:hAnsi="Arial"/>
          <w:b w:val="false"/>
          <w:i w:val="false"/>
          <w:iCs w:val="false"/>
          <w:color w:val="000000"/>
          <w:sz w:val="24"/>
          <w:szCs w:val="24"/>
          <w:rtl/>
        </w:rPr>
        <w:t xml:space="preserve">واجه العمل تحديات فعلية جرى حلّها بشفافية أكاديمية، وأهمها موثق في الجدول (7) لتُعرف حدود النتائج بدقة. أما التحسينات المستقبلية فأهمها: المصادقة والتفويز بأدوار مميزة للموظفين بدل اللوحة المفتوحة بوصفها نموذجًا تعليميًا؛ والانتقال التدريجي إلى PostgreSQL المُدارة مع Redis عند تجاوز نطاق المئات المتزامنة؛ والإشعارات الفورية بدل الاكتفاء بالاستطلاع الدوري مع تنبيه المستخدم قبل دوره؛ وحذف أو حماية نقطة تصفير العرض /api/demo/reset قبل أي نشر حقيقي؛ وجولات قياس إضافية بأداة ab على أجهزة متعددة مع فصل جهاز الحمل عن الخادم لرفع دقة الأرقام المطلقة.</w:t>
      </w:r>
    </w:p>
    <w:p>
      <w:pPr>
        <w:keepNext/>
        <w:bidi/>
        <w:spacing w:after="80" w:before="160" w:line="300"/>
        <w:jc w:val="center"/>
      </w:pPr>
      <w:r>
        <w:rPr>
          <w:rFonts w:ascii="Arial" w:cs="Arial" w:hAnsi="Arial"/>
          <w:b/>
          <w:bCs/>
          <w:i w:val="false"/>
          <w:iCs w:val="false"/>
          <w:color w:val="000000"/>
          <w:sz w:val="21"/>
          <w:szCs w:val="21"/>
          <w:rtl/>
        </w:rPr>
        <w:t xml:space="preserve">جدول 7: التحديات الفعلية والحلول المعتمدة</w:t>
      </w:r>
    </w:p>
    <w:tbl>
      <w:tblPr>
        <w:bidiVisual/>
        <w:tblW w:type="pct" w:w="1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100"/>
        <w:gridCol w:w="100"/>
      </w:tblGrid>
      <w:tr>
        <w:trPr>
          <w:cantSplit/>
          <w:tblHeader/>
        </w:trPr>
        <w:tc>
          <w:tcPr>
            <w:tcW w:type="pct" w:w="36%"/>
            <w:tcBorders>
              <w:top w:val="none" w:color="FFFFFF" w:sz="0"/>
              <w:left w:val="none" w:color="FFFFFF" w:sz="0"/>
              <w:bottom w:val="single" w:color="000000" w:sz="4"/>
              <w:right w:val="none" w:color="FFFFFF" w:sz="0"/>
            </w:tcBorders>
            <w:shd w:fill="F5F7FA" w:val="clear"/>
            <w:tcMar>
              <w:top w:type="dxa" w:w="40"/>
              <w:left w:type="dxa" w:w="80"/>
              <w:bottom w:type="dxa" w:w="40"/>
              <w:right w:type="dxa" w:w="80"/>
            </w:tcMar>
          </w:tcPr>
          <w:p>
            <w:pPr>
              <w:bidi/>
              <w:spacing w:after="20" w:before="20" w:line="300"/>
              <w:jc w:val="center"/>
            </w:pPr>
            <w:r>
              <w:rPr>
                <w:rFonts w:ascii="Arial" w:cs="Arial" w:hAnsi="Arial"/>
                <w:b/>
                <w:bCs/>
                <w:i w:val="false"/>
                <w:iCs w:val="false"/>
                <w:color w:val="000000"/>
                <w:sz w:val="21"/>
                <w:szCs w:val="21"/>
                <w:rtl/>
              </w:rPr>
              <w:t xml:space="preserve">التحدي</w:t>
            </w:r>
          </w:p>
        </w:tc>
        <w:tc>
          <w:tcPr>
            <w:tcW w:type="pct" w:w="64%"/>
            <w:tcBorders>
              <w:top w:val="none" w:color="FFFFFF" w:sz="0"/>
              <w:left w:val="none" w:color="FFFFFF" w:sz="0"/>
              <w:bottom w:val="single" w:color="000000" w:sz="4"/>
              <w:right w:val="none" w:color="FFFFFF" w:sz="0"/>
            </w:tcBorders>
            <w:shd w:fill="F5F7FA" w:val="clear"/>
            <w:tcMar>
              <w:top w:type="dxa" w:w="40"/>
              <w:left w:type="dxa" w:w="80"/>
              <w:bottom w:type="dxa" w:w="40"/>
              <w:right w:type="dxa" w:w="80"/>
            </w:tcMar>
          </w:tcPr>
          <w:p>
            <w:pPr>
              <w:bidi/>
              <w:spacing w:after="20" w:before="20" w:line="300"/>
              <w:jc w:val="center"/>
            </w:pPr>
            <w:r>
              <w:rPr>
                <w:rFonts w:ascii="Arial" w:cs="Arial" w:hAnsi="Arial"/>
                <w:b/>
                <w:bCs/>
                <w:i w:val="false"/>
                <w:iCs w:val="false"/>
                <w:color w:val="000000"/>
                <w:sz w:val="21"/>
                <w:szCs w:val="21"/>
                <w:rtl/>
              </w:rPr>
              <w:t xml:space="preserve">الحل المعتمد</w:t>
            </w:r>
          </w:p>
        </w:tc>
      </w:tr>
      <w:tr>
        <w:trPr>
          <w:cantSplit/>
        </w:trPr>
        <w:tc>
          <w:tcPr>
            <w:tcW w:type="pct" w:w="36%"/>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right"/>
            </w:pPr>
            <w:r>
              <w:rPr>
                <w:rFonts w:ascii="Arial" w:cs="Arial" w:hAnsi="Arial"/>
                <w:b w:val="false"/>
                <w:i w:val="false"/>
                <w:iCs w:val="false"/>
                <w:color w:val="000000"/>
                <w:sz w:val="21"/>
                <w:szCs w:val="21"/>
                <w:rtl/>
              </w:rPr>
              <w:t xml:space="preserve">غياب ApacheBench في بيئة الإعداد وعدم إمكانية تركيبه</w:t>
            </w:r>
          </w:p>
        </w:tc>
        <w:tc>
          <w:tcPr>
            <w:tcW w:type="pct" w:w="64%"/>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right"/>
            </w:pPr>
            <w:r>
              <w:rPr>
                <w:rFonts w:ascii="Arial" w:cs="Arial" w:hAnsi="Arial"/>
                <w:b w:val="false"/>
                <w:i w:val="false"/>
                <w:iCs w:val="false"/>
                <w:color w:val="000000"/>
                <w:sz w:val="21"/>
                <w:szCs w:val="21"/>
                <w:rtl/>
              </w:rPr>
              <w:t xml:space="preserve">بناء أداة مكافئة بمعايير ab نفسها مع قياس تحكم (/healthz) يثبت أن الأداة ليست عنق الزجاجة، وإرفاق أوامر ab المكافئة</w:t>
            </w:r>
          </w:p>
        </w:tc>
      </w:tr>
      <w:tr>
        <w:trPr>
          <w:cantSplit/>
        </w:trPr>
        <w:tc>
          <w:tcPr>
            <w:tcW w:type="pct" w:w="36%"/>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right"/>
            </w:pPr>
            <w:r>
              <w:rPr>
                <w:rFonts w:ascii="Arial" w:cs="Arial" w:hAnsi="Arial"/>
                <w:b w:val="false"/>
                <w:i w:val="false"/>
                <w:iCs w:val="false"/>
                <w:color w:val="000000"/>
                <w:sz w:val="21"/>
                <w:szCs w:val="21"/>
                <w:rtl/>
              </w:rPr>
              <w:t xml:space="preserve">غياب Docker في بيئة الإعداد</w:t>
            </w:r>
          </w:p>
        </w:tc>
        <w:tc>
          <w:tcPr>
            <w:tcW w:type="pct" w:w="64%"/>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right"/>
            </w:pPr>
            <w:r>
              <w:rPr>
                <w:rFonts w:ascii="Arial" w:cs="Arial" w:hAnsi="Arial"/>
                <w:b w:val="false"/>
                <w:i w:val="false"/>
                <w:iCs w:val="false"/>
                <w:color w:val="000000"/>
                <w:sz w:val="21"/>
                <w:szCs w:val="21"/>
                <w:rtl/>
              </w:rPr>
              <w:t xml:space="preserve">اختبار فعلي على Gunicorn بالإعدادات نفسها في Dockerfile، وتسليم ملفات الحاويات جاهزة مع تعليمات وافرة وتصريح صريح بالقيد</w:t>
            </w:r>
          </w:p>
        </w:tc>
      </w:tr>
      <w:tr>
        <w:trPr>
          <w:cantSplit/>
        </w:trPr>
        <w:tc>
          <w:tcPr>
            <w:tcW w:type="pct" w:w="36%"/>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right"/>
            </w:pPr>
            <w:r>
              <w:rPr>
                <w:rFonts w:ascii="Arial" w:cs="Arial" w:hAnsi="Arial"/>
                <w:b w:val="false"/>
                <w:i w:val="false"/>
                <w:iCs w:val="false"/>
                <w:color w:val="000000"/>
                <w:sz w:val="21"/>
                <w:szCs w:val="21"/>
                <w:rtl/>
              </w:rPr>
              <w:t xml:space="preserve">صحة الطابور عند تزامن عالٍ (مناداة التذكرة مرتين)</w:t>
            </w:r>
          </w:p>
        </w:tc>
        <w:tc>
          <w:tcPr>
            <w:tcW w:type="pct" w:w="64%"/>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right"/>
            </w:pPr>
            <w:r>
              <w:rPr>
                <w:rFonts w:ascii="Arial" w:cs="Arial" w:hAnsi="Arial"/>
                <w:b w:val="false"/>
                <w:i w:val="false"/>
                <w:iCs w:val="false"/>
                <w:color w:val="000000"/>
                <w:sz w:val="21"/>
                <w:szCs w:val="21"/>
                <w:rtl/>
              </w:rPr>
              <w:t xml:space="preserve">ادّعاء ذري بعبارة UPDATE مشروطة بالحالة، مغطى باختبار pytest مخصص</w:t>
            </w:r>
          </w:p>
        </w:tc>
      </w:tr>
      <w:tr>
        <w:trPr>
          <w:cantSplit/>
        </w:trPr>
        <w:tc>
          <w:tcPr>
            <w:tcW w:type="pct" w:w="36%"/>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right"/>
            </w:pPr>
            <w:r>
              <w:rPr>
                <w:rFonts w:ascii="Arial" w:cs="Arial" w:hAnsi="Arial"/>
                <w:b w:val="false"/>
                <w:i w:val="false"/>
                <w:iCs w:val="false"/>
                <w:color w:val="000000"/>
                <w:sz w:val="21"/>
                <w:szCs w:val="21"/>
                <w:rtl/>
              </w:rPr>
              <w:t xml:space="preserve">إبطاء كتابة SQLite مع التزامن</w:t>
            </w:r>
          </w:p>
        </w:tc>
        <w:tc>
          <w:tcPr>
            <w:tcW w:type="pct" w:w="64%"/>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right"/>
            </w:pPr>
            <w:r>
              <w:rPr>
                <w:rFonts w:ascii="Arial" w:cs="Arial" w:hAnsi="Arial"/>
                <w:b w:val="false"/>
                <w:i w:val="false"/>
                <w:iCs w:val="false"/>
                <w:color w:val="000000"/>
                <w:sz w:val="21"/>
                <w:szCs w:val="21"/>
                <w:rtl/>
              </w:rPr>
              <w:t xml:space="preserve">تمكين WAL وضبط busy_timeout ومعاملات قصيرة (عدّاد + إدراج فقط)</w:t>
            </w:r>
          </w:p>
        </w:tc>
      </w:tr>
    </w:tbl>
    <w:p>
      <w:pPr>
        <w:spacing w:after="130" w:line="240"/>
      </w:pPr>
    </w:p>
    <w:p>
      <w:pPr>
        <w:pStyle w:val="Heading1"/>
        <w:keepNext/>
        <w:bidi/>
        <w:spacing w:after="150" w:before="300" w:line="400" w:lineRule="atLeast"/>
        <w:jc w:val="center"/>
      </w:pPr>
      <w:bookmarkStart w:id="100012" w:name="_Toc100012"/>
      <w:r>
        <w:rPr>
          <w:rFonts w:ascii="Arial" w:cs="Arial" w:hAnsi="Arial"/>
          <w:b/>
          <w:bCs/>
          <w:i w:val="false"/>
          <w:iCs w:val="false"/>
          <w:color w:val="000000"/>
          <w:sz w:val="32"/>
          <w:szCs w:val="32"/>
          <w:rtl/>
        </w:rPr>
        <w:t xml:space="preserve">13. الخاتمة</w:t>
      </w:r>
      <w:bookmarkEnd w:id="100012"/>
    </w:p>
    <w:p>
      <w:pPr>
        <w:keepNext w:val="false"/>
        <w:bidi/>
        <w:spacing w:after="110" w:before="0" w:line="304"/>
        <w:jc w:val="both"/>
      </w:pPr>
      <w:r>
        <w:rPr>
          <w:rFonts w:ascii="Arial" w:cs="Arial" w:hAnsi="Arial"/>
          <w:b w:val="false"/>
          <w:i w:val="false"/>
          <w:iCs w:val="false"/>
          <w:color w:val="000000"/>
          <w:sz w:val="24"/>
          <w:szCs w:val="24"/>
          <w:rtl/>
        </w:rPr>
        <w:t xml:space="preserve">قدّم CrowdCloud نموذج عمل كاملًا يجيب متطلبات التكليف عمليًا: منصة سحابية لإدارة الطوابير تصدر تذاكر مرقمة وتحفظها في قاعدة بيانات حقيقية، وتعرض الطابور ومستوى الضغط NORMAL أو BUSY أو HIGH LOAD بشكل حي للطرفين، وتُدار من لوحة موظف فعلية، ونُفّذ بالتقنيات المطلوبة (Python و Flask و SQLite و Docker و diagrams.net و curl مع أداة مكافئة لـ ApacheBench مع تصريح بالسبب). وخضع المشروع لاختبارات موثقة: 29 اختبارًا آليًا ناجحًا، وسيناريو عرض حي ناجح بمراحله، و18 قياس أداء حقيقيًا بنجاح 13,100 طلب دون فشل واحد، أظهرت سلوك تشبع واضحًا وأثرًا مقيسًا لتوسيع العمال يشبع عند حدود المعالجات. وعلى المستوى المفاهيمي غطّى التقرير محاور المقرر كاملة مرتبطة بأجزاء ملموسة من التنفيذ: تبرير السحابة بمرونتها (W1)، واختيار نماذج الخدمة والنشر مع مبرراتها (W2)، ومعمارية مطابقة للتنفيذ بتدفق بيانات مرقّم (W3)، ودور الحاويات والعزل مع تصريح صادق بحدود البيئة (W4)، وقياس أداء فعلي متعدد المستويات (W5)، وتحليل توسع مبني على قياسات لا افتراضات (W6). والباقي واضح المسار: قاعدة بيانات موزعة ودفع فوري وتوسع تلقائي، وهي خطوات ترقية طبيعية على البنية القائمة بفضل فصل الحالة عن الحساب منذ أول سطر في التصميم.</w:t>
      </w:r>
    </w:p>
    <w:p>
      <w:pPr>
        <w:pStyle w:val="Heading1"/>
        <w:keepNext/>
        <w:bidi/>
        <w:spacing w:after="150" w:before="300" w:line="400" w:lineRule="atLeast"/>
        <w:jc w:val="center"/>
      </w:pPr>
      <w:bookmarkStart w:id="100013" w:name="_Toc100013"/>
      <w:r>
        <w:rPr>
          <w:rFonts w:ascii="Arial" w:cs="Arial" w:hAnsi="Arial"/>
          <w:b/>
          <w:bCs/>
          <w:i w:val="false"/>
          <w:iCs w:val="false"/>
          <w:color w:val="000000"/>
          <w:sz w:val="32"/>
          <w:szCs w:val="32"/>
          <w:rtl/>
        </w:rPr>
        <w:t xml:space="preserve">المراجع</w:t>
      </w:r>
      <w:bookmarkEnd w:id="100013"/>
    </w:p>
    <w:p>
      <w:pPr>
        <w:keepNext w:val="false"/>
        <w:bidi/>
        <w:spacing w:after="160" w:before="0" w:line="304"/>
        <w:jc w:val="both"/>
      </w:pPr>
      <w:r>
        <w:rPr>
          <w:rFonts w:ascii="Arial" w:cs="Arial" w:hAnsi="Arial"/>
          <w:b w:val="false"/>
          <w:i w:val="false"/>
          <w:iCs w:val="false"/>
          <w:color w:val="000000"/>
          <w:sz w:val="24"/>
          <w:szCs w:val="24"/>
          <w:rtl/>
        </w:rPr>
        <w:t xml:space="preserve">اقتصرت المراجع على مصادر حقيقية قابلة للتحقق من الوثائق الرسمية للتقنيات المستخدمة والمرجع التعريفي المعتمد للحوسبة السحابية:</w:t>
      </w:r>
    </w:p>
    <w:tbl>
      <w:tblPr>
        <w:bidiVisual/>
        <w:tblW w:type="pct" w:w="1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100"/>
        <w:gridCol w:w="100"/>
      </w:tblGrid>
      <w:tr>
        <w:trPr>
          <w:cantSplit/>
          <w:tblHeader/>
        </w:trPr>
        <w:tc>
          <w:tcPr>
            <w:tcW w:type="pct" w:w="8%"/>
            <w:tcBorders>
              <w:top w:val="none" w:color="FFFFFF" w:sz="0"/>
              <w:left w:val="none" w:color="FFFFFF" w:sz="0"/>
              <w:bottom w:val="single" w:color="000000" w:sz="4"/>
              <w:right w:val="none" w:color="FFFFFF" w:sz="0"/>
            </w:tcBorders>
            <w:shd w:fill="F5F7FA" w:val="clear"/>
            <w:tcMar>
              <w:top w:type="dxa" w:w="40"/>
              <w:left w:type="dxa" w:w="80"/>
              <w:bottom w:type="dxa" w:w="40"/>
              <w:right w:type="dxa" w:w="80"/>
            </w:tcMar>
          </w:tcPr>
          <w:p>
            <w:pPr>
              <w:bidi/>
              <w:spacing w:after="20" w:before="20" w:line="300"/>
              <w:jc w:val="center"/>
            </w:pPr>
            <w:r>
              <w:rPr>
                <w:rFonts w:ascii="Arial" w:cs="Arial" w:hAnsi="Arial"/>
                <w:b/>
                <w:bCs/>
                <w:i w:val="false"/>
                <w:iCs w:val="false"/>
                <w:color w:val="000000"/>
                <w:sz w:val="21"/>
                <w:szCs w:val="21"/>
                <w:rtl/>
              </w:rPr>
              <w:t xml:space="preserve">المصدر</w:t>
            </w:r>
          </w:p>
        </w:tc>
        <w:tc>
          <w:tcPr>
            <w:tcW w:type="pct" w:w="92%"/>
            <w:tcBorders>
              <w:top w:val="none" w:color="FFFFFF" w:sz="0"/>
              <w:left w:val="none" w:color="FFFFFF" w:sz="0"/>
              <w:bottom w:val="single" w:color="000000" w:sz="4"/>
              <w:right w:val="none" w:color="FFFFFF" w:sz="0"/>
            </w:tcBorders>
            <w:shd w:fill="F5F7FA" w:val="clear"/>
            <w:tcMar>
              <w:top w:type="dxa" w:w="40"/>
              <w:left w:type="dxa" w:w="80"/>
              <w:bottom w:type="dxa" w:w="40"/>
              <w:right w:type="dxa" w:w="80"/>
            </w:tcMar>
          </w:tcPr>
          <w:p>
            <w:pPr>
              <w:bidi/>
              <w:spacing w:after="20" w:before="20" w:line="300"/>
              <w:jc w:val="left"/>
            </w:pPr>
            <w:r>
              <w:rPr>
                <w:rFonts w:ascii="Arial" w:cs="Arial" w:hAnsi="Arial"/>
                <w:b/>
                <w:bCs/>
                <w:i w:val="false"/>
                <w:iCs w:val="false"/>
                <w:color w:val="000000"/>
                <w:sz w:val="21"/>
                <w:szCs w:val="21"/>
                <w:rtl/>
              </w:rPr>
              <w:t xml:space="preserve">المرجع</w:t>
            </w:r>
          </w:p>
        </w:tc>
      </w:tr>
      <w:tr>
        <w:trPr>
          <w:cantSplit/>
        </w:trPr>
        <w:tc>
          <w:tcPr>
            <w:tcW w:type="pct" w:w="8%"/>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[1]</w:t>
            </w:r>
          </w:p>
        </w:tc>
        <w:tc>
          <w:tcPr>
            <w:tcW w:type="pct" w:w="92%"/>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left"/>
            </w:pPr>
            <w:r>
              <w:rPr>
                <w:rFonts w:ascii="Arial" w:cs="Arial" w:hAnsi="Arial"/>
                <w:b w:val="false"/>
                <w:i w:val="false"/>
                <w:iCs w:val="false"/>
                <w:color w:val="000000"/>
                <w:sz w:val="21"/>
                <w:szCs w:val="21"/>
                <w:rtl w:val="false"/>
              </w:rPr>
              <w:t xml:space="preserve">P. Mell and T. Grance, The NIST Definition of Cloud Computing, NIST Special Publication 800-145, National Institute of Standards and Technology, 2011. https://doi.org/10.6028/NIST.SP.800-145</w:t>
            </w:r>
          </w:p>
        </w:tc>
      </w:tr>
      <w:tr>
        <w:trPr>
          <w:cantSplit/>
        </w:trPr>
        <w:tc>
          <w:tcPr>
            <w:tcW w:type="pct" w:w="8%"/>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[2]</w:t>
            </w:r>
          </w:p>
        </w:tc>
        <w:tc>
          <w:tcPr>
            <w:tcW w:type="pct" w:w="92%"/>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left"/>
            </w:pPr>
            <w:r>
              <w:rPr>
                <w:rFonts w:ascii="Arial" w:cs="Arial" w:hAnsi="Arial"/>
                <w:b w:val="false"/>
                <w:i w:val="false"/>
                <w:iCs w:val="false"/>
                <w:color w:val="000000"/>
                <w:sz w:val="21"/>
                <w:szCs w:val="21"/>
                <w:rtl w:val="false"/>
              </w:rPr>
              <w:t xml:space="preserve">Flask Documentation — The Pallets Projects. https://flask.palletsprojects.com/</w:t>
            </w:r>
          </w:p>
        </w:tc>
      </w:tr>
      <w:tr>
        <w:trPr>
          <w:cantSplit/>
        </w:trPr>
        <w:tc>
          <w:tcPr>
            <w:tcW w:type="pct" w:w="8%"/>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[3]</w:t>
            </w:r>
          </w:p>
        </w:tc>
        <w:tc>
          <w:tcPr>
            <w:tcW w:type="pct" w:w="92%"/>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left"/>
            </w:pPr>
            <w:r>
              <w:rPr>
                <w:rFonts w:ascii="Arial" w:cs="Arial" w:hAnsi="Arial"/>
                <w:b w:val="false"/>
                <w:i w:val="false"/>
                <w:iCs w:val="false"/>
                <w:color w:val="000000"/>
                <w:sz w:val="21"/>
                <w:szCs w:val="21"/>
                <w:rtl/>
              </w:rPr>
              <w:t xml:space="preserve">SQLite Documentation. https://www.sqlite.org/docs.html — وبخاصة: Write-Ahead Logging. https://www.sqlite.org/wal.html</w:t>
            </w:r>
          </w:p>
        </w:tc>
      </w:tr>
      <w:tr>
        <w:trPr>
          <w:cantSplit/>
        </w:trPr>
        <w:tc>
          <w:tcPr>
            <w:tcW w:type="pct" w:w="8%"/>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[4]</w:t>
            </w:r>
          </w:p>
        </w:tc>
        <w:tc>
          <w:tcPr>
            <w:tcW w:type="pct" w:w="92%"/>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left"/>
            </w:pPr>
            <w:r>
              <w:rPr>
                <w:rFonts w:ascii="Arial" w:cs="Arial" w:hAnsi="Arial"/>
                <w:b w:val="false"/>
                <w:i w:val="false"/>
                <w:iCs w:val="false"/>
                <w:color w:val="000000"/>
                <w:sz w:val="21"/>
                <w:szCs w:val="21"/>
                <w:rtl w:val="false"/>
              </w:rPr>
              <w:t xml:space="preserve">Gunicorn Documentation — Python WSGI HTTP Server. https://docs.gunicorn.org/</w:t>
            </w:r>
          </w:p>
        </w:tc>
      </w:tr>
      <w:tr>
        <w:trPr>
          <w:cantSplit/>
        </w:trPr>
        <w:tc>
          <w:tcPr>
            <w:tcW w:type="pct" w:w="8%"/>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[5]</w:t>
            </w:r>
          </w:p>
        </w:tc>
        <w:tc>
          <w:tcPr>
            <w:tcW w:type="pct" w:w="92%"/>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20" w:before="20" w:line="300"/>
              <w:jc w:val="left"/>
            </w:pPr>
            <w:r>
              <w:rPr>
                <w:rFonts w:ascii="Arial" w:cs="Arial" w:hAnsi="Arial"/>
                <w:b w:val="false"/>
                <w:i w:val="false"/>
                <w:iCs w:val="false"/>
                <w:color w:val="000000"/>
                <w:sz w:val="21"/>
                <w:szCs w:val="21"/>
                <w:rtl/>
              </w:rPr>
              <w:t xml:space="preserve">Docker Documentation — Dockerfile reference و Docker Compose. https://docs.docker.com/reference/ و https://docs.docker.com/compose/</w:t>
            </w:r>
          </w:p>
        </w:tc>
      </w:tr>
      <w:tr>
        <w:trPr>
          <w:cantSplit/>
        </w:trPr>
        <w:tc>
          <w:tcPr>
            <w:tcW w:type="pct" w:w="8%"/>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[6]</w:t>
            </w:r>
          </w:p>
        </w:tc>
        <w:tc>
          <w:tcPr>
            <w:tcW w:type="pct" w:w="92%"/>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left"/>
            </w:pPr>
            <w:r>
              <w:rPr>
                <w:rFonts w:ascii="Arial" w:cs="Arial" w:hAnsi="Arial"/>
                <w:b w:val="false"/>
                <w:i w:val="false"/>
                <w:iCs w:val="false"/>
                <w:color w:val="000000"/>
                <w:sz w:val="21"/>
                <w:szCs w:val="21"/>
                <w:rtl w:val="false"/>
              </w:rPr>
              <w:t xml:space="preserve">Apache HTTP Server Benchmarking Tool (ab) — Apache HTTP Server Version 2.4 Documentation. https://httpd.apache.org/docs/2.4/programs/ab.html</w:t>
            </w:r>
          </w:p>
        </w:tc>
      </w:tr>
      <w:tr>
        <w:trPr>
          <w:cantSplit/>
        </w:trPr>
        <w:tc>
          <w:tcPr>
            <w:tcW w:type="pct" w:w="8%"/>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center"/>
            </w:pPr>
            <w:r>
              <w:rPr>
                <w:rFonts w:ascii="Arial" w:cs="Arial" w:hAnsi="Arial"/>
                <w:b w:val="false"/>
                <w:i w:val="false"/>
                <w:iCs w:val="false"/>
                <w:color w:val="000000"/>
                <w:sz w:val="21"/>
                <w:szCs w:val="21"/>
                <w:rtl w:val="false"/>
              </w:rPr>
              <w:t xml:space="preserve">[7]</w:t>
            </w:r>
          </w:p>
        </w:tc>
        <w:tc>
          <w:tcPr>
            <w:tcW w:type="pct" w:w="92%"/>
            <w:tcBorders>
              <w:top w:val="none" w:color="FFFFFF" w:sz="0"/>
              <w:left w:val="none" w:color="FFFFFF" w:sz="0"/>
              <w:bottom w:val="none" w:color="FFFFFF" w:sz="0"/>
              <w:right w:val="none" w:color="FFFFFF" w:sz="0"/>
            </w:tcBorders>
            <w:tcMar>
              <w:top w:type="dxa" w:w="40"/>
              <w:left w:type="dxa" w:w="80"/>
              <w:bottom w:type="dxa" w:w="40"/>
              <w:right w:type="dxa" w:w="80"/>
            </w:tcMar>
          </w:tcPr>
          <w:p>
            <w:pPr>
              <w:bidi w:val="false"/>
              <w:spacing w:after="20" w:before="20" w:line="300"/>
              <w:jc w:val="left"/>
            </w:pPr>
            <w:r>
              <w:rPr>
                <w:rFonts w:ascii="Arial" w:cs="Arial" w:hAnsi="Arial"/>
                <w:b w:val="false"/>
                <w:i w:val="false"/>
                <w:iCs w:val="false"/>
                <w:color w:val="000000"/>
                <w:sz w:val="21"/>
                <w:szCs w:val="21"/>
                <w:rtl w:val="false"/>
              </w:rPr>
              <w:t xml:space="preserve">diagrams.net (draw.io) — Diagramming tool. https://www.diagrams.net/</w:t>
            </w:r>
          </w:p>
        </w:tc>
      </w:tr>
    </w:tbl>
    <w:p>
      <w:pPr>
        <w:spacing w:after="130" w:line="240"/>
      </w:pPr>
    </w:p>
    <w:sectPr>
      <w:headerReference w:type="default" r:id="rId9"/>
      <w:footerReference w:type="default" r:id="rId10"/>
      <w:type w:val="nextPage"/>
      <w:pgSz w:w="11906" w:h="16838" w:orient="portrait"/>
      <w:pgMar w:top="1440" w:right="1417" w:bottom="1440" w:left="1701" w:header="850" w:footer="992"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fldSimple w:instr="PAGE \* ROMAN \* MERGEFORMA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fldSimple w:instr="PAGE \* arabic \* MERGEFORMA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FA3B8" w:sz="4"/>
      </w:pBdr>
      <w:bidi/>
      <w:spacing w:after="60" w:line="260"/>
      <w:jc w:val="center"/>
    </w:pPr>
    <w:r>
      <w:rPr>
        <w:rFonts w:ascii="Arial" w:cs="Arial" w:hAnsi="Arial"/>
        <w:b w:val="false"/>
        <w:i w:val="false"/>
        <w:iCs w:val="false"/>
        <w:color w:val="595959"/>
        <w:sz w:val="18"/>
        <w:szCs w:val="18"/>
        <w:rtl/>
      </w:rPr>
      <w:t xml:space="preserve">مشروع CrowdCloud — مقرر الحوسبة السحابية والأنظمة الموزعة (3CCN314)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FA3B8" w:sz="4"/>
      </w:pBdr>
      <w:bidi/>
      <w:spacing w:after="60" w:line="260"/>
      <w:jc w:val="center"/>
    </w:pPr>
    <w:r>
      <w:rPr>
        <w:rFonts w:ascii="Arial" w:cs="Arial" w:hAnsi="Arial"/>
        <w:b w:val="false"/>
        <w:i w:val="false"/>
        <w:iCs w:val="false"/>
        <w:color w:val="595959"/>
        <w:sz w:val="18"/>
        <w:szCs w:val="18"/>
        <w:rtl/>
      </w:rPr>
      <w:t xml:space="preserve">مشروع CrowdCloud — مقرر الحوسبة السحابية والأنظمة الموزعة (3CCN314)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hAnsi="Arial"/>
        <w:color w:val="000000"/>
        <w:sz w:val="24"/>
        <w:szCs w:val="24"/>
      </w:rPr>
    </w:rPrDefault>
    <w:pPrDefault>
      <w:pPr>
        <w:spacing w:line="304"/>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50" w:before="300" w:line="400"/>
      <w:jc w:val="center"/>
      <w:outlineLvl w:val="0"/>
    </w:pPr>
    <w:rPr>
      <w:rFonts w:ascii="Arial" w:cs="Arial" w:hAnsi="Arial"/>
      <w:b/>
      <w:bCs/>
      <w:color w:val="000000"/>
      <w:sz w:val="32"/>
      <w:szCs w:val="32"/>
    </w:rPr>
  </w:style>
  <w:style w:type="paragraph" w:styleId="Heading2">
    <w:name w:val="Heading 2"/>
    <w:basedOn w:val="Normal"/>
    <w:next w:val="Normal"/>
    <w:qFormat/>
    <w:pPr>
      <w:spacing w:after="110" w:before="220" w:line="370"/>
      <w:outlineLvl w:val="1"/>
    </w:pPr>
    <w:rPr>
      <w:rFonts w:ascii="Arial" w:cs="Arial" w:hAnsi="Arial"/>
      <w:b/>
      <w:bCs/>
      <w:color w:val="000000"/>
      <w:sz w:val="29"/>
      <w:szCs w:val="29"/>
    </w:rPr>
  </w:style>
  <w:style w:type="paragraph" w:styleId="Heading3">
    <w:name w:val="Heading 3"/>
    <w:basedOn w:val="Normal"/>
    <w:next w:val="Normal"/>
    <w:qFormat/>
    <w:pPr>
      <w:spacing w:after="90" w:before="190" w:line="350"/>
      <w:outlineLvl w:val="2"/>
    </w:pPr>
    <w:rPr>
      <w:rFonts w:ascii="Arial" w:cs="Arial" w:hAnsi="Arial"/>
      <w:b/>
      <w:bCs/>
      <w:color w:val="000000"/>
      <w:sz w:val="27"/>
      <w:szCs w:val="27"/>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72907ba0639dd43f7758bac7fc93b7229df3f54e.png"/><Relationship Id="rId12" Type="http://schemas.openxmlformats.org/officeDocument/2006/relationships/image" Target="media/e85a58f8cf4705558bd7b4c0882f6cc7d07b2885.png"/><Relationship Id="rId13" Type="http://schemas.openxmlformats.org/officeDocument/2006/relationships/image" Target="media/92f85c056b8b455233e750d5b6ed4762bbf0789d.png"/><Relationship Id="rId14" Type="http://schemas.openxmlformats.org/officeDocument/2006/relationships/image" Target="media/f76e24392174e819a44560d2f7e7f69741984aa6.png"/><Relationship Id="rId15" Type="http://schemas.openxmlformats.org/officeDocument/2006/relationships/image" Target="media/05ab069e2f3da7b1b20a875cd25ef0b8f8fe0672.png"/><Relationship Id="rId16" Type="http://schemas.openxmlformats.org/officeDocument/2006/relationships/image" Target="media/b505c1435119f1362b5797301500ef39418eacd3.png"/><Relationship Id="rId17" Type="http://schemas.openxmlformats.org/officeDocument/2006/relationships/image" Target="media/3aefbf748faba8715b11961b406240b960355334.png"/><Relationship Id="rId18" Type="http://schemas.openxmlformats.org/officeDocument/2006/relationships/image" Target="media/d537a6d8d8cb8abf716b6785da3925f8eb8d91da.png"/><Relationship Id="rId19" Type="http://schemas.openxmlformats.org/officeDocument/2006/relationships/image" Target="media/bdbe1495bda553706f96100ce6286b032a28051e.png"/><Relationship Id="rId20" Type="http://schemas.openxmlformats.org/officeDocument/2006/relationships/image" Target="media/2f87a2a1ec9ab90895f5f3d7b50383e3cc7e6cc3.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CrowdCloud — منصة سحابية ذكية لإدارة الطوابير وضغط الخدمات</dc:title>
  <dc:creator>CrowdCloud Group 3</dc:creator>
  <cp:lastModifiedBy>Un-named</cp:lastModifiedBy>
  <cp:revision>1</cp:revision>
  <dcterms:created xsi:type="dcterms:W3CDTF">2026-10-06T22:39:10.033Z</dcterms:created>
  <dcterms:modified xsi:type="dcterms:W3CDTF">2026-10-06T22:39:10.033Z</dcterms:modified>
</cp:coreProperties>
</file>

<file path=docProps/custom.xml><?xml version="1.0" encoding="utf-8"?>
<Properties xmlns="http://schemas.openxmlformats.org/officeDocument/2006/custom-properties" xmlns:vt="http://schemas.openxmlformats.org/officeDocument/2006/docPropsVTypes"/>
</file>