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C0FDA">
      <w:pPr>
        <w:spacing w:before="1600"/>
      </w:pPr>
    </w:p>
    <w:p w14:paraId="13A90E0C">
      <w:pPr>
        <w:spacing w:after="200"/>
        <w:jc w:val="center"/>
      </w:pPr>
      <w:r>
        <w:rPr>
          <w:b/>
          <w:bCs/>
          <w:color w:val="2E74B5"/>
          <w:spacing w:val="20"/>
          <w:sz w:val="32"/>
          <w:szCs w:val="32"/>
        </w:rPr>
        <w:t>PHASE 1 PROJECT PROPOSAL</w:t>
      </w:r>
    </w:p>
    <w:p w14:paraId="6F859F7B">
      <w:pPr>
        <w:spacing w:after="100"/>
        <w:jc w:val="center"/>
      </w:pPr>
      <w:r>
        <w:rPr>
          <w:b/>
          <w:bCs/>
          <w:color w:val="1F3864"/>
          <w:sz w:val="56"/>
          <w:szCs w:val="56"/>
        </w:rPr>
        <w:t>Spotify Medallion Pipeline</w:t>
      </w:r>
    </w:p>
    <w:p w14:paraId="390DD45C">
      <w:pPr>
        <w:spacing w:after="700"/>
        <w:jc w:val="center"/>
      </w:pPr>
      <w:r>
        <w:rPr>
          <w:i/>
          <w:iCs/>
          <w:color w:val="444444"/>
          <w:sz w:val="28"/>
          <w:szCs w:val="28"/>
        </w:rPr>
        <w:t>User Listening Analytics &amp; Behaviour Dashboard</w:t>
      </w:r>
    </w:p>
    <w:p w14:paraId="415DDD70">
      <w:pPr>
        <w:pBdr>
          <w:top w:val="single" w:color="1F3864" w:sz="6" w:space="8"/>
          <w:bottom w:val="single" w:color="1F3864" w:sz="6" w:space="8"/>
        </w:pBdr>
        <w:spacing w:after="900"/>
        <w:jc w:val="center"/>
      </w:pPr>
      <w:r>
        <w:rPr>
          <w:color w:val="333333"/>
          <w:sz w:val="22"/>
          <w:szCs w:val="22"/>
        </w:rPr>
        <w:t>Data Analytics &amp; Visualization — Semester Project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50"/>
      </w:tblGrid>
      <w:tr w14:paraId="20B42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3864"/>
            <w:tcMar>
              <w:top w:w="120" w:type="dxa"/>
              <w:left w:w="150" w:type="dxa"/>
              <w:bottom w:w="120" w:type="dxa"/>
              <w:right w:w="150" w:type="dxa"/>
            </w:tcMar>
            <w:vAlign w:val="center"/>
          </w:tcPr>
          <w:p w14:paraId="78BFE227">
            <w:r>
              <w:rPr>
                <w:b/>
                <w:bCs/>
                <w:color w:val="FFFFFF"/>
                <w:sz w:val="22"/>
                <w:szCs w:val="22"/>
              </w:rPr>
              <w:t>Course</w:t>
            </w:r>
          </w:p>
        </w:tc>
        <w:tc>
          <w:tcPr>
            <w:tcW w:w="6350" w:type="dxa"/>
            <w:shd w:val="clear" w:color="auto" w:fill="FFFFFF"/>
            <w:tcMar>
              <w:top w:w="120" w:type="dxa"/>
              <w:left w:w="150" w:type="dxa"/>
              <w:bottom w:w="120" w:type="dxa"/>
              <w:right w:w="150" w:type="dxa"/>
            </w:tcMar>
            <w:vAlign w:val="center"/>
          </w:tcPr>
          <w:p w14:paraId="5AE66693">
            <w:r>
              <w:rPr>
                <w:sz w:val="22"/>
                <w:szCs w:val="22"/>
              </w:rPr>
              <w:t>Data Analytics &amp; Visualization — Semester Project</w:t>
            </w:r>
          </w:p>
        </w:tc>
      </w:tr>
      <w:tr w14:paraId="36E3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3864"/>
            <w:tcMar>
              <w:top w:w="120" w:type="dxa"/>
              <w:left w:w="150" w:type="dxa"/>
              <w:bottom w:w="120" w:type="dxa"/>
              <w:right w:w="150" w:type="dxa"/>
            </w:tcMar>
            <w:vAlign w:val="center"/>
          </w:tcPr>
          <w:p w14:paraId="5584E686">
            <w:r>
              <w:rPr>
                <w:b/>
                <w:bCs/>
                <w:color w:val="FFFFFF"/>
                <w:sz w:val="22"/>
                <w:szCs w:val="22"/>
              </w:rPr>
              <w:t>Team</w:t>
            </w:r>
          </w:p>
        </w:tc>
        <w:tc>
          <w:tcPr>
            <w:tcW w:w="6350" w:type="dxa"/>
            <w:shd w:val="clear" w:color="auto" w:fill="F2F2F2"/>
            <w:tcMar>
              <w:top w:w="120" w:type="dxa"/>
              <w:left w:w="150" w:type="dxa"/>
              <w:bottom w:w="120" w:type="dxa"/>
              <w:right w:w="150" w:type="dxa"/>
            </w:tcMar>
            <w:vAlign w:val="center"/>
          </w:tcPr>
          <w:p w14:paraId="6E213349">
            <w:r>
              <w:rPr>
                <w:sz w:val="22"/>
                <w:szCs w:val="22"/>
              </w:rPr>
              <w:t>Azan Ali, Saaif Suleiman</w:t>
            </w:r>
          </w:p>
        </w:tc>
      </w:tr>
      <w:tr w14:paraId="0D228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3864"/>
            <w:tcMar>
              <w:top w:w="120" w:type="dxa"/>
              <w:left w:w="150" w:type="dxa"/>
              <w:bottom w:w="120" w:type="dxa"/>
              <w:right w:w="150" w:type="dxa"/>
            </w:tcMar>
            <w:vAlign w:val="center"/>
          </w:tcPr>
          <w:p w14:paraId="1113B05D">
            <w:r>
              <w:rPr>
                <w:b/>
                <w:bCs/>
                <w:color w:val="FFFFFF"/>
                <w:sz w:val="22"/>
                <w:szCs w:val="22"/>
              </w:rPr>
              <w:t>Phase</w:t>
            </w:r>
          </w:p>
        </w:tc>
        <w:tc>
          <w:tcPr>
            <w:tcW w:w="6350" w:type="dxa"/>
            <w:shd w:val="clear" w:color="auto" w:fill="FFFFFF"/>
            <w:tcMar>
              <w:top w:w="120" w:type="dxa"/>
              <w:left w:w="150" w:type="dxa"/>
              <w:bottom w:w="120" w:type="dxa"/>
              <w:right w:w="150" w:type="dxa"/>
            </w:tcMar>
            <w:vAlign w:val="center"/>
          </w:tcPr>
          <w:p w14:paraId="291BB977">
            <w:r>
              <w:rPr>
                <w:sz w:val="22"/>
                <w:szCs w:val="22"/>
              </w:rPr>
              <w:t>Phase 1 — Proposal</w:t>
            </w:r>
          </w:p>
        </w:tc>
      </w:tr>
      <w:tr w14:paraId="17B85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3864"/>
            <w:tcMar>
              <w:top w:w="120" w:type="dxa"/>
              <w:left w:w="150" w:type="dxa"/>
              <w:bottom w:w="120" w:type="dxa"/>
              <w:right w:w="150" w:type="dxa"/>
            </w:tcMar>
            <w:vAlign w:val="center"/>
          </w:tcPr>
          <w:p w14:paraId="59F31B64">
            <w:r>
              <w:rPr>
                <w:b/>
                <w:bCs/>
                <w:color w:val="FFFFFF"/>
                <w:sz w:val="22"/>
                <w:szCs w:val="22"/>
              </w:rPr>
              <w:t>Repository</w:t>
            </w:r>
          </w:p>
        </w:tc>
        <w:tc>
          <w:tcPr>
            <w:tcW w:w="6350" w:type="dxa"/>
            <w:shd w:val="clear" w:color="auto" w:fill="F2F2F2"/>
            <w:tcMar>
              <w:top w:w="120" w:type="dxa"/>
              <w:left w:w="150" w:type="dxa"/>
              <w:bottom w:w="120" w:type="dxa"/>
              <w:right w:w="150" w:type="dxa"/>
            </w:tcMar>
            <w:vAlign w:val="center"/>
          </w:tcPr>
          <w:p w14:paraId="30E1C408">
            <w:r>
              <w:rPr>
                <w:sz w:val="22"/>
                <w:szCs w:val="22"/>
              </w:rPr>
              <w:t>github.com/azan-wasty/spotify-medallion-pipeline</w:t>
            </w:r>
          </w:p>
        </w:tc>
      </w:tr>
    </w:tbl>
    <w:p w14:paraId="5A57538A">
      <w:pPr>
        <w:spacing w:before="1600"/>
      </w:pPr>
      <w:r>
        <w:br w:type="page"/>
      </w:r>
    </w:p>
    <w:p w14:paraId="103099B8">
      <w:pPr>
        <w:pStyle w:val="2"/>
        <w:pBdr>
          <w:bottom w:val="single" w:color="1F3864" w:sz="8" w:space="4"/>
        </w:pBdr>
        <w:spacing w:before="360" w:after="160"/>
      </w:pPr>
      <w:r>
        <w:rPr>
          <w:b/>
          <w:bCs/>
          <w:color w:val="1F3864"/>
          <w:sz w:val="30"/>
          <w:szCs w:val="30"/>
        </w:rPr>
        <w:t>Table of Contents</w:t>
      </w:r>
    </w:p>
    <w:p w14:paraId="4BAD54B7">
      <w:pPr>
        <w:tabs>
          <w:tab w:val="right" w:leader="dot" w:pos="9026"/>
        </w:tabs>
        <w:spacing w:after="140"/>
        <w:ind w:left="0"/>
      </w:pPr>
      <w:r>
        <w:rPr>
          <w:b/>
          <w:bCs/>
          <w:color w:val="1F3864"/>
          <w:sz w:val="23"/>
          <w:szCs w:val="23"/>
        </w:rPr>
        <w:t>1. Domain &amp; Source Identification</w:t>
      </w:r>
      <w:r>
        <w:rPr>
          <w:b/>
          <w:bCs/>
          <w:color w:val="1F3864"/>
          <w:sz w:val="23"/>
          <w:szCs w:val="23"/>
        </w:rPr>
        <w:tab/>
        <w:t>3</w:t>
      </w:r>
    </w:p>
    <w:p w14:paraId="4DAE32CA">
      <w:pPr>
        <w:tabs>
          <w:tab w:val="right" w:leader="dot" w:pos="9026"/>
        </w:tabs>
        <w:spacing w:after="100"/>
        <w:ind w:left="300"/>
      </w:pPr>
      <w:r>
        <w:rPr>
          <w:b w:val="0"/>
          <w:bCs w:val="0"/>
          <w:color w:val="222222"/>
          <w:sz w:val="21"/>
          <w:szCs w:val="21"/>
        </w:rPr>
        <w:t>1.1 Project Concept</w:t>
      </w:r>
      <w:r>
        <w:rPr>
          <w:b w:val="0"/>
          <w:bCs w:val="0"/>
          <w:color w:val="222222"/>
          <w:sz w:val="21"/>
          <w:szCs w:val="21"/>
        </w:rPr>
        <w:tab/>
        <w:t>3</w:t>
      </w:r>
    </w:p>
    <w:p w14:paraId="65935020">
      <w:pPr>
        <w:tabs>
          <w:tab w:val="right" w:leader="dot" w:pos="9026"/>
        </w:tabs>
        <w:spacing w:after="100"/>
        <w:ind w:left="300"/>
      </w:pPr>
      <w:r>
        <w:rPr>
          <w:b w:val="0"/>
          <w:bCs w:val="0"/>
          <w:color w:val="222222"/>
          <w:sz w:val="21"/>
          <w:szCs w:val="21"/>
        </w:rPr>
        <w:t>1.2 Data Source</w:t>
      </w:r>
      <w:r>
        <w:rPr>
          <w:b w:val="0"/>
          <w:bCs w:val="0"/>
          <w:color w:val="222222"/>
          <w:sz w:val="21"/>
          <w:szCs w:val="21"/>
        </w:rPr>
        <w:tab/>
        <w:t>3</w:t>
      </w:r>
    </w:p>
    <w:p w14:paraId="3E740269">
      <w:pPr>
        <w:tabs>
          <w:tab w:val="right" w:leader="dot" w:pos="9026"/>
        </w:tabs>
        <w:spacing w:after="100"/>
        <w:ind w:left="300"/>
      </w:pPr>
      <w:r>
        <w:rPr>
          <w:b w:val="0"/>
          <w:bCs w:val="0"/>
          <w:color w:val="222222"/>
          <w:sz w:val="21"/>
          <w:szCs w:val="21"/>
        </w:rPr>
        <w:t>1.3 Ingestion Pattern — Full Load and Incremental Load</w:t>
      </w:r>
      <w:r>
        <w:rPr>
          <w:b w:val="0"/>
          <w:bCs w:val="0"/>
          <w:color w:val="222222"/>
          <w:sz w:val="21"/>
          <w:szCs w:val="21"/>
        </w:rPr>
        <w:tab/>
        <w:t>4</w:t>
      </w:r>
    </w:p>
    <w:p w14:paraId="2559B2CB">
      <w:pPr>
        <w:tabs>
          <w:tab w:val="right" w:leader="dot" w:pos="9026"/>
        </w:tabs>
        <w:spacing w:after="140"/>
        <w:ind w:left="0"/>
      </w:pPr>
      <w:r>
        <w:rPr>
          <w:b/>
          <w:bCs/>
          <w:color w:val="1F3864"/>
          <w:sz w:val="23"/>
          <w:szCs w:val="23"/>
        </w:rPr>
        <w:t>2. Data Samples &amp; Volume</w:t>
      </w:r>
      <w:r>
        <w:rPr>
          <w:b/>
          <w:bCs/>
          <w:color w:val="1F3864"/>
          <w:sz w:val="23"/>
          <w:szCs w:val="23"/>
        </w:rPr>
        <w:tab/>
        <w:t>4</w:t>
      </w:r>
    </w:p>
    <w:p w14:paraId="4CEB8812">
      <w:pPr>
        <w:tabs>
          <w:tab w:val="right" w:leader="dot" w:pos="9026"/>
        </w:tabs>
        <w:spacing w:after="100"/>
        <w:ind w:left="300"/>
      </w:pPr>
      <w:r>
        <w:rPr>
          <w:b w:val="0"/>
          <w:bCs w:val="0"/>
          <w:color w:val="222222"/>
          <w:sz w:val="21"/>
          <w:szCs w:val="21"/>
        </w:rPr>
        <w:t>2.1 Sample Files</w:t>
      </w:r>
      <w:r>
        <w:rPr>
          <w:b w:val="0"/>
          <w:bCs w:val="0"/>
          <w:color w:val="222222"/>
          <w:sz w:val="21"/>
          <w:szCs w:val="21"/>
        </w:rPr>
        <w:tab/>
        <w:t>4</w:t>
      </w:r>
    </w:p>
    <w:p w14:paraId="1B953313">
      <w:pPr>
        <w:tabs>
          <w:tab w:val="right" w:leader="dot" w:pos="9026"/>
        </w:tabs>
        <w:spacing w:after="100"/>
        <w:ind w:left="300"/>
      </w:pPr>
      <w:r>
        <w:rPr>
          <w:b w:val="0"/>
          <w:bCs w:val="0"/>
          <w:color w:val="222222"/>
          <w:sz w:val="21"/>
          <w:szCs w:val="21"/>
        </w:rPr>
        <w:t>2.2 Volume &amp; Frequency Estimation</w:t>
      </w:r>
      <w:r>
        <w:rPr>
          <w:b w:val="0"/>
          <w:bCs w:val="0"/>
          <w:color w:val="222222"/>
          <w:sz w:val="21"/>
          <w:szCs w:val="21"/>
        </w:rPr>
        <w:tab/>
        <w:t>4</w:t>
      </w:r>
    </w:p>
    <w:p w14:paraId="59AC0BEA">
      <w:pPr>
        <w:tabs>
          <w:tab w:val="right" w:leader="dot" w:pos="9026"/>
        </w:tabs>
        <w:spacing w:after="140"/>
        <w:ind w:left="0"/>
      </w:pPr>
      <w:r>
        <w:rPr>
          <w:b/>
          <w:bCs/>
          <w:color w:val="1F3864"/>
          <w:sz w:val="23"/>
          <w:szCs w:val="23"/>
        </w:rPr>
        <w:t>3. Security &amp; Compliance</w:t>
      </w:r>
      <w:r>
        <w:rPr>
          <w:b/>
          <w:bCs/>
          <w:color w:val="1F3864"/>
          <w:sz w:val="23"/>
          <w:szCs w:val="23"/>
        </w:rPr>
        <w:tab/>
        <w:t>5</w:t>
      </w:r>
    </w:p>
    <w:p w14:paraId="5B4F661D">
      <w:pPr>
        <w:tabs>
          <w:tab w:val="right" w:leader="dot" w:pos="9026"/>
        </w:tabs>
        <w:spacing w:after="100"/>
        <w:ind w:left="300"/>
      </w:pPr>
      <w:r>
        <w:rPr>
          <w:b w:val="0"/>
          <w:bCs w:val="0"/>
          <w:color w:val="222222"/>
          <w:sz w:val="21"/>
          <w:szCs w:val="21"/>
        </w:rPr>
        <w:t>3.1 Identified PII and Sensitive Data</w:t>
      </w:r>
      <w:r>
        <w:rPr>
          <w:b w:val="0"/>
          <w:bCs w:val="0"/>
          <w:color w:val="222222"/>
          <w:sz w:val="21"/>
          <w:szCs w:val="21"/>
        </w:rPr>
        <w:tab/>
        <w:t>5</w:t>
      </w:r>
    </w:p>
    <w:p w14:paraId="118F6265">
      <w:pPr>
        <w:tabs>
          <w:tab w:val="right" w:leader="dot" w:pos="9026"/>
        </w:tabs>
        <w:spacing w:after="100"/>
        <w:ind w:left="300"/>
      </w:pPr>
      <w:r>
        <w:rPr>
          <w:b w:val="0"/>
          <w:bCs w:val="0"/>
          <w:color w:val="222222"/>
          <w:sz w:val="21"/>
          <w:szCs w:val="21"/>
        </w:rPr>
        <w:t>3.2 Handling Strategy</w:t>
      </w:r>
      <w:r>
        <w:rPr>
          <w:b w:val="0"/>
          <w:bCs w:val="0"/>
          <w:color w:val="222222"/>
          <w:sz w:val="21"/>
          <w:szCs w:val="21"/>
        </w:rPr>
        <w:tab/>
        <w:t>5</w:t>
      </w:r>
    </w:p>
    <w:p w14:paraId="287F5830">
      <w:pPr>
        <w:tabs>
          <w:tab w:val="right" w:leader="dot" w:pos="9026"/>
        </w:tabs>
        <w:spacing w:after="140"/>
        <w:ind w:left="0"/>
      </w:pPr>
      <w:r>
        <w:rPr>
          <w:b/>
          <w:bCs/>
          <w:color w:val="1F3864"/>
          <w:sz w:val="23"/>
          <w:szCs w:val="23"/>
        </w:rPr>
        <w:t>4. High-Level Medallion Data Modeling</w:t>
      </w:r>
      <w:r>
        <w:rPr>
          <w:b/>
          <w:bCs/>
          <w:color w:val="1F3864"/>
          <w:sz w:val="23"/>
          <w:szCs w:val="23"/>
        </w:rPr>
        <w:tab/>
        <w:t>6</w:t>
      </w:r>
    </w:p>
    <w:p w14:paraId="1B8DAD94">
      <w:pPr>
        <w:tabs>
          <w:tab w:val="right" w:leader="dot" w:pos="9026"/>
        </w:tabs>
        <w:spacing w:after="100"/>
        <w:ind w:left="300"/>
      </w:pPr>
      <w:r>
        <w:rPr>
          <w:b w:val="0"/>
          <w:bCs w:val="0"/>
          <w:color w:val="222222"/>
          <w:sz w:val="21"/>
          <w:szCs w:val="21"/>
        </w:rPr>
        <w:t>4.1 Bronze Layer</w:t>
      </w:r>
      <w:r>
        <w:rPr>
          <w:b w:val="0"/>
          <w:bCs w:val="0"/>
          <w:color w:val="222222"/>
          <w:sz w:val="21"/>
          <w:szCs w:val="21"/>
        </w:rPr>
        <w:tab/>
        <w:t>6</w:t>
      </w:r>
    </w:p>
    <w:p w14:paraId="053990CE">
      <w:pPr>
        <w:tabs>
          <w:tab w:val="right" w:leader="dot" w:pos="9026"/>
        </w:tabs>
        <w:spacing w:after="100"/>
        <w:ind w:left="300"/>
      </w:pPr>
      <w:r>
        <w:rPr>
          <w:b w:val="0"/>
          <w:bCs w:val="0"/>
          <w:color w:val="222222"/>
          <w:sz w:val="21"/>
          <w:szCs w:val="21"/>
        </w:rPr>
        <w:t>4.2 Bronze → Silver: Cleaning, Formatting, and Casting</w:t>
      </w:r>
      <w:r>
        <w:rPr>
          <w:b w:val="0"/>
          <w:bCs w:val="0"/>
          <w:color w:val="222222"/>
          <w:sz w:val="21"/>
          <w:szCs w:val="21"/>
        </w:rPr>
        <w:tab/>
        <w:t>6</w:t>
      </w:r>
    </w:p>
    <w:p w14:paraId="36CD963A">
      <w:pPr>
        <w:tabs>
          <w:tab w:val="right" w:leader="dot" w:pos="9026"/>
        </w:tabs>
        <w:spacing w:after="100"/>
        <w:ind w:left="300"/>
      </w:pPr>
      <w:r>
        <w:rPr>
          <w:b w:val="0"/>
          <w:bCs w:val="0"/>
          <w:color w:val="222222"/>
          <w:sz w:val="21"/>
          <w:szCs w:val="21"/>
        </w:rPr>
        <w:t>4.3 Gold Layer</w:t>
      </w:r>
      <w:r>
        <w:rPr>
          <w:b w:val="0"/>
          <w:bCs w:val="0"/>
          <w:color w:val="222222"/>
          <w:sz w:val="21"/>
          <w:szCs w:val="21"/>
        </w:rPr>
        <w:tab/>
        <w:t>7</w:t>
      </w:r>
    </w:p>
    <w:p w14:paraId="3600A15B">
      <w:pPr>
        <w:tabs>
          <w:tab w:val="right" w:leader="dot" w:pos="9026"/>
        </w:tabs>
        <w:spacing w:after="140"/>
        <w:ind w:left="0"/>
      </w:pPr>
      <w:r>
        <w:rPr>
          <w:b/>
          <w:bCs/>
          <w:color w:val="1F3864"/>
          <w:sz w:val="23"/>
          <w:szCs w:val="23"/>
        </w:rPr>
        <w:t>5. Business Intelligence &amp; Dashboards</w:t>
      </w:r>
      <w:r>
        <w:rPr>
          <w:b/>
          <w:bCs/>
          <w:color w:val="1F3864"/>
          <w:sz w:val="23"/>
          <w:szCs w:val="23"/>
        </w:rPr>
        <w:tab/>
        <w:t>8</w:t>
      </w:r>
    </w:p>
    <w:p w14:paraId="7AAEB6EF">
      <w:pPr>
        <w:tabs>
          <w:tab w:val="right" w:leader="dot" w:pos="9026"/>
        </w:tabs>
        <w:spacing w:after="100"/>
        <w:ind w:left="300"/>
      </w:pPr>
      <w:r>
        <w:rPr>
          <w:b w:val="0"/>
          <w:bCs w:val="0"/>
          <w:color w:val="222222"/>
          <w:sz w:val="21"/>
          <w:szCs w:val="21"/>
        </w:rPr>
        <w:t>5.1 Business Question 1 — Peak Usage / Traffic Times</w:t>
      </w:r>
      <w:r>
        <w:rPr>
          <w:b w:val="0"/>
          <w:bCs w:val="0"/>
          <w:color w:val="222222"/>
          <w:sz w:val="21"/>
          <w:szCs w:val="21"/>
        </w:rPr>
        <w:tab/>
        <w:t>8</w:t>
      </w:r>
    </w:p>
    <w:p w14:paraId="23DDD8B1">
      <w:pPr>
        <w:tabs>
          <w:tab w:val="right" w:leader="dot" w:pos="9026"/>
        </w:tabs>
        <w:spacing w:after="100"/>
        <w:ind w:left="300"/>
      </w:pPr>
      <w:r>
        <w:rPr>
          <w:b w:val="0"/>
          <w:bCs w:val="0"/>
          <w:color w:val="222222"/>
          <w:sz w:val="21"/>
          <w:szCs w:val="21"/>
        </w:rPr>
        <w:t>5.2 Business Question 2 — Customer Loyalty &amp; Subscription-Upgrade Targeting</w:t>
      </w:r>
      <w:r>
        <w:rPr>
          <w:b w:val="0"/>
          <w:bCs w:val="0"/>
          <w:color w:val="222222"/>
          <w:sz w:val="21"/>
          <w:szCs w:val="21"/>
        </w:rPr>
        <w:tab/>
        <w:t>8</w:t>
      </w:r>
    </w:p>
    <w:p w14:paraId="15D7C6D1">
      <w:pPr>
        <w:tabs>
          <w:tab w:val="right" w:leader="dot" w:pos="9026"/>
        </w:tabs>
        <w:spacing w:after="100"/>
        <w:ind w:left="300"/>
      </w:pPr>
      <w:r>
        <w:rPr>
          <w:b w:val="0"/>
          <w:bCs w:val="0"/>
          <w:color w:val="222222"/>
          <w:sz w:val="21"/>
          <w:szCs w:val="21"/>
        </w:rPr>
        <w:t>5.3 Business Question 3 — Content &amp; Genre Trend Performance</w:t>
      </w:r>
      <w:r>
        <w:rPr>
          <w:b w:val="0"/>
          <w:bCs w:val="0"/>
          <w:color w:val="222222"/>
          <w:sz w:val="21"/>
          <w:szCs w:val="21"/>
        </w:rPr>
        <w:tab/>
        <w:t>9</w:t>
      </w:r>
    </w:p>
    <w:p w14:paraId="78217FB9">
      <w:pPr>
        <w:tabs>
          <w:tab w:val="right" w:leader="dot" w:pos="9026"/>
        </w:tabs>
        <w:spacing w:after="100"/>
        <w:ind w:left="300"/>
      </w:pPr>
      <w:r>
        <w:rPr>
          <w:b w:val="0"/>
          <w:bCs w:val="0"/>
          <w:color w:val="222222"/>
          <w:sz w:val="21"/>
          <w:szCs w:val="21"/>
        </w:rPr>
        <w:t>5.4 Bonus — Consumer-Facing "Wrapped" Summary</w:t>
      </w:r>
      <w:r>
        <w:rPr>
          <w:b w:val="0"/>
          <w:bCs w:val="0"/>
          <w:color w:val="222222"/>
          <w:sz w:val="21"/>
          <w:szCs w:val="21"/>
        </w:rPr>
        <w:tab/>
        <w:t>9</w:t>
      </w:r>
    </w:p>
    <w:p w14:paraId="7CD3AE84">
      <w:pPr>
        <w:tabs>
          <w:tab w:val="right" w:leader="dot" w:pos="9026"/>
        </w:tabs>
        <w:spacing w:after="140"/>
        <w:ind w:left="0"/>
      </w:pPr>
      <w:r>
        <w:rPr>
          <w:b/>
          <w:bCs/>
          <w:color w:val="1F3864"/>
          <w:sz w:val="23"/>
          <w:szCs w:val="23"/>
        </w:rPr>
        <w:t>6. Engineering Setup &amp; FinOps</w:t>
      </w:r>
      <w:r>
        <w:rPr>
          <w:b/>
          <w:bCs/>
          <w:color w:val="1F3864"/>
          <w:sz w:val="23"/>
          <w:szCs w:val="23"/>
        </w:rPr>
        <w:tab/>
        <w:t>9</w:t>
      </w:r>
    </w:p>
    <w:p w14:paraId="5EB8F8D9">
      <w:pPr>
        <w:tabs>
          <w:tab w:val="right" w:leader="dot" w:pos="9026"/>
        </w:tabs>
        <w:spacing w:after="100"/>
        <w:ind w:left="300"/>
      </w:pPr>
      <w:r>
        <w:rPr>
          <w:b w:val="0"/>
          <w:bCs w:val="0"/>
          <w:color w:val="222222"/>
          <w:sz w:val="21"/>
          <w:szCs w:val="21"/>
        </w:rPr>
        <w:t>6.1 Version Control</w:t>
      </w:r>
      <w:r>
        <w:rPr>
          <w:b w:val="0"/>
          <w:bCs w:val="0"/>
          <w:color w:val="222222"/>
          <w:sz w:val="21"/>
          <w:szCs w:val="21"/>
        </w:rPr>
        <w:tab/>
        <w:t>9</w:t>
      </w:r>
    </w:p>
    <w:p w14:paraId="5C287525">
      <w:pPr>
        <w:tabs>
          <w:tab w:val="right" w:leader="dot" w:pos="9026"/>
        </w:tabs>
        <w:spacing w:after="100"/>
        <w:ind w:left="300"/>
      </w:pPr>
      <w:r>
        <w:rPr>
          <w:b w:val="0"/>
          <w:bCs w:val="0"/>
          <w:color w:val="222222"/>
          <w:sz w:val="21"/>
          <w:szCs w:val="21"/>
        </w:rPr>
        <w:t>6.2 Cost / FinOps Awareness</w:t>
      </w:r>
      <w:r>
        <w:rPr>
          <w:b w:val="0"/>
          <w:bCs w:val="0"/>
          <w:color w:val="222222"/>
          <w:sz w:val="21"/>
          <w:szCs w:val="21"/>
        </w:rPr>
        <w:tab/>
        <w:t>9</w:t>
      </w:r>
    </w:p>
    <w:p w14:paraId="5D5BBA1A">
      <w:r>
        <w:br w:type="page"/>
      </w:r>
    </w:p>
    <w:p w14:paraId="2A96B5C3">
      <w:pPr>
        <w:pStyle w:val="2"/>
        <w:pBdr>
          <w:bottom w:val="single" w:color="1F3864" w:sz="8" w:space="4"/>
        </w:pBdr>
        <w:spacing w:before="360" w:after="160"/>
      </w:pPr>
      <w:r>
        <w:rPr>
          <w:b/>
          <w:bCs/>
          <w:color w:val="1F3864"/>
          <w:sz w:val="30"/>
          <w:szCs w:val="30"/>
        </w:rPr>
        <w:t>1. Domain &amp; Source Identification</w:t>
      </w:r>
    </w:p>
    <w:p w14:paraId="6ACBFE99">
      <w:pPr>
        <w:pStyle w:val="3"/>
        <w:spacing w:before="280" w:after="120"/>
      </w:pPr>
      <w:r>
        <w:rPr>
          <w:b/>
          <w:bCs/>
          <w:color w:val="2E74B5"/>
          <w:sz w:val="25"/>
          <w:szCs w:val="25"/>
        </w:rPr>
        <w:t>1.1 Project Concept</w:t>
      </w:r>
    </w:p>
    <w:p w14:paraId="61626563">
      <w:pPr>
        <w:spacing w:after="160" w:line="276" w:lineRule="auto"/>
      </w:pPr>
      <w:r>
        <w:rPr>
          <w:sz w:val="22"/>
          <w:szCs w:val="22"/>
        </w:rPr>
        <w:t>The project domain is personalized music-listening analytics and user behaviours, featuring a version of Spotify's own "Wrapped" feature. The pipeline ingests per-user, per-play listening events and processes them through a Medallion Architecture (Landing → Bronze → Silver → Gold) to produce both:</w:t>
      </w:r>
    </w:p>
    <w:p w14:paraId="0226F01B">
      <w:pPr>
        <w:pStyle w:val="16"/>
        <w:numPr>
          <w:ilvl w:val="0"/>
          <w:numId w:val="1"/>
        </w:numPr>
        <w:spacing w:after="80" w:line="276" w:lineRule="auto"/>
      </w:pPr>
      <w:r>
        <w:rPr>
          <w:sz w:val="22"/>
          <w:szCs w:val="22"/>
        </w:rPr>
        <w:t>A consumer-facing personalized summary — top artists, genres, tracks, listening minutes, discovery rate.</w:t>
      </w:r>
    </w:p>
    <w:p w14:paraId="6DF4EF6C">
      <w:pPr>
        <w:pStyle w:val="16"/>
        <w:numPr>
          <w:ilvl w:val="0"/>
          <w:numId w:val="1"/>
        </w:numPr>
        <w:spacing w:after="80" w:line="276" w:lineRule="auto"/>
      </w:pPr>
      <w:r>
        <w:rPr>
          <w:sz w:val="22"/>
          <w:szCs w:val="22"/>
        </w:rPr>
        <w:t>Business-facing operational analytics — peak usage times, subscription-upgrade targeting, content/genre trend performance.</w:t>
      </w:r>
    </w:p>
    <w:p w14:paraId="51026973">
      <w:pPr>
        <w:pStyle w:val="3"/>
        <w:spacing w:before="280" w:after="120"/>
      </w:pPr>
      <w:r>
        <w:rPr>
          <w:b/>
          <w:bCs/>
          <w:color w:val="2E74B5"/>
          <w:sz w:val="25"/>
          <w:szCs w:val="25"/>
        </w:rPr>
        <w:t>1.2 Data Source</w:t>
      </w:r>
    </w:p>
    <w:p w14:paraId="1A93EF43">
      <w:pPr>
        <w:spacing w:after="160" w:line="276" w:lineRule="auto"/>
      </w:pPr>
      <w:r>
        <w:rPr>
          <w:sz w:val="22"/>
          <w:szCs w:val="22"/>
        </w:rPr>
        <w:t>Spotify significantly restricted third-party developer access to its Web API between late 2024 and early 2026:</w:t>
      </w:r>
    </w:p>
    <w:p w14:paraId="6AD01567">
      <w:pPr>
        <w:pStyle w:val="16"/>
        <w:numPr>
          <w:ilvl w:val="0"/>
          <w:numId w:val="1"/>
        </w:numPr>
        <w:spacing w:after="80" w:line="276" w:lineRule="auto"/>
      </w:pPr>
      <w:r>
        <w:rPr>
          <w:sz w:val="22"/>
          <w:szCs w:val="22"/>
        </w:rPr>
        <w:t>The audio-features and audio-analysis endpoints were deprecated for all new applications as of November 27, 2024.</w:t>
      </w:r>
    </w:p>
    <w:p w14:paraId="587744FF">
      <w:pPr>
        <w:pStyle w:val="16"/>
        <w:numPr>
          <w:ilvl w:val="0"/>
          <w:numId w:val="1"/>
        </w:numPr>
        <w:spacing w:after="80" w:line="276" w:lineRule="auto"/>
      </w:pPr>
      <w:r>
        <w:rPr>
          <w:sz w:val="22"/>
          <w:szCs w:val="22"/>
        </w:rPr>
        <w:t>Extended API quota was restricted to businesses with 250,000+ monthly active users as of May 2025.</w:t>
      </w:r>
    </w:p>
    <w:p w14:paraId="40A2CF0F">
      <w:pPr>
        <w:pStyle w:val="16"/>
        <w:numPr>
          <w:ilvl w:val="0"/>
          <w:numId w:val="1"/>
        </w:numPr>
        <w:spacing w:after="80" w:line="276" w:lineRule="auto"/>
      </w:pPr>
      <w:r>
        <w:rPr>
          <w:sz w:val="22"/>
          <w:szCs w:val="22"/>
        </w:rPr>
        <w:t>Since February 11, 2026, creating a Developer app requires an active Premium subscription, and Development Mode caps registered test users at 5.</w:t>
      </w:r>
    </w:p>
    <w:p w14:paraId="18E73559">
      <w:pPr>
        <w:spacing w:after="160" w:line="276" w:lineRule="auto"/>
      </w:pPr>
      <w:r>
        <w:rPr>
          <w:sz w:val="22"/>
          <w:szCs w:val="22"/>
        </w:rPr>
        <w:t>Given these constraints, the project uses a deliberate, documented three-way data source strategy rather than relying on the Spotify API alone: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650"/>
        <w:gridCol w:w="1700"/>
      </w:tblGrid>
      <w:tr w14:paraId="0696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vAlign w:val="center"/>
          </w:tcPr>
          <w:p w14:paraId="052CE4DD">
            <w:r>
              <w:rPr>
                <w:b/>
                <w:bCs/>
                <w:color w:val="FFFFFF"/>
                <w:sz w:val="20"/>
                <w:szCs w:val="20"/>
              </w:rPr>
              <w:t>Source</w:t>
            </w:r>
          </w:p>
        </w:tc>
        <w:tc>
          <w:tcPr>
            <w:tcW w:w="4650" w:type="dxa"/>
            <w:shd w:val="clear" w:color="auto" w:fill="1F3864"/>
            <w:tcMar>
              <w:top w:w="80" w:type="dxa"/>
              <w:left w:w="100" w:type="dxa"/>
              <w:bottom w:w="80" w:type="dxa"/>
              <w:right w:w="100" w:type="dxa"/>
            </w:tcMar>
            <w:vAlign w:val="center"/>
          </w:tcPr>
          <w:p w14:paraId="3DAFF596">
            <w:r>
              <w:rPr>
                <w:b/>
                <w:bCs/>
                <w:color w:val="FFFFFF"/>
                <w:sz w:val="20"/>
                <w:szCs w:val="20"/>
              </w:rPr>
              <w:t>Description</w:t>
            </w:r>
          </w:p>
        </w:tc>
        <w:tc>
          <w:tcPr>
            <w:tcW w:w="1700" w:type="dxa"/>
            <w:shd w:val="clear" w:color="auto" w:fill="1F3864"/>
            <w:tcMar>
              <w:top w:w="80" w:type="dxa"/>
              <w:left w:w="100" w:type="dxa"/>
              <w:bottom w:w="80" w:type="dxa"/>
              <w:right w:w="100" w:type="dxa"/>
            </w:tcMar>
            <w:vAlign w:val="center"/>
          </w:tcPr>
          <w:p w14:paraId="05736CFC">
            <w:r>
              <w:rPr>
                <w:b/>
                <w:bCs/>
                <w:color w:val="FFFFFF"/>
                <w:sz w:val="20"/>
                <w:szCs w:val="20"/>
              </w:rPr>
              <w:t>Role</w:t>
            </w:r>
          </w:p>
        </w:tc>
      </w:tr>
      <w:tr w14:paraId="20F5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42EFEDDB">
            <w:r>
              <w:rPr>
                <w:b w:val="0"/>
                <w:bCs w:val="0"/>
                <w:color w:val="000000"/>
                <w:sz w:val="20"/>
                <w:szCs w:val="20"/>
              </w:rPr>
              <w:t>Synthetic listener-behavior generator
(generate_data_v2.py)</w:t>
            </w:r>
          </w:p>
        </w:tc>
        <w:tc>
          <w:tcPr>
            <w:tcW w:w="4650" w:type="dxa"/>
            <w:tcMar>
              <w:top w:w="80" w:type="dxa"/>
              <w:left w:w="100" w:type="dxa"/>
              <w:bottom w:w="80" w:type="dxa"/>
              <w:right w:w="100" w:type="dxa"/>
            </w:tcMar>
            <w:vAlign w:val="center"/>
          </w:tcPr>
          <w:p w14:paraId="312380EC">
            <w:r>
              <w:rPr>
                <w:b w:val="0"/>
                <w:bCs w:val="0"/>
                <w:color w:val="000000"/>
                <w:sz w:val="20"/>
                <w:szCs w:val="20"/>
              </w:rPr>
              <w:t xml:space="preserve">A controlled generator producing realistic per-user listening events across a catalog of tracks, with device, hour-of-day, and subscription-propensity behavior correlated by design (see </w:t>
            </w:r>
            <w:r>
              <w:rPr>
                <w:b w:val="0"/>
                <w:bCs w:val="0"/>
                <w:color w:val="000000"/>
                <w:sz w:val="20"/>
                <w:szCs w:val="20"/>
                <w:lang w:val="en-US"/>
              </w:rPr>
              <w:t xml:space="preserve"> </w:t>
            </w:r>
            <w:r>
              <w:rPr>
                <w:b w:val="0"/>
                <w:bCs w:val="0"/>
                <w:color w:val="000000"/>
                <w:sz w:val="20"/>
                <w:szCs w:val="20"/>
              </w:rPr>
              <w:t xml:space="preserve">2.2, </w:t>
            </w:r>
            <w:r>
              <w:rPr>
                <w:b w:val="0"/>
                <w:bCs w:val="0"/>
                <w:color w:val="000000"/>
                <w:sz w:val="20"/>
                <w:szCs w:val="20"/>
                <w:lang w:val="en-US"/>
              </w:rPr>
              <w:t xml:space="preserve"> </w:t>
            </w:r>
            <w:r>
              <w:rPr>
                <w:b w:val="0"/>
                <w:bCs w:val="0"/>
                <w:color w:val="000000"/>
                <w:sz w:val="20"/>
                <w:szCs w:val="20"/>
              </w:rPr>
              <w:t>5.1–5.2) rather than sampled independently, and calibrated against derived real-listener profiles.</w:t>
            </w:r>
          </w:p>
        </w:tc>
        <w:tc>
          <w:tcPr>
            <w:tcW w:w="1700" w:type="dxa"/>
            <w:tcMar>
              <w:top w:w="80" w:type="dxa"/>
              <w:left w:w="100" w:type="dxa"/>
              <w:bottom w:w="80" w:type="dxa"/>
              <w:right w:w="100" w:type="dxa"/>
            </w:tcMar>
            <w:vAlign w:val="center"/>
          </w:tcPr>
          <w:p w14:paraId="12176C33">
            <w:r>
              <w:rPr>
                <w:b w:val="0"/>
                <w:bCs w:val="0"/>
                <w:color w:val="000000"/>
                <w:sz w:val="20"/>
                <w:szCs w:val="20"/>
              </w:rPr>
              <w:t>Primary — bulk of full-load and incremental volume.</w:t>
            </w:r>
          </w:p>
        </w:tc>
      </w:tr>
      <w:tr w14:paraId="2450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76F95353">
            <w:r>
              <w:rPr>
                <w:b w:val="0"/>
                <w:bCs w:val="0"/>
                <w:color w:val="000000"/>
                <w:sz w:val="20"/>
                <w:szCs w:val="20"/>
              </w:rPr>
              <w:t>Real, export-based data
(sanitize_real_data.py)</w:t>
            </w:r>
          </w:p>
        </w:tc>
        <w:tc>
          <w:tcPr>
            <w:tcW w:w="4650" w:type="dxa"/>
            <w:shd w:val="clear" w:color="auto" w:fill="F2F2F2"/>
            <w:tcMar>
              <w:top w:w="80" w:type="dxa"/>
              <w:left w:w="100" w:type="dxa"/>
              <w:bottom w:w="80" w:type="dxa"/>
              <w:right w:w="100" w:type="dxa"/>
            </w:tcMar>
            <w:vAlign w:val="center"/>
          </w:tcPr>
          <w:p w14:paraId="5CB3A705">
            <w:r>
              <w:rPr>
                <w:b w:val="0"/>
                <w:bCs w:val="0"/>
                <w:color w:val="000000"/>
                <w:sz w:val="20"/>
                <w:szCs w:val="20"/>
              </w:rPr>
              <w:t>Team members' and consenting friends' Spotify "Extended Streaming History" exports (self-requested via account privacy settings), sanitized and pseudonymized.</w:t>
            </w:r>
          </w:p>
        </w:tc>
        <w:tc>
          <w:tcPr>
            <w:tcW w:w="1700" w:type="dxa"/>
            <w:shd w:val="clear" w:color="auto" w:fill="F2F2F2"/>
            <w:tcMar>
              <w:top w:w="80" w:type="dxa"/>
              <w:left w:w="100" w:type="dxa"/>
              <w:bottom w:w="80" w:type="dxa"/>
              <w:right w:w="100" w:type="dxa"/>
            </w:tcMar>
            <w:vAlign w:val="center"/>
          </w:tcPr>
          <w:p w14:paraId="44579649">
            <w:r>
              <w:rPr>
                <w:b w:val="0"/>
                <w:bCs w:val="0"/>
                <w:color w:val="000000"/>
                <w:sz w:val="20"/>
                <w:szCs w:val="20"/>
              </w:rPr>
              <w:t>Secondary — validation and demo realism; full-load history per real persona (full multi-year export range, not truncated).</w:t>
            </w:r>
          </w:p>
        </w:tc>
      </w:tr>
      <w:tr w14:paraId="7A03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241B9C52">
            <w:r>
              <w:rPr>
                <w:b w:val="0"/>
                <w:bCs w:val="0"/>
                <w:color w:val="000000"/>
                <w:sz w:val="20"/>
                <w:szCs w:val="20"/>
              </w:rPr>
              <w:t>Real, live API-based data
(fetch_recently_played.py)</w:t>
            </w:r>
          </w:p>
        </w:tc>
        <w:tc>
          <w:tcPr>
            <w:tcW w:w="4650" w:type="dxa"/>
            <w:tcMar>
              <w:top w:w="80" w:type="dxa"/>
              <w:left w:w="100" w:type="dxa"/>
              <w:bottom w:w="80" w:type="dxa"/>
              <w:right w:w="100" w:type="dxa"/>
            </w:tcMar>
            <w:vAlign w:val="center"/>
          </w:tcPr>
          <w:p w14:paraId="6BB7415C">
            <w:r>
              <w:rPr>
                <w:b w:val="0"/>
                <w:bCs w:val="0"/>
                <w:color w:val="000000"/>
                <w:sz w:val="20"/>
                <w:szCs w:val="20"/>
              </w:rPr>
              <w:t>Ongoing OAuth-based incremental pulls via the Spotify Web API, for accounts within the 5-test-user Development Mode cap.</w:t>
            </w:r>
          </w:p>
        </w:tc>
        <w:tc>
          <w:tcPr>
            <w:tcW w:w="1700" w:type="dxa"/>
            <w:tcMar>
              <w:top w:w="80" w:type="dxa"/>
              <w:left w:w="100" w:type="dxa"/>
              <w:bottom w:w="80" w:type="dxa"/>
              <w:right w:w="100" w:type="dxa"/>
            </w:tcMar>
            <w:vAlign w:val="center"/>
          </w:tcPr>
          <w:p w14:paraId="07518052">
            <w:r>
              <w:rPr>
                <w:b w:val="0"/>
                <w:bCs w:val="0"/>
                <w:color w:val="000000"/>
                <w:sz w:val="20"/>
                <w:szCs w:val="20"/>
              </w:rPr>
              <w:t>Secondary — live incremental data for onboarded real personas.</w:t>
            </w:r>
          </w:p>
        </w:tc>
      </w:tr>
    </w:tbl>
    <w:p w14:paraId="46C885A4">
      <w:pPr>
        <w:spacing w:after="160" w:line="276" w:lineRule="auto"/>
      </w:pPr>
      <w:r>
        <w:rPr>
          <w:i/>
          <w:iCs/>
          <w:sz w:val="22"/>
          <w:szCs w:val="22"/>
        </w:rPr>
        <w:t>This is an engineering trade-off made necessary by platform restrictions, not a shortcut: it is documented and defended as such throughout the design.</w:t>
      </w:r>
    </w:p>
    <w:p w14:paraId="069B96CF">
      <w:pPr>
        <w:pStyle w:val="3"/>
        <w:spacing w:before="280" w:after="120"/>
      </w:pPr>
      <w:r>
        <w:rPr>
          <w:b/>
          <w:bCs/>
          <w:color w:val="2E74B5"/>
          <w:sz w:val="25"/>
          <w:szCs w:val="25"/>
        </w:rPr>
        <w:t>1.3 Ingestion Pattern — Full Load and Incremental Load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50"/>
      </w:tblGrid>
      <w:tr w14:paraId="1C14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vAlign w:val="center"/>
          </w:tcPr>
          <w:p w14:paraId="6ED89063">
            <w:r>
              <w:rPr>
                <w:b/>
                <w:bCs/>
                <w:color w:val="FFFFFF"/>
                <w:sz w:val="20"/>
                <w:szCs w:val="20"/>
              </w:rPr>
              <w:t>Load Type</w:t>
            </w:r>
          </w:p>
        </w:tc>
        <w:tc>
          <w:tcPr>
            <w:tcW w:w="7150" w:type="dxa"/>
            <w:shd w:val="clear" w:color="auto" w:fill="1F3864"/>
            <w:tcMar>
              <w:top w:w="80" w:type="dxa"/>
              <w:left w:w="100" w:type="dxa"/>
              <w:bottom w:w="80" w:type="dxa"/>
              <w:right w:w="100" w:type="dxa"/>
            </w:tcMar>
            <w:vAlign w:val="center"/>
          </w:tcPr>
          <w:p w14:paraId="267F2689">
            <w:r>
              <w:rPr>
                <w:b/>
                <w:bCs/>
                <w:color w:val="FFFFFF"/>
                <w:sz w:val="20"/>
                <w:szCs w:val="20"/>
              </w:rPr>
              <w:t>How It Is Satisfied</w:t>
            </w:r>
          </w:p>
        </w:tc>
      </w:tr>
      <w:tr w14:paraId="42B2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18EDE13">
            <w:r>
              <w:rPr>
                <w:b w:val="0"/>
                <w:bCs w:val="0"/>
                <w:color w:val="000000"/>
                <w:sz w:val="20"/>
                <w:szCs w:val="20"/>
              </w:rPr>
              <w:t>Full load</w:t>
            </w:r>
          </w:p>
        </w:tc>
        <w:tc>
          <w:tcPr>
            <w:tcW w:w="7150" w:type="dxa"/>
            <w:tcMar>
              <w:top w:w="80" w:type="dxa"/>
              <w:left w:w="100" w:type="dxa"/>
              <w:bottom w:w="80" w:type="dxa"/>
              <w:right w:w="100" w:type="dxa"/>
            </w:tcMar>
            <w:vAlign w:val="center"/>
          </w:tcPr>
          <w:p w14:paraId="2386C5C9">
            <w:r>
              <w:rPr>
                <w:b w:val="0"/>
                <w:bCs w:val="0"/>
                <w:color w:val="000000"/>
                <w:sz w:val="20"/>
                <w:szCs w:val="20"/>
              </w:rPr>
              <w:t>generate_data_v2.py full — bulk-generates a historical baseline for filler users (default 450 days back). Each real persona's full load is always their actual export via sanitize_real_data.py, which spans that persona's full account history (currently 2021–2026) rather than being capped to the 450-day filler window — truncating it would discard exactly the multi-year signal that makes the real personas valuable for year-over-year "Wrapped" reporting.</w:t>
            </w:r>
          </w:p>
        </w:tc>
      </w:tr>
      <w:tr w14:paraId="157A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00945EEB">
            <w:r>
              <w:rPr>
                <w:b w:val="0"/>
                <w:bCs w:val="0"/>
                <w:color w:val="000000"/>
                <w:sz w:val="20"/>
                <w:szCs w:val="20"/>
              </w:rPr>
              <w:t>Incremental load</w:t>
            </w:r>
          </w:p>
        </w:tc>
        <w:tc>
          <w:tcPr>
            <w:tcW w:w="7150" w:type="dxa"/>
            <w:shd w:val="clear" w:color="auto" w:fill="F2F2F2"/>
            <w:tcMar>
              <w:top w:w="80" w:type="dxa"/>
              <w:left w:w="100" w:type="dxa"/>
              <w:bottom w:w="80" w:type="dxa"/>
              <w:right w:w="100" w:type="dxa"/>
            </w:tcMar>
            <w:vAlign w:val="center"/>
          </w:tcPr>
          <w:p w14:paraId="0E075D39">
            <w:r>
              <w:rPr>
                <w:b w:val="0"/>
                <w:bCs w:val="0"/>
                <w:color w:val="000000"/>
                <w:sz w:val="20"/>
                <w:szCs w:val="20"/>
              </w:rPr>
              <w:t>generate_data_v2.py incremental [--date] generates one day's partition (synthetic, or persona-matched synthetic for personas without live API access). fetch_recently_played.py pulls new plays for onboarded real accounts via OAuth.</w:t>
            </w:r>
          </w:p>
        </w:tc>
      </w:tr>
    </w:tbl>
    <w:p w14:paraId="2C7CE3BD">
      <w:pPr>
        <w:spacing w:after="160" w:line="276" w:lineRule="auto"/>
      </w:pPr>
      <w:r>
        <w:rPr>
          <w:sz w:val="22"/>
          <w:szCs w:val="22"/>
        </w:rPr>
        <w:t>Every real persona therefore has a defined incremental strategy regardless of whether they are onboarded to the live API: full load is always real (from their export, unbounded by the filler window); incremental load is real (live API) where onboarded, otherwise synthetic but behaviorally calibrated to that persona's derived profile (favorite_genres, intensity, skip_rate) — tagged data_source = synthetic_persona_matched so it is distinguishable from both genuine live pulls and pure filler-user synthetic data.</w:t>
      </w:r>
    </w:p>
    <w:p w14:paraId="465476AA">
      <w:pPr>
        <w:spacing w:after="160" w:line="276" w:lineRule="auto"/>
      </w:pPr>
      <w:r>
        <w:rPr>
          <w:sz w:val="22"/>
          <w:szCs w:val="22"/>
        </w:rPr>
        <w:t xml:space="preserve">The total simulated user population is fixed at 50 (TOTAL_USERS = 50), split between real, persona-calibrated users (currently </w:t>
      </w:r>
      <w:r>
        <w:rPr>
          <w:rFonts w:hint="default"/>
          <w:sz w:val="22"/>
          <w:szCs w:val="22"/>
          <w:lang w:val="en-US"/>
        </w:rPr>
        <w:t>5</w:t>
      </w:r>
      <w:r>
        <w:rPr>
          <w:sz w:val="22"/>
          <w:szCs w:val="22"/>
        </w:rPr>
        <w:t>) and synthetic filler users, with the filler count always derived as TOTAL_USERS − len(PERSONAS) rather than hardcoded, so onboarding additional real personas doesn't silently shrink the overall population.</w:t>
      </w:r>
    </w:p>
    <w:p w14:paraId="26C4F68B">
      <w:pPr>
        <w:pStyle w:val="2"/>
        <w:pBdr>
          <w:bottom w:val="single" w:color="1F3864" w:sz="8" w:space="4"/>
        </w:pBdr>
        <w:spacing w:before="360" w:after="160"/>
      </w:pPr>
      <w:r>
        <w:rPr>
          <w:b/>
          <w:bCs/>
          <w:color w:val="1F3864"/>
          <w:sz w:val="30"/>
          <w:szCs w:val="30"/>
        </w:rPr>
        <w:t>2. Data Samples &amp; Volume</w:t>
      </w:r>
    </w:p>
    <w:p w14:paraId="19781DB0">
      <w:pPr>
        <w:pStyle w:val="3"/>
        <w:spacing w:before="280" w:after="120"/>
      </w:pPr>
      <w:r>
        <w:rPr>
          <w:b/>
          <w:bCs/>
          <w:color w:val="2E74B5"/>
          <w:sz w:val="25"/>
          <w:szCs w:val="25"/>
        </w:rPr>
        <w:t>2.1 Sample Files</w:t>
      </w:r>
    </w:p>
    <w:p w14:paraId="6078716B">
      <w:pPr>
        <w:spacing w:after="160" w:line="276" w:lineRule="auto"/>
      </w:pPr>
      <w:r>
        <w:rPr>
          <w:sz w:val="22"/>
          <w:szCs w:val="22"/>
        </w:rPr>
        <w:t>The repository includes representative raw sample files for both load types, in the events.json landing format (output/raw/dt=YYYY-MM-DD/events.json):</w:t>
      </w:r>
    </w:p>
    <w:p w14:paraId="1FCBD83A">
      <w:pPr>
        <w:pStyle w:val="16"/>
        <w:numPr>
          <w:ilvl w:val="0"/>
          <w:numId w:val="1"/>
        </w:numPr>
        <w:spacing w:after="80" w:line="276" w:lineRule="auto"/>
      </w:pPr>
      <w:r>
        <w:rPr>
          <w:sz w:val="22"/>
          <w:szCs w:val="22"/>
        </w:rPr>
        <w:t>Full-load sample: one dt= partition drawn from a generate_data_v2.py full run, plus one sanitized real-persona export partition.</w:t>
      </w:r>
    </w:p>
    <w:p w14:paraId="6C32481B">
      <w:pPr>
        <w:pStyle w:val="16"/>
        <w:numPr>
          <w:ilvl w:val="0"/>
          <w:numId w:val="1"/>
        </w:numPr>
        <w:spacing w:after="80" w:line="276" w:lineRule="auto"/>
      </w:pPr>
      <w:r>
        <w:rPr>
          <w:sz w:val="22"/>
          <w:szCs w:val="22"/>
        </w:rPr>
        <w:t>Incremental-load sample: one dt= partition from a generate_data_v2.py incremental run and, separately, one live pull from fetch_recently_played.py for an onboarded persona.</w:t>
      </w:r>
    </w:p>
    <w:p w14:paraId="7A168F36">
      <w:pPr>
        <w:pStyle w:val="3"/>
        <w:spacing w:before="280" w:after="120"/>
      </w:pPr>
      <w:r>
        <w:rPr>
          <w:b/>
          <w:bCs/>
          <w:color w:val="2E74B5"/>
          <w:sz w:val="25"/>
          <w:szCs w:val="25"/>
        </w:rPr>
        <w:t>2.2 Volume &amp; Frequency Estimation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00"/>
        <w:gridCol w:w="3750"/>
      </w:tblGrid>
      <w:tr w14:paraId="213C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3864"/>
            <w:tcMar>
              <w:top w:w="80" w:type="dxa"/>
              <w:left w:w="100" w:type="dxa"/>
              <w:bottom w:w="80" w:type="dxa"/>
              <w:right w:w="100" w:type="dxa"/>
            </w:tcMar>
            <w:vAlign w:val="center"/>
          </w:tcPr>
          <w:p w14:paraId="66DEC58A">
            <w:r>
              <w:rPr>
                <w:b/>
                <w:bCs/>
                <w:color w:val="FFFFFF"/>
                <w:sz w:val="20"/>
                <w:szCs w:val="20"/>
              </w:rPr>
              <w:t>Metric</w:t>
            </w:r>
          </w:p>
        </w:tc>
        <w:tc>
          <w:tcPr>
            <w:tcW w:w="3300" w:type="dxa"/>
            <w:shd w:val="clear" w:color="auto" w:fill="1F3864"/>
            <w:tcMar>
              <w:top w:w="80" w:type="dxa"/>
              <w:left w:w="100" w:type="dxa"/>
              <w:bottom w:w="80" w:type="dxa"/>
              <w:right w:w="100" w:type="dxa"/>
            </w:tcMar>
            <w:vAlign w:val="center"/>
          </w:tcPr>
          <w:p w14:paraId="64149A37">
            <w:r>
              <w:rPr>
                <w:b/>
                <w:bCs/>
                <w:color w:val="FFFFFF"/>
                <w:sz w:val="20"/>
                <w:szCs w:val="20"/>
              </w:rPr>
              <w:t>Estimate</w:t>
            </w:r>
          </w:p>
        </w:tc>
        <w:tc>
          <w:tcPr>
            <w:tcW w:w="3750" w:type="dxa"/>
            <w:shd w:val="clear" w:color="auto" w:fill="1F3864"/>
            <w:tcMar>
              <w:top w:w="80" w:type="dxa"/>
              <w:left w:w="100" w:type="dxa"/>
              <w:bottom w:w="80" w:type="dxa"/>
              <w:right w:w="100" w:type="dxa"/>
            </w:tcMar>
            <w:vAlign w:val="center"/>
          </w:tcPr>
          <w:p w14:paraId="660A042E">
            <w:r>
              <w:rPr>
                <w:b/>
                <w:bCs/>
                <w:color w:val="FFFFFF"/>
                <w:sz w:val="20"/>
                <w:szCs w:val="20"/>
              </w:rPr>
              <w:t>Basis</w:t>
            </w:r>
          </w:p>
        </w:tc>
      </w:tr>
      <w:tr w14:paraId="4CC2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7BEABF40">
            <w:r>
              <w:rPr>
                <w:b w:val="0"/>
                <w:bCs w:val="0"/>
                <w:color w:val="000000"/>
                <w:sz w:val="20"/>
                <w:szCs w:val="20"/>
              </w:rPr>
              <w:t>Full-load window (filler users)</w:t>
            </w:r>
          </w:p>
        </w:tc>
        <w:tc>
          <w:tcPr>
            <w:tcW w:w="3300" w:type="dxa"/>
            <w:tcMar>
              <w:top w:w="80" w:type="dxa"/>
              <w:left w:w="100" w:type="dxa"/>
              <w:bottom w:w="80" w:type="dxa"/>
              <w:right w:w="100" w:type="dxa"/>
            </w:tcMar>
            <w:vAlign w:val="center"/>
          </w:tcPr>
          <w:p w14:paraId="12BB6BB1">
            <w:r>
              <w:rPr>
                <w:b w:val="0"/>
                <w:bCs w:val="0"/>
                <w:color w:val="000000"/>
                <w:sz w:val="20"/>
                <w:szCs w:val="20"/>
              </w:rPr>
              <w:t>450 days of history for synthetic filler users</w:t>
            </w:r>
          </w:p>
        </w:tc>
        <w:tc>
          <w:tcPr>
            <w:tcW w:w="3750" w:type="dxa"/>
            <w:tcMar>
              <w:top w:w="80" w:type="dxa"/>
              <w:left w:w="100" w:type="dxa"/>
              <w:bottom w:w="80" w:type="dxa"/>
              <w:right w:w="100" w:type="dxa"/>
            </w:tcMar>
            <w:vAlign w:val="center"/>
          </w:tcPr>
          <w:p w14:paraId="7D2D0D7B">
            <w:r>
              <w:rPr>
                <w:b w:val="0"/>
                <w:bCs w:val="0"/>
                <w:color w:val="000000"/>
                <w:sz w:val="20"/>
                <w:szCs w:val="20"/>
              </w:rPr>
              <w:t>Default backfill window in generate_data_v2.py full. Real personas are not subject to this cap.</w:t>
            </w:r>
          </w:p>
        </w:tc>
      </w:tr>
      <w:tr w14:paraId="4D9B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2F2"/>
            <w:tcMar>
              <w:top w:w="80" w:type="dxa"/>
              <w:left w:w="100" w:type="dxa"/>
              <w:bottom w:w="80" w:type="dxa"/>
              <w:right w:w="100" w:type="dxa"/>
            </w:tcMar>
            <w:vAlign w:val="center"/>
          </w:tcPr>
          <w:p w14:paraId="25B1F230">
            <w:r>
              <w:rPr>
                <w:b w:val="0"/>
                <w:bCs w:val="0"/>
                <w:color w:val="000000"/>
                <w:sz w:val="20"/>
                <w:szCs w:val="20"/>
              </w:rPr>
              <w:t>Full-load window (real personas)</w:t>
            </w:r>
          </w:p>
        </w:tc>
        <w:tc>
          <w:tcPr>
            <w:tcW w:w="3300" w:type="dxa"/>
            <w:shd w:val="clear" w:color="auto" w:fill="F2F2F2"/>
            <w:tcMar>
              <w:top w:w="80" w:type="dxa"/>
              <w:left w:w="100" w:type="dxa"/>
              <w:bottom w:w="80" w:type="dxa"/>
              <w:right w:w="100" w:type="dxa"/>
            </w:tcMar>
            <w:vAlign w:val="center"/>
          </w:tcPr>
          <w:p w14:paraId="18A34409">
            <w:r>
              <w:rPr>
                <w:b w:val="0"/>
                <w:bCs w:val="0"/>
                <w:color w:val="000000"/>
                <w:sz w:val="20"/>
                <w:szCs w:val="20"/>
              </w:rPr>
              <w:t>Full account history (currently ~2021–2026, ~1,800+ days)</w:t>
            </w:r>
          </w:p>
        </w:tc>
        <w:tc>
          <w:tcPr>
            <w:tcW w:w="3750" w:type="dxa"/>
            <w:shd w:val="clear" w:color="auto" w:fill="F2F2F2"/>
            <w:tcMar>
              <w:top w:w="80" w:type="dxa"/>
              <w:left w:w="100" w:type="dxa"/>
              <w:bottom w:w="80" w:type="dxa"/>
              <w:right w:w="100" w:type="dxa"/>
            </w:tcMar>
            <w:vAlign w:val="center"/>
          </w:tcPr>
          <w:p w14:paraId="669BF2EB">
            <w:r>
              <w:rPr>
                <w:b w:val="0"/>
                <w:bCs w:val="0"/>
                <w:color w:val="000000"/>
                <w:sz w:val="20"/>
                <w:szCs w:val="20"/>
              </w:rPr>
              <w:t>Real Extended Streaming History export per persona; kept in full since the incremental storage cost of a handful of multi-year users is negligible at this scale.</w:t>
            </w:r>
          </w:p>
        </w:tc>
      </w:tr>
      <w:tr w14:paraId="7771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2496FCCF">
            <w:r>
              <w:rPr>
                <w:b w:val="0"/>
                <w:bCs w:val="0"/>
                <w:color w:val="000000"/>
                <w:sz w:val="20"/>
                <w:szCs w:val="20"/>
              </w:rPr>
              <w:t>Real listener intensity</w:t>
            </w:r>
          </w:p>
        </w:tc>
        <w:tc>
          <w:tcPr>
            <w:tcW w:w="3300" w:type="dxa"/>
            <w:tcMar>
              <w:top w:w="80" w:type="dxa"/>
              <w:left w:w="100" w:type="dxa"/>
              <w:bottom w:w="80" w:type="dxa"/>
              <w:right w:w="100" w:type="dxa"/>
            </w:tcMar>
            <w:vAlign w:val="center"/>
          </w:tcPr>
          <w:p w14:paraId="33A3DD1D">
            <w:r>
              <w:rPr>
                <w:b w:val="0"/>
                <w:bCs w:val="0"/>
                <w:color w:val="000000"/>
                <w:sz w:val="20"/>
                <w:szCs w:val="20"/>
              </w:rPr>
              <w:t>57–68 events per active day (measured)</w:t>
            </w:r>
          </w:p>
        </w:tc>
        <w:tc>
          <w:tcPr>
            <w:tcW w:w="3750" w:type="dxa"/>
            <w:tcMar>
              <w:top w:w="80" w:type="dxa"/>
              <w:left w:w="100" w:type="dxa"/>
              <w:bottom w:w="80" w:type="dxa"/>
              <w:right w:w="100" w:type="dxa"/>
            </w:tcMar>
            <w:vAlign w:val="center"/>
          </w:tcPr>
          <w:p w14:paraId="41954A84">
            <w:r>
              <w:rPr>
                <w:b w:val="0"/>
                <w:bCs w:val="0"/>
                <w:color w:val="000000"/>
                <w:sz w:val="20"/>
                <w:szCs w:val="20"/>
              </w:rPr>
              <w:t>Derived from 3 analyzed real Extended Streaming History exports.</w:t>
            </w:r>
          </w:p>
        </w:tc>
      </w:tr>
      <w:tr w14:paraId="47A8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2F2"/>
            <w:tcMar>
              <w:top w:w="80" w:type="dxa"/>
              <w:left w:w="100" w:type="dxa"/>
              <w:bottom w:w="80" w:type="dxa"/>
              <w:right w:w="100" w:type="dxa"/>
            </w:tcMar>
            <w:vAlign w:val="center"/>
          </w:tcPr>
          <w:p w14:paraId="7C188BC3">
            <w:r>
              <w:rPr>
                <w:b w:val="0"/>
                <w:bCs w:val="0"/>
                <w:color w:val="000000"/>
                <w:sz w:val="20"/>
                <w:szCs w:val="20"/>
              </w:rPr>
              <w:t>Synthetic persona intensity</w:t>
            </w:r>
          </w:p>
        </w:tc>
        <w:tc>
          <w:tcPr>
            <w:tcW w:w="3300" w:type="dxa"/>
            <w:shd w:val="clear" w:color="auto" w:fill="F2F2F2"/>
            <w:tcMar>
              <w:top w:w="80" w:type="dxa"/>
              <w:left w:w="100" w:type="dxa"/>
              <w:bottom w:w="80" w:type="dxa"/>
              <w:right w:w="100" w:type="dxa"/>
            </w:tcMar>
            <w:vAlign w:val="center"/>
          </w:tcPr>
          <w:p w14:paraId="76ECA806">
            <w:r>
              <w:rPr>
                <w:b w:val="0"/>
                <w:bCs w:val="0"/>
                <w:color w:val="000000"/>
                <w:sz w:val="20"/>
                <w:szCs w:val="20"/>
              </w:rPr>
              <w:t>40–45 events per active day (scaled down from real)</w:t>
            </w:r>
          </w:p>
        </w:tc>
        <w:tc>
          <w:tcPr>
            <w:tcW w:w="3750" w:type="dxa"/>
            <w:shd w:val="clear" w:color="auto" w:fill="F2F2F2"/>
            <w:tcMar>
              <w:top w:w="80" w:type="dxa"/>
              <w:left w:w="100" w:type="dxa"/>
              <w:bottom w:w="80" w:type="dxa"/>
              <w:right w:w="100" w:type="dxa"/>
            </w:tcMar>
            <w:vAlign w:val="center"/>
          </w:tcPr>
          <w:p w14:paraId="325C5C15">
            <w:r>
              <w:rPr>
                <w:b w:val="0"/>
                <w:bCs w:val="0"/>
                <w:color w:val="000000"/>
                <w:sz w:val="20"/>
                <w:szCs w:val="20"/>
              </w:rPr>
              <w:t>Deliberate scale-down from the literal real average, for demo legibility; sampled within the persona's assigned behavioral cluster (</w:t>
            </w:r>
            <w:r>
              <w:rPr>
                <w:b w:val="0"/>
                <w:bCs w:val="0"/>
                <w:color w:val="000000"/>
                <w:sz w:val="20"/>
                <w:szCs w:val="20"/>
                <w:lang w:val="en-US"/>
              </w:rPr>
              <w:t xml:space="preserve"> </w:t>
            </w:r>
            <w:r>
              <w:rPr>
                <w:b w:val="0"/>
                <w:bCs w:val="0"/>
                <w:color w:val="000000"/>
                <w:sz w:val="20"/>
                <w:szCs w:val="20"/>
              </w:rPr>
              <w:t>5.2).</w:t>
            </w:r>
          </w:p>
        </w:tc>
      </w:tr>
      <w:tr w14:paraId="3BDA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740C5293">
            <w:r>
              <w:rPr>
                <w:b w:val="0"/>
                <w:bCs w:val="0"/>
                <w:color w:val="000000"/>
                <w:sz w:val="20"/>
                <w:szCs w:val="20"/>
              </w:rPr>
              <w:t>Filler population intensity</w:t>
            </w:r>
          </w:p>
        </w:tc>
        <w:tc>
          <w:tcPr>
            <w:tcW w:w="3300" w:type="dxa"/>
            <w:tcMar>
              <w:top w:w="80" w:type="dxa"/>
              <w:left w:w="100" w:type="dxa"/>
              <w:bottom w:w="80" w:type="dxa"/>
              <w:right w:w="100" w:type="dxa"/>
            </w:tcMar>
            <w:vAlign w:val="center"/>
          </w:tcPr>
          <w:p w14:paraId="2CCCB64C">
            <w:r>
              <w:rPr>
                <w:b w:val="0"/>
                <w:bCs w:val="0"/>
                <w:color w:val="000000"/>
                <w:sz w:val="20"/>
                <w:szCs w:val="20"/>
              </w:rPr>
              <w:t>Cluster-based (~15% Power Free Candidate / ~55% Casual Free / ~30% Power Premium); blended average ~15–19 events/day</w:t>
            </w:r>
          </w:p>
        </w:tc>
        <w:tc>
          <w:tcPr>
            <w:tcW w:w="3750" w:type="dxa"/>
            <w:tcMar>
              <w:top w:w="80" w:type="dxa"/>
              <w:left w:w="100" w:type="dxa"/>
              <w:bottom w:w="80" w:type="dxa"/>
              <w:right w:w="100" w:type="dxa"/>
            </w:tcMar>
            <w:vAlign w:val="center"/>
          </w:tcPr>
          <w:p w14:paraId="508C0515">
            <w:r>
              <w:rPr>
                <w:b w:val="0"/>
                <w:bCs w:val="0"/>
                <w:color w:val="000000"/>
                <w:sz w:val="20"/>
                <w:szCs w:val="20"/>
              </w:rPr>
              <w:t>Every filler user assigned to one of the same three behavioral clusters used for real personas, with intensity, skip_rate, repeat_ratio, and device mix sampled within that cluster.</w:t>
            </w:r>
          </w:p>
        </w:tc>
      </w:tr>
      <w:tr w14:paraId="57A8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2F2"/>
            <w:tcMar>
              <w:top w:w="80" w:type="dxa"/>
              <w:left w:w="100" w:type="dxa"/>
              <w:bottom w:w="80" w:type="dxa"/>
              <w:right w:w="100" w:type="dxa"/>
            </w:tcMar>
            <w:vAlign w:val="center"/>
          </w:tcPr>
          <w:p w14:paraId="4A2BBA83">
            <w:r>
              <w:rPr>
                <w:b w:val="0"/>
                <w:bCs w:val="0"/>
                <w:color w:val="000000"/>
                <w:sz w:val="20"/>
                <w:szCs w:val="20"/>
              </w:rPr>
              <w:t>Total user population</w:t>
            </w:r>
          </w:p>
        </w:tc>
        <w:tc>
          <w:tcPr>
            <w:tcW w:w="3300" w:type="dxa"/>
            <w:shd w:val="clear" w:color="auto" w:fill="F2F2F2"/>
            <w:tcMar>
              <w:top w:w="80" w:type="dxa"/>
              <w:left w:w="100" w:type="dxa"/>
              <w:bottom w:w="80" w:type="dxa"/>
              <w:right w:w="100" w:type="dxa"/>
            </w:tcMar>
            <w:vAlign w:val="center"/>
          </w:tcPr>
          <w:p w14:paraId="1F7CAC92">
            <w:r>
              <w:rPr>
                <w:b w:val="0"/>
                <w:bCs w:val="0"/>
                <w:color w:val="000000"/>
                <w:sz w:val="20"/>
                <w:szCs w:val="20"/>
              </w:rPr>
              <w:t>50 (TOTAL_USERS = 50): 3–7 real, persona-calibrated users + 43–47 cluster-based synthetic filler users</w:t>
            </w:r>
          </w:p>
        </w:tc>
        <w:tc>
          <w:tcPr>
            <w:tcW w:w="3750" w:type="dxa"/>
            <w:shd w:val="clear" w:color="auto" w:fill="F2F2F2"/>
            <w:tcMar>
              <w:top w:w="80" w:type="dxa"/>
              <w:left w:w="100" w:type="dxa"/>
              <w:bottom w:w="80" w:type="dxa"/>
              <w:right w:w="100" w:type="dxa"/>
            </w:tcMar>
            <w:vAlign w:val="center"/>
          </w:tcPr>
          <w:p w14:paraId="12AD20B5">
            <w:r>
              <w:rPr>
                <w:b w:val="0"/>
                <w:bCs w:val="0"/>
                <w:color w:val="000000"/>
                <w:sz w:val="20"/>
                <w:szCs w:val="20"/>
              </w:rPr>
              <w:t>Sized for a data volume that reads as a genuine lakehouse-scale dataset in Power BI/Tableau without materially affecting Spark runtime on Databricks Free/Community Edition.</w:t>
            </w:r>
          </w:p>
        </w:tc>
      </w:tr>
      <w:tr w14:paraId="51D9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6AB7FFC4">
            <w:r>
              <w:rPr>
                <w:b w:val="0"/>
                <w:bCs w:val="0"/>
                <w:color w:val="000000"/>
                <w:sz w:val="20"/>
                <w:szCs w:val="20"/>
              </w:rPr>
              <w:t>Estimated full-load size</w:t>
            </w:r>
          </w:p>
        </w:tc>
        <w:tc>
          <w:tcPr>
            <w:tcW w:w="3300" w:type="dxa"/>
            <w:tcMar>
              <w:top w:w="80" w:type="dxa"/>
              <w:left w:w="100" w:type="dxa"/>
              <w:bottom w:w="80" w:type="dxa"/>
              <w:right w:w="100" w:type="dxa"/>
            </w:tcMar>
            <w:vAlign w:val="center"/>
          </w:tcPr>
          <w:p w14:paraId="32DE176B">
            <w:r>
              <w:rPr>
                <w:b w:val="0"/>
                <w:bCs w:val="0"/>
                <w:color w:val="000000"/>
                <w:sz w:val="20"/>
                <w:szCs w:val="20"/>
              </w:rPr>
              <w:t>~635,000–915,000 events total; ~150–215 MB landing JSON; ~33–47 MB compressed Delta/Parquet</w:t>
            </w:r>
          </w:p>
        </w:tc>
        <w:tc>
          <w:tcPr>
            <w:tcW w:w="3750" w:type="dxa"/>
            <w:tcMar>
              <w:top w:w="80" w:type="dxa"/>
              <w:left w:w="100" w:type="dxa"/>
              <w:bottom w:w="80" w:type="dxa"/>
              <w:right w:w="100" w:type="dxa"/>
            </w:tcMar>
            <w:vAlign w:val="center"/>
          </w:tcPr>
          <w:p w14:paraId="5AD1898E">
            <w:r>
              <w:rPr>
                <w:b w:val="0"/>
                <w:bCs w:val="0"/>
                <w:color w:val="000000"/>
                <w:sz w:val="20"/>
                <w:szCs w:val="20"/>
              </w:rPr>
              <w:t>Real personas contribute disproportionately more events per user than filler users; range reflects 3 vs. 7 onboarded personas. To be confirmed via du -sh output/raw before submission.</w:t>
            </w:r>
          </w:p>
        </w:tc>
      </w:tr>
      <w:tr w14:paraId="7FEB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2F2"/>
            <w:tcMar>
              <w:top w:w="80" w:type="dxa"/>
              <w:left w:w="100" w:type="dxa"/>
              <w:bottom w:w="80" w:type="dxa"/>
              <w:right w:w="100" w:type="dxa"/>
            </w:tcMar>
            <w:vAlign w:val="center"/>
          </w:tcPr>
          <w:p w14:paraId="633CF329">
            <w:r>
              <w:rPr>
                <w:b w:val="0"/>
                <w:bCs w:val="0"/>
                <w:color w:val="000000"/>
                <w:sz w:val="20"/>
                <w:szCs w:val="20"/>
              </w:rPr>
              <w:t>Estimated daily incremental size</w:t>
            </w:r>
          </w:p>
        </w:tc>
        <w:tc>
          <w:tcPr>
            <w:tcW w:w="3300" w:type="dxa"/>
            <w:shd w:val="clear" w:color="auto" w:fill="F2F2F2"/>
            <w:tcMar>
              <w:top w:w="80" w:type="dxa"/>
              <w:left w:w="100" w:type="dxa"/>
              <w:bottom w:w="80" w:type="dxa"/>
              <w:right w:w="100" w:type="dxa"/>
            </w:tcMar>
            <w:vAlign w:val="center"/>
          </w:tcPr>
          <w:p w14:paraId="2D944C2B">
            <w:r>
              <w:rPr>
                <w:b w:val="0"/>
                <w:bCs w:val="0"/>
                <w:color w:val="000000"/>
                <w:sz w:val="20"/>
                <w:szCs w:val="20"/>
              </w:rPr>
              <w:t>~900–1,150 events/day (~</w:t>
            </w:r>
            <w:r>
              <w:rPr>
                <w:rFonts w:hint="default"/>
                <w:b w:val="0"/>
                <w:bCs w:val="0"/>
                <w:color w:val="000000"/>
                <w:sz w:val="20"/>
                <w:szCs w:val="20"/>
                <w:lang w:val="en-US"/>
              </w:rPr>
              <w:t>0.5</w:t>
            </w:r>
            <w:r>
              <w:rPr>
                <w:b w:val="0"/>
                <w:bCs w:val="0"/>
                <w:color w:val="000000"/>
                <w:sz w:val="20"/>
                <w:szCs w:val="20"/>
              </w:rPr>
              <w:t>–2 MB landing JSON partition)</w:t>
            </w:r>
          </w:p>
        </w:tc>
        <w:tc>
          <w:tcPr>
            <w:tcW w:w="3750" w:type="dxa"/>
            <w:shd w:val="clear" w:color="auto" w:fill="F2F2F2"/>
            <w:tcMar>
              <w:top w:w="80" w:type="dxa"/>
              <w:left w:w="100" w:type="dxa"/>
              <w:bottom w:w="80" w:type="dxa"/>
              <w:right w:w="100" w:type="dxa"/>
            </w:tcMar>
            <w:vAlign w:val="center"/>
          </w:tcPr>
          <w:p w14:paraId="79453031">
            <w:r>
              <w:rPr>
                <w:b w:val="0"/>
                <w:bCs w:val="0"/>
                <w:color w:val="000000"/>
                <w:sz w:val="20"/>
                <w:szCs w:val="20"/>
              </w:rPr>
              <w:t>Sum of each active user's daily intensity across the 50-user population; to be confirmed by measuring a single dt= partition.</w:t>
            </w:r>
          </w:p>
        </w:tc>
      </w:tr>
      <w:tr w14:paraId="34D2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0F39BCDE">
            <w:r>
              <w:rPr>
                <w:b w:val="0"/>
                <w:bCs w:val="0"/>
                <w:color w:val="000000"/>
                <w:sz w:val="20"/>
                <w:szCs w:val="20"/>
              </w:rPr>
              <w:t>Estimated weekly incremental size</w:t>
            </w:r>
          </w:p>
        </w:tc>
        <w:tc>
          <w:tcPr>
            <w:tcW w:w="3300" w:type="dxa"/>
            <w:tcMar>
              <w:top w:w="80" w:type="dxa"/>
              <w:left w:w="100" w:type="dxa"/>
              <w:bottom w:w="80" w:type="dxa"/>
              <w:right w:w="100" w:type="dxa"/>
            </w:tcMar>
            <w:vAlign w:val="center"/>
          </w:tcPr>
          <w:p w14:paraId="5C74A260">
            <w:r>
              <w:rPr>
                <w:b w:val="0"/>
                <w:bCs w:val="0"/>
                <w:color w:val="000000"/>
                <w:sz w:val="20"/>
                <w:szCs w:val="20"/>
              </w:rPr>
              <w:t>~6,300–8,000 events/week (~</w:t>
            </w:r>
            <w:r>
              <w:rPr>
                <w:rFonts w:hint="default"/>
                <w:b w:val="0"/>
                <w:bCs w:val="0"/>
                <w:color w:val="000000"/>
                <w:sz w:val="20"/>
                <w:szCs w:val="20"/>
                <w:lang w:val="en-US"/>
              </w:rPr>
              <w:t>5</w:t>
            </w:r>
            <w:bookmarkStart w:id="0" w:name="_GoBack"/>
            <w:bookmarkEnd w:id="0"/>
            <w:r>
              <w:rPr>
                <w:b w:val="0"/>
                <w:bCs w:val="0"/>
                <w:color w:val="000000"/>
                <w:sz w:val="20"/>
                <w:szCs w:val="20"/>
              </w:rPr>
              <w:t>–14 MB landing JSON)</w:t>
            </w:r>
          </w:p>
        </w:tc>
        <w:tc>
          <w:tcPr>
            <w:tcW w:w="3750" w:type="dxa"/>
            <w:tcMar>
              <w:top w:w="80" w:type="dxa"/>
              <w:left w:w="100" w:type="dxa"/>
              <w:bottom w:w="80" w:type="dxa"/>
              <w:right w:w="100" w:type="dxa"/>
            </w:tcMar>
            <w:vAlign w:val="center"/>
          </w:tcPr>
          <w:p w14:paraId="45351A80">
            <w:r>
              <w:rPr>
                <w:b w:val="0"/>
                <w:bCs w:val="0"/>
                <w:color w:val="000000"/>
                <w:sz w:val="20"/>
                <w:szCs w:val="20"/>
              </w:rPr>
              <w:t>Daily size × 7, for scheduling and free-tier storage planning.</w:t>
            </w:r>
          </w:p>
        </w:tc>
      </w:tr>
    </w:tbl>
    <w:p w14:paraId="1F3A5EFB">
      <w:pPr>
        <w:spacing w:after="160" w:line="276" w:lineRule="auto"/>
      </w:pPr>
      <w:r>
        <w:rPr>
          <w:sz w:val="22"/>
          <w:szCs w:val="22"/>
        </w:rPr>
        <w:t>These figures should comfortably fit within Databricks Free Edition / Community Edition storage limits given the capped filler-user window, the small number of full-history real personas, and the deliberately scaled-down persona intensities; exact figures are confirmed once the full-load run is measured and entered above.</w:t>
      </w:r>
    </w:p>
    <w:p w14:paraId="53D7E97D">
      <w:pPr>
        <w:pStyle w:val="2"/>
        <w:pBdr>
          <w:bottom w:val="single" w:color="1F3864" w:sz="8" w:space="4"/>
        </w:pBdr>
        <w:spacing w:before="360" w:after="160"/>
      </w:pPr>
      <w:r>
        <w:rPr>
          <w:b/>
          <w:bCs/>
          <w:color w:val="1F3864"/>
          <w:sz w:val="30"/>
          <w:szCs w:val="30"/>
        </w:rPr>
        <w:t>3. Security &amp; Compliance</w:t>
      </w:r>
    </w:p>
    <w:p w14:paraId="70AEC3BE">
      <w:pPr>
        <w:pStyle w:val="3"/>
        <w:spacing w:before="280" w:after="120"/>
      </w:pPr>
      <w:r>
        <w:rPr>
          <w:b/>
          <w:bCs/>
          <w:color w:val="2E74B5"/>
          <w:sz w:val="25"/>
          <w:szCs w:val="25"/>
        </w:rPr>
        <w:t>3.1 Identified PII and Sensitive Data</w:t>
      </w:r>
    </w:p>
    <w:p w14:paraId="0C651014">
      <w:pPr>
        <w:spacing w:after="160" w:line="276" w:lineRule="auto"/>
      </w:pPr>
      <w:r>
        <w:rPr>
          <w:sz w:val="22"/>
          <w:szCs w:val="22"/>
        </w:rPr>
        <w:t>The raw Spotify Extended Streaming History exports do contain PII. Specifically:</w:t>
      </w:r>
    </w:p>
    <w:p w14:paraId="60B4EC40">
      <w:pPr>
        <w:pStyle w:val="16"/>
        <w:numPr>
          <w:ilvl w:val="0"/>
          <w:numId w:val="1"/>
        </w:numPr>
        <w:spacing w:after="80" w:line="276" w:lineRule="auto"/>
      </w:pPr>
      <w:r>
        <w:rPr>
          <w:sz w:val="22"/>
          <w:szCs w:val="22"/>
        </w:rPr>
        <w:t>IP addresses (ip_addr) recorded for every play event — the primary PII concern.</w:t>
      </w:r>
    </w:p>
    <w:p w14:paraId="00C3066A">
      <w:pPr>
        <w:pStyle w:val="16"/>
        <w:numPr>
          <w:ilvl w:val="0"/>
          <w:numId w:val="1"/>
        </w:numPr>
        <w:spacing w:after="80" w:line="276" w:lineRule="auto"/>
      </w:pPr>
      <w:r>
        <w:rPr>
          <w:sz w:val="22"/>
          <w:szCs w:val="22"/>
        </w:rPr>
        <w:t>Device/platform identifiers and connection country (conn_country), which are lower-sensitivity but still handled with care.</w:t>
      </w:r>
    </w:p>
    <w:p w14:paraId="77A67A6F">
      <w:pPr>
        <w:pStyle w:val="16"/>
        <w:numPr>
          <w:ilvl w:val="0"/>
          <w:numId w:val="1"/>
        </w:numPr>
        <w:spacing w:after="80" w:line="276" w:lineRule="auto"/>
      </w:pPr>
      <w:r>
        <w:rPr>
          <w:sz w:val="22"/>
          <w:szCs w:val="22"/>
        </w:rPr>
        <w:t>No exact names or email addresses are present in the streaming history export fields used by this pipeline (a username field, sometimes assumed present in older documentation, is not actually included).</w:t>
      </w:r>
    </w:p>
    <w:p w14:paraId="4567D573">
      <w:pPr>
        <w:spacing w:after="160" w:line="276" w:lineRule="auto"/>
      </w:pPr>
      <w:r>
        <w:rPr>
          <w:sz w:val="22"/>
          <w:szCs w:val="22"/>
        </w:rPr>
        <w:t>Synthetic data contains no PII by construction, since it is fully generated.</w:t>
      </w:r>
    </w:p>
    <w:p w14:paraId="565C2243">
      <w:pPr>
        <w:pStyle w:val="3"/>
        <w:spacing w:before="280" w:after="120"/>
      </w:pPr>
      <w:r>
        <w:rPr>
          <w:b/>
          <w:bCs/>
          <w:color w:val="2E74B5"/>
          <w:sz w:val="25"/>
          <w:szCs w:val="25"/>
        </w:rPr>
        <w:t>3.2 Handling Strategy</w:t>
      </w:r>
    </w:p>
    <w:p w14:paraId="061FFA22">
      <w:pPr>
        <w:spacing w:after="160" w:line="276" w:lineRule="auto"/>
      </w:pPr>
      <w:r>
        <w:rPr>
          <w:sz w:val="22"/>
          <w:szCs w:val="22"/>
        </w:rPr>
        <w:t>PII is removed before data ever reaches the landing zone or Bronze layer — not encrypted and carried forward, since the raw IP values have no downstream analytical use in this project:</w:t>
      </w:r>
    </w:p>
    <w:p w14:paraId="7AB292FF">
      <w:pPr>
        <w:pStyle w:val="16"/>
        <w:numPr>
          <w:ilvl w:val="0"/>
          <w:numId w:val="1"/>
        </w:numPr>
        <w:spacing w:after="80" w:line="276" w:lineRule="auto"/>
      </w:pPr>
      <w:r>
        <w:rPr>
          <w:sz w:val="22"/>
          <w:szCs w:val="22"/>
        </w:rPr>
        <w:t>ip_addr (and ip_addr_decrypted / user_agent_decrypted if present) are dropped by sanitize_real_data.py before any real event is written to a committed file or the landing zone.</w:t>
      </w:r>
    </w:p>
    <w:p w14:paraId="695EBBB3">
      <w:pPr>
        <w:pStyle w:val="16"/>
        <w:numPr>
          <w:ilvl w:val="0"/>
          <w:numId w:val="1"/>
        </w:numPr>
        <w:spacing w:after="80" w:line="276" w:lineRule="auto"/>
      </w:pPr>
      <w:r>
        <w:rPr>
          <w:sz w:val="22"/>
          <w:szCs w:val="22"/>
        </w:rPr>
        <w:t>Each real person is assigned a pseudonym (user_real_01, user_real_02, ...); real names are never stored in the codebase, commit messages, file names, or documentation. The name-to-pseudonym mapping lives only in a local, uncommitted note.</w:t>
      </w:r>
    </w:p>
    <w:p w14:paraId="31358FD4">
      <w:pPr>
        <w:pStyle w:val="16"/>
        <w:numPr>
          <w:ilvl w:val="0"/>
          <w:numId w:val="1"/>
        </w:numPr>
        <w:spacing w:after="80" w:line="276" w:lineRule="auto"/>
      </w:pPr>
      <w:r>
        <w:rPr>
          <w:sz w:val="22"/>
          <w:szCs w:val="22"/>
        </w:rPr>
        <w:t>Raw, unsanitized export files are never committed to version control, not even as samples.</w:t>
      </w:r>
    </w:p>
    <w:p w14:paraId="41ADBFCA">
      <w:pPr>
        <w:pStyle w:val="16"/>
        <w:numPr>
          <w:ilvl w:val="0"/>
          <w:numId w:val="1"/>
        </w:numPr>
        <w:spacing w:after="80" w:line="276" w:lineRule="auto"/>
      </w:pPr>
      <w:r>
        <w:rPr>
          <w:sz w:val="22"/>
          <w:szCs w:val="22"/>
        </w:rPr>
        <w:t>Synthetic data requires no sanitization but still flows through the same Silver-layer transformation path as real data, for consistency.</w:t>
      </w:r>
    </w:p>
    <w:p w14:paraId="09C93EA1">
      <w:pPr>
        <w:pStyle w:val="16"/>
        <w:numPr>
          <w:ilvl w:val="0"/>
          <w:numId w:val="1"/>
        </w:numPr>
        <w:spacing w:after="80" w:line="276" w:lineRule="auto"/>
      </w:pPr>
      <w:r>
        <w:rPr>
          <w:sz w:val="22"/>
          <w:szCs w:val="22"/>
        </w:rPr>
        <w:t>Right to be forgotten: if a real person withdraws consent, their pseudonym is removable from every layer (Bronze, Silver, quarantine, Gold) and from the landing files. Because a Delta DELETE is only a soft delete (old files remain reachable via time travel), physical removal uses REORG TABLE ... APPLY (PURGE) followed by VACUUM.</w:t>
      </w:r>
    </w:p>
    <w:p w14:paraId="473D2926">
      <w:pPr>
        <w:spacing w:after="160" w:line="276" w:lineRule="auto"/>
      </w:pPr>
      <w:r>
        <w:rPr>
          <w:i/>
          <w:iCs/>
          <w:sz w:val="22"/>
          <w:szCs w:val="22"/>
        </w:rPr>
        <w:t>This is a deliberate, documented deviation from the course's "classify/encrypt PII in Bronze" pattern: encryption would only be justified if the IP values had later analytical use, and they do not, so they are dropped pre-landing instead.</w:t>
      </w:r>
    </w:p>
    <w:p w14:paraId="40B5F644">
      <w:pPr>
        <w:pStyle w:val="2"/>
        <w:pBdr>
          <w:bottom w:val="single" w:color="1F3864" w:sz="8" w:space="4"/>
        </w:pBdr>
        <w:spacing w:before="360" w:after="160"/>
      </w:pPr>
      <w:r>
        <w:rPr>
          <w:b/>
          <w:bCs/>
          <w:color w:val="1F3864"/>
          <w:sz w:val="30"/>
          <w:szCs w:val="30"/>
        </w:rPr>
        <w:t>4. High-Level Medallion Data Modeling</w:t>
      </w:r>
    </w:p>
    <w:p w14:paraId="44AEBFD0">
      <w:pPr>
        <w:pStyle w:val="3"/>
        <w:spacing w:before="280" w:after="120"/>
      </w:pPr>
      <w:r>
        <w:rPr>
          <w:b/>
          <w:bCs/>
          <w:color w:val="2E74B5"/>
          <w:sz w:val="25"/>
          <w:szCs w:val="25"/>
        </w:rPr>
        <w:t>4.1 Bronze Layer</w:t>
      </w:r>
    </w:p>
    <w:p w14:paraId="7C1E9193">
      <w:pPr>
        <w:spacing w:after="160" w:line="276" w:lineRule="auto"/>
      </w:pPr>
      <w:r>
        <w:rPr>
          <w:sz w:val="22"/>
          <w:szCs w:val="22"/>
        </w:rPr>
        <w:t>Bronze stores each source's data in its original state as an immutable, append-only historical record — no cleaning, joins, or deduplication. Every delivery of every day partition is kept (historization), so a bad downstream load can always be recovered by reprocessing from Bronze.</w:t>
      </w:r>
    </w:p>
    <w:p w14:paraId="3DC4A2D4">
      <w:pPr>
        <w:pStyle w:val="16"/>
        <w:numPr>
          <w:ilvl w:val="0"/>
          <w:numId w:val="1"/>
        </w:numPr>
        <w:spacing w:after="80" w:line="276" w:lineRule="auto"/>
      </w:pPr>
      <w:r>
        <w:rPr>
          <w:sz w:val="22"/>
          <w:szCs w:val="22"/>
        </w:rPr>
        <w:t>Tables: bronze.events (append-only, partitioned by _partition_dt), bronze.users, bronze.catalog (dimension snapshots, appended).</w:t>
      </w:r>
    </w:p>
    <w:p w14:paraId="3A0D64CC">
      <w:pPr>
        <w:pStyle w:val="16"/>
        <w:numPr>
          <w:ilvl w:val="0"/>
          <w:numId w:val="1"/>
        </w:numPr>
        <w:spacing w:after="80" w:line="276" w:lineRule="auto"/>
      </w:pPr>
      <w:r>
        <w:rPr>
          <w:sz w:val="22"/>
          <w:szCs w:val="22"/>
        </w:rPr>
        <w:t>Metadata added on load: _ingested_at, _source_type (synthetic / synthetic_persona_matched / real / real_api), _source_file, _partition_dt, _batch_id.</w:t>
      </w:r>
    </w:p>
    <w:p w14:paraId="6869A1D0">
      <w:pPr>
        <w:pStyle w:val="16"/>
        <w:numPr>
          <w:ilvl w:val="0"/>
          <w:numId w:val="1"/>
        </w:numPr>
        <w:spacing w:after="80" w:line="276" w:lineRule="auto"/>
      </w:pPr>
      <w:r>
        <w:rPr>
          <w:sz w:val="22"/>
          <w:szCs w:val="22"/>
        </w:rPr>
        <w:t>Validation is file-level and intrusive for structural problems (checksum mismatch, unparseable JSON, row-count mismatch, missing required fields halt the run) and row-level and nonintrusive for data problems (handled downstream in Silver).</w:t>
      </w:r>
    </w:p>
    <w:p w14:paraId="65CF1AD1">
      <w:pPr>
        <w:pStyle w:val="3"/>
        <w:spacing w:before="280" w:after="120"/>
      </w:pPr>
      <w:r>
        <w:rPr>
          <w:b/>
          <w:bCs/>
          <w:color w:val="2E74B5"/>
          <w:sz w:val="25"/>
          <w:szCs w:val="25"/>
        </w:rPr>
        <w:t>4.2 Bronze → Silver: Cleaning, Formatting, and Casting</w:t>
      </w:r>
    </w:p>
    <w:p w14:paraId="7AFFAFB8">
      <w:pPr>
        <w:spacing w:after="160" w:line="276" w:lineRule="auto"/>
      </w:pPr>
      <w:r>
        <w:rPr>
          <w:sz w:val="22"/>
          <w:szCs w:val="22"/>
        </w:rPr>
        <w:t>Silver cleanses, standardizes, and lightly enriches while staying source-oriented (one Silver table per Bronze entity). Major steps: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0767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00" w:type="dxa"/>
              <w:bottom w:w="80" w:type="dxa"/>
              <w:right w:w="100" w:type="dxa"/>
            </w:tcMar>
            <w:vAlign w:val="center"/>
          </w:tcPr>
          <w:p w14:paraId="1B6023AE">
            <w:r>
              <w:rPr>
                <w:b/>
                <w:bCs/>
                <w:color w:val="FFFFFF"/>
                <w:sz w:val="20"/>
                <w:szCs w:val="20"/>
              </w:rPr>
              <w:t>Step</w:t>
            </w:r>
          </w:p>
        </w:tc>
        <w:tc>
          <w:tcPr>
            <w:tcW w:w="6850" w:type="dxa"/>
            <w:shd w:val="clear" w:color="auto" w:fill="1F3864"/>
            <w:tcMar>
              <w:top w:w="80" w:type="dxa"/>
              <w:left w:w="100" w:type="dxa"/>
              <w:bottom w:w="80" w:type="dxa"/>
              <w:right w:w="100" w:type="dxa"/>
            </w:tcMar>
            <w:vAlign w:val="center"/>
          </w:tcPr>
          <w:p w14:paraId="12975933">
            <w:r>
              <w:rPr>
                <w:b/>
                <w:bCs/>
                <w:color w:val="FFFFFF"/>
                <w:sz w:val="20"/>
                <w:szCs w:val="20"/>
              </w:rPr>
              <w:t>What Happens</w:t>
            </w:r>
          </w:p>
        </w:tc>
      </w:tr>
      <w:tr w14:paraId="7068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0C99D1ED">
            <w:r>
              <w:rPr>
                <w:b w:val="0"/>
                <w:bCs w:val="0"/>
                <w:color w:val="000000"/>
                <w:sz w:val="20"/>
                <w:szCs w:val="20"/>
              </w:rPr>
              <w:t>Latest-delivery selection</w:t>
            </w:r>
          </w:p>
        </w:tc>
        <w:tc>
          <w:tcPr>
            <w:tcW w:w="6850" w:type="dxa"/>
            <w:tcMar>
              <w:top w:w="80" w:type="dxa"/>
              <w:left w:w="100" w:type="dxa"/>
              <w:bottom w:w="80" w:type="dxa"/>
              <w:right w:w="100" w:type="dxa"/>
            </w:tcMar>
            <w:vAlign w:val="center"/>
          </w:tcPr>
          <w:p w14:paraId="545FAB8A">
            <w:r>
              <w:rPr>
                <w:b w:val="0"/>
                <w:bCs w:val="0"/>
                <w:color w:val="000000"/>
                <w:sz w:val="20"/>
                <w:szCs w:val="20"/>
              </w:rPr>
              <w:t>For each partition date, only the newest delivery (_batch_id) is kept, so a backfill or API top-up replaces rather than duplicates that day.</w:t>
            </w:r>
          </w:p>
        </w:tc>
      </w:tr>
      <w:tr w14:paraId="20AC7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vAlign w:val="center"/>
          </w:tcPr>
          <w:p w14:paraId="2BC54CFD">
            <w:r>
              <w:rPr>
                <w:b w:val="0"/>
                <w:bCs w:val="0"/>
                <w:color w:val="000000"/>
                <w:sz w:val="20"/>
                <w:szCs w:val="20"/>
              </w:rPr>
              <w:t>Type casting &amp; standardization</w:t>
            </w:r>
          </w:p>
        </w:tc>
        <w:tc>
          <w:tcPr>
            <w:tcW w:w="6850" w:type="dxa"/>
            <w:shd w:val="clear" w:color="auto" w:fill="F2F2F2"/>
            <w:tcMar>
              <w:top w:w="80" w:type="dxa"/>
              <w:left w:w="100" w:type="dxa"/>
              <w:bottom w:w="80" w:type="dxa"/>
              <w:right w:w="100" w:type="dxa"/>
            </w:tcMar>
            <w:vAlign w:val="center"/>
          </w:tcPr>
          <w:p w14:paraId="243EE93C">
            <w:r>
              <w:rPr>
                <w:b w:val="0"/>
                <w:bCs w:val="0"/>
                <w:color w:val="000000"/>
                <w:sz w:val="20"/>
                <w:szCs w:val="20"/>
              </w:rPr>
              <w:t>played_at → UTC timestamp; ms_played → INT; skipped → BOOLEAN; timestamps in UTC, dates as yyyy-MM-dd, snake_case column names.</w:t>
            </w:r>
          </w:p>
        </w:tc>
      </w:tr>
      <w:tr w14:paraId="05E7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1DD9B495">
            <w:r>
              <w:rPr>
                <w:b w:val="0"/>
                <w:bCs w:val="0"/>
                <w:color w:val="000000"/>
                <w:sz w:val="20"/>
                <w:szCs w:val="20"/>
              </w:rPr>
              <w:t>Deduplication</w:t>
            </w:r>
          </w:p>
        </w:tc>
        <w:tc>
          <w:tcPr>
            <w:tcW w:w="6850" w:type="dxa"/>
            <w:tcMar>
              <w:top w:w="80" w:type="dxa"/>
              <w:left w:w="100" w:type="dxa"/>
              <w:bottom w:w="80" w:type="dxa"/>
              <w:right w:w="100" w:type="dxa"/>
            </w:tcMar>
            <w:vAlign w:val="center"/>
          </w:tcPr>
          <w:p w14:paraId="13A7B04B">
            <w:r>
              <w:rPr>
                <w:b w:val="0"/>
                <w:bCs w:val="0"/>
                <w:color w:val="000000"/>
                <w:sz w:val="20"/>
                <w:szCs w:val="20"/>
              </w:rPr>
              <w:t>One row per event_id (overlapping live-API pulls can produce repeats); newest kept.</w:t>
            </w:r>
          </w:p>
        </w:tc>
      </w:tr>
      <w:tr w14:paraId="0A4E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vAlign w:val="center"/>
          </w:tcPr>
          <w:p w14:paraId="1F408D04">
            <w:r>
              <w:rPr>
                <w:b w:val="0"/>
                <w:bCs w:val="0"/>
                <w:color w:val="000000"/>
                <w:sz w:val="20"/>
                <w:szCs w:val="20"/>
              </w:rPr>
              <w:t>Consistency mapping</w:t>
            </w:r>
          </w:p>
        </w:tc>
        <w:tc>
          <w:tcPr>
            <w:tcW w:w="6850" w:type="dxa"/>
            <w:shd w:val="clear" w:color="auto" w:fill="F2F2F2"/>
            <w:tcMar>
              <w:top w:w="80" w:type="dxa"/>
              <w:left w:w="100" w:type="dxa"/>
              <w:bottom w:w="80" w:type="dxa"/>
              <w:right w:w="100" w:type="dxa"/>
            </w:tcMar>
            <w:vAlign w:val="center"/>
          </w:tcPr>
          <w:p w14:paraId="691F862F">
            <w:r>
              <w:rPr>
                <w:b w:val="0"/>
                <w:bCs w:val="0"/>
                <w:color w:val="000000"/>
                <w:sz w:val="20"/>
                <w:szCs w:val="20"/>
              </w:rPr>
              <w:t>device_type mapped to a controlled list (e.g., "PS4"/"PlayStation" → playstation); country upper-cased ISO-2.</w:t>
            </w:r>
          </w:p>
        </w:tc>
      </w:tr>
      <w:tr w14:paraId="695A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65B1914F">
            <w:r>
              <w:rPr>
                <w:b w:val="0"/>
                <w:bCs w:val="0"/>
                <w:color w:val="000000"/>
                <w:sz w:val="20"/>
                <w:szCs w:val="20"/>
              </w:rPr>
              <w:t>Range &amp; constraint checks</w:t>
            </w:r>
          </w:p>
        </w:tc>
        <w:tc>
          <w:tcPr>
            <w:tcW w:w="6850" w:type="dxa"/>
            <w:tcMar>
              <w:top w:w="80" w:type="dxa"/>
              <w:left w:w="100" w:type="dxa"/>
              <w:bottom w:w="80" w:type="dxa"/>
              <w:right w:w="100" w:type="dxa"/>
            </w:tcMar>
            <w:vAlign w:val="center"/>
          </w:tcPr>
          <w:p w14:paraId="1615ADFE">
            <w:r>
              <w:rPr>
                <w:b w:val="0"/>
                <w:bCs w:val="0"/>
                <w:color w:val="000000"/>
                <w:sz w:val="20"/>
                <w:szCs w:val="20"/>
              </w:rPr>
              <w:t>ms_played ≥ 0; played_at not in the future and not before 2008; user_id must exist in silver.users (orphan check).</w:t>
            </w:r>
          </w:p>
        </w:tc>
      </w:tr>
      <w:tr w14:paraId="7355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2F2"/>
            <w:tcMar>
              <w:top w:w="80" w:type="dxa"/>
              <w:left w:w="100" w:type="dxa"/>
              <w:bottom w:w="80" w:type="dxa"/>
              <w:right w:w="100" w:type="dxa"/>
            </w:tcMar>
            <w:vAlign w:val="center"/>
          </w:tcPr>
          <w:p w14:paraId="567E6598">
            <w:r>
              <w:rPr>
                <w:b w:val="0"/>
                <w:bCs w:val="0"/>
                <w:color w:val="000000"/>
                <w:sz w:val="20"/>
                <w:szCs w:val="20"/>
              </w:rPr>
              <w:t>Quarantine (not delete)</w:t>
            </w:r>
          </w:p>
        </w:tc>
        <w:tc>
          <w:tcPr>
            <w:tcW w:w="6850" w:type="dxa"/>
            <w:shd w:val="clear" w:color="auto" w:fill="F2F2F2"/>
            <w:tcMar>
              <w:top w:w="80" w:type="dxa"/>
              <w:left w:w="100" w:type="dxa"/>
              <w:bottom w:w="80" w:type="dxa"/>
              <w:right w:w="100" w:type="dxa"/>
            </w:tcMar>
            <w:vAlign w:val="center"/>
          </w:tcPr>
          <w:p w14:paraId="4806C6FD">
            <w:r>
              <w:rPr>
                <w:b w:val="0"/>
                <w:bCs w:val="0"/>
                <w:color w:val="000000"/>
                <w:sz w:val="20"/>
                <w:szCs w:val="20"/>
              </w:rPr>
              <w:t>Rows failing a rule are routed to silver.events_quarantine with the original columns plus the failure reason, rather than being discarded.</w:t>
            </w:r>
          </w:p>
        </w:tc>
      </w:tr>
      <w:tr w14:paraId="43415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5E026590">
            <w:r>
              <w:rPr>
                <w:b w:val="0"/>
                <w:bCs w:val="0"/>
                <w:color w:val="000000"/>
                <w:sz w:val="20"/>
                <w:szCs w:val="20"/>
              </w:rPr>
              <w:t>Light enrichment</w:t>
            </w:r>
          </w:p>
        </w:tc>
        <w:tc>
          <w:tcPr>
            <w:tcW w:w="6850" w:type="dxa"/>
            <w:tcMar>
              <w:top w:w="80" w:type="dxa"/>
              <w:left w:w="100" w:type="dxa"/>
              <w:bottom w:w="80" w:type="dxa"/>
              <w:right w:w="100" w:type="dxa"/>
            </w:tcMar>
            <w:vAlign w:val="center"/>
          </w:tcPr>
          <w:p w14:paraId="013EF734">
            <w:r>
              <w:rPr>
                <w:b w:val="0"/>
                <w:bCs w:val="0"/>
                <w:color w:val="000000"/>
                <w:sz w:val="20"/>
                <w:szCs w:val="20"/>
              </w:rPr>
              <w:t>completion_rate, hour_of_day, day_of_week, is_weekend, session_id (30-minute gap rule), play_sequence_num.</w:t>
            </w:r>
          </w:p>
        </w:tc>
      </w:tr>
    </w:tbl>
    <w:p w14:paraId="53333D0C">
      <w:pPr>
        <w:pStyle w:val="4"/>
        <w:spacing w:before="200" w:after="100"/>
      </w:pPr>
      <w:r>
        <w:rPr>
          <w:b/>
          <w:bCs/>
          <w:i/>
          <w:iCs/>
          <w:color w:val="444444"/>
          <w:sz w:val="23"/>
          <w:szCs w:val="23"/>
        </w:rPr>
        <w:t>High-Level Silver Data Model</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3800"/>
        <w:gridCol w:w="1750"/>
      </w:tblGrid>
      <w:tr w14:paraId="16A4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shd w:val="clear" w:color="auto" w:fill="1F3864"/>
            <w:tcMar>
              <w:top w:w="80" w:type="dxa"/>
              <w:left w:w="100" w:type="dxa"/>
              <w:bottom w:w="80" w:type="dxa"/>
              <w:right w:w="100" w:type="dxa"/>
            </w:tcMar>
            <w:vAlign w:val="center"/>
          </w:tcPr>
          <w:p w14:paraId="706C436B">
            <w:r>
              <w:rPr>
                <w:b/>
                <w:bCs/>
                <w:color w:val="FFFFFF"/>
                <w:sz w:val="20"/>
                <w:szCs w:val="20"/>
              </w:rPr>
              <w:t>Table</w:t>
            </w:r>
          </w:p>
        </w:tc>
        <w:tc>
          <w:tcPr>
            <w:tcW w:w="3800" w:type="dxa"/>
            <w:shd w:val="clear" w:color="auto" w:fill="1F3864"/>
            <w:tcMar>
              <w:top w:w="80" w:type="dxa"/>
              <w:left w:w="100" w:type="dxa"/>
              <w:bottom w:w="80" w:type="dxa"/>
              <w:right w:w="100" w:type="dxa"/>
            </w:tcMar>
            <w:vAlign w:val="center"/>
          </w:tcPr>
          <w:p w14:paraId="329E1AB2">
            <w:r>
              <w:rPr>
                <w:b/>
                <w:bCs/>
                <w:color w:val="FFFFFF"/>
                <w:sz w:val="20"/>
                <w:szCs w:val="20"/>
              </w:rPr>
              <w:t>Grain</w:t>
            </w:r>
          </w:p>
        </w:tc>
        <w:tc>
          <w:tcPr>
            <w:tcW w:w="1750" w:type="dxa"/>
            <w:shd w:val="clear" w:color="auto" w:fill="1F3864"/>
            <w:tcMar>
              <w:top w:w="80" w:type="dxa"/>
              <w:left w:w="100" w:type="dxa"/>
              <w:bottom w:w="80" w:type="dxa"/>
              <w:right w:w="100" w:type="dxa"/>
            </w:tcMar>
            <w:vAlign w:val="center"/>
          </w:tcPr>
          <w:p w14:paraId="18C3A6B1">
            <w:r>
              <w:rPr>
                <w:b/>
                <w:bCs/>
                <w:color w:val="FFFFFF"/>
                <w:sz w:val="20"/>
                <w:szCs w:val="20"/>
              </w:rPr>
              <w:t>History</w:t>
            </w:r>
          </w:p>
        </w:tc>
      </w:tr>
      <w:tr w14:paraId="74C3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4C9379A6">
            <w:r>
              <w:rPr>
                <w:b w:val="0"/>
                <w:bCs w:val="0"/>
                <w:color w:val="000000"/>
                <w:sz w:val="20"/>
                <w:szCs w:val="20"/>
              </w:rPr>
              <w:t>silver.users</w:t>
            </w:r>
          </w:p>
        </w:tc>
        <w:tc>
          <w:tcPr>
            <w:tcW w:w="3800" w:type="dxa"/>
            <w:tcMar>
              <w:top w:w="80" w:type="dxa"/>
              <w:left w:w="100" w:type="dxa"/>
              <w:bottom w:w="80" w:type="dxa"/>
              <w:right w:w="100" w:type="dxa"/>
            </w:tcMar>
            <w:vAlign w:val="center"/>
          </w:tcPr>
          <w:p w14:paraId="5E04BA26">
            <w:r>
              <w:rPr>
                <w:b w:val="0"/>
                <w:bCs w:val="0"/>
                <w:color w:val="000000"/>
                <w:sz w:val="20"/>
                <w:szCs w:val="20"/>
              </w:rPr>
              <w:t>One row per user</w:t>
            </w:r>
          </w:p>
        </w:tc>
        <w:tc>
          <w:tcPr>
            <w:tcW w:w="1750" w:type="dxa"/>
            <w:tcMar>
              <w:top w:w="80" w:type="dxa"/>
              <w:left w:w="100" w:type="dxa"/>
              <w:bottom w:w="80" w:type="dxa"/>
              <w:right w:w="100" w:type="dxa"/>
            </w:tcMar>
            <w:vAlign w:val="center"/>
          </w:tcPr>
          <w:p w14:paraId="09053A93">
            <w:r>
              <w:rPr>
                <w:b w:val="0"/>
                <w:bCs w:val="0"/>
                <w:color w:val="000000"/>
                <w:sz w:val="20"/>
                <w:szCs w:val="20"/>
              </w:rPr>
              <w:t>Current state (SCD1)</w:t>
            </w:r>
          </w:p>
        </w:tc>
      </w:tr>
      <w:tr w14:paraId="1582E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vAlign w:val="center"/>
          </w:tcPr>
          <w:p w14:paraId="0D1D669D">
            <w:r>
              <w:rPr>
                <w:b w:val="0"/>
                <w:bCs w:val="0"/>
                <w:color w:val="000000"/>
                <w:sz w:val="20"/>
                <w:szCs w:val="20"/>
              </w:rPr>
              <w:t>silver.tracks</w:t>
            </w:r>
          </w:p>
        </w:tc>
        <w:tc>
          <w:tcPr>
            <w:tcW w:w="3800" w:type="dxa"/>
            <w:shd w:val="clear" w:color="auto" w:fill="F2F2F2"/>
            <w:tcMar>
              <w:top w:w="80" w:type="dxa"/>
              <w:left w:w="100" w:type="dxa"/>
              <w:bottom w:w="80" w:type="dxa"/>
              <w:right w:w="100" w:type="dxa"/>
            </w:tcMar>
            <w:vAlign w:val="center"/>
          </w:tcPr>
          <w:p w14:paraId="321E849F">
            <w:r>
              <w:rPr>
                <w:b w:val="0"/>
                <w:bCs w:val="0"/>
                <w:color w:val="000000"/>
                <w:sz w:val="20"/>
                <w:szCs w:val="20"/>
              </w:rPr>
              <w:t>One row per track</w:t>
            </w:r>
          </w:p>
        </w:tc>
        <w:tc>
          <w:tcPr>
            <w:tcW w:w="1750" w:type="dxa"/>
            <w:shd w:val="clear" w:color="auto" w:fill="F2F2F2"/>
            <w:tcMar>
              <w:top w:w="80" w:type="dxa"/>
              <w:left w:w="100" w:type="dxa"/>
              <w:bottom w:w="80" w:type="dxa"/>
              <w:right w:w="100" w:type="dxa"/>
            </w:tcMar>
            <w:vAlign w:val="center"/>
          </w:tcPr>
          <w:p w14:paraId="7A28E467">
            <w:r>
              <w:rPr>
                <w:b w:val="0"/>
                <w:bCs w:val="0"/>
                <w:color w:val="000000"/>
                <w:sz w:val="20"/>
                <w:szCs w:val="20"/>
              </w:rPr>
              <w:t>Current state (SCD1)</w:t>
            </w:r>
          </w:p>
        </w:tc>
      </w:tr>
      <w:tr w14:paraId="6506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0379E5A4">
            <w:r>
              <w:rPr>
                <w:b w:val="0"/>
                <w:bCs w:val="0"/>
                <w:color w:val="000000"/>
                <w:sz w:val="20"/>
                <w:szCs w:val="20"/>
              </w:rPr>
              <w:t>silver.events</w:t>
            </w:r>
          </w:p>
        </w:tc>
        <w:tc>
          <w:tcPr>
            <w:tcW w:w="3800" w:type="dxa"/>
            <w:tcMar>
              <w:top w:w="80" w:type="dxa"/>
              <w:left w:w="100" w:type="dxa"/>
              <w:bottom w:w="80" w:type="dxa"/>
              <w:right w:w="100" w:type="dxa"/>
            </w:tcMar>
            <w:vAlign w:val="center"/>
          </w:tcPr>
          <w:p w14:paraId="027ED568">
            <w:r>
              <w:rPr>
                <w:b w:val="0"/>
                <w:bCs w:val="0"/>
                <w:color w:val="000000"/>
                <w:sz w:val="20"/>
                <w:szCs w:val="20"/>
              </w:rPr>
              <w:t>One row per unique event_id</w:t>
            </w:r>
          </w:p>
        </w:tc>
        <w:tc>
          <w:tcPr>
            <w:tcW w:w="1750" w:type="dxa"/>
            <w:tcMar>
              <w:top w:w="80" w:type="dxa"/>
              <w:left w:w="100" w:type="dxa"/>
              <w:bottom w:w="80" w:type="dxa"/>
              <w:right w:w="100" w:type="dxa"/>
            </w:tcMar>
            <w:vAlign w:val="center"/>
          </w:tcPr>
          <w:p w14:paraId="339BE9AB">
            <w:r>
              <w:rPr>
                <w:b w:val="0"/>
                <w:bCs w:val="0"/>
                <w:color w:val="000000"/>
                <w:sz w:val="20"/>
                <w:szCs w:val="20"/>
              </w:rPr>
              <w:t>Current state, MERGE upsert</w:t>
            </w:r>
          </w:p>
        </w:tc>
      </w:tr>
      <w:tr w14:paraId="2CA9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vAlign w:val="center"/>
          </w:tcPr>
          <w:p w14:paraId="7D5E12F2">
            <w:r>
              <w:rPr>
                <w:b w:val="0"/>
                <w:bCs w:val="0"/>
                <w:color w:val="000000"/>
                <w:sz w:val="20"/>
                <w:szCs w:val="20"/>
              </w:rPr>
              <w:t>silver.events_quarantine</w:t>
            </w:r>
          </w:p>
        </w:tc>
        <w:tc>
          <w:tcPr>
            <w:tcW w:w="3800" w:type="dxa"/>
            <w:shd w:val="clear" w:color="auto" w:fill="F2F2F2"/>
            <w:tcMar>
              <w:top w:w="80" w:type="dxa"/>
              <w:left w:w="100" w:type="dxa"/>
              <w:bottom w:w="80" w:type="dxa"/>
              <w:right w:w="100" w:type="dxa"/>
            </w:tcMar>
            <w:vAlign w:val="center"/>
          </w:tcPr>
          <w:p w14:paraId="39B633E4">
            <w:r>
              <w:rPr>
                <w:b w:val="0"/>
                <w:bCs w:val="0"/>
                <w:color w:val="000000"/>
                <w:sz w:val="20"/>
                <w:szCs w:val="20"/>
              </w:rPr>
              <w:t>One row per rejected row</w:t>
            </w:r>
          </w:p>
        </w:tc>
        <w:tc>
          <w:tcPr>
            <w:tcW w:w="1750" w:type="dxa"/>
            <w:shd w:val="clear" w:color="auto" w:fill="F2F2F2"/>
            <w:tcMar>
              <w:top w:w="80" w:type="dxa"/>
              <w:left w:w="100" w:type="dxa"/>
              <w:bottom w:w="80" w:type="dxa"/>
              <w:right w:w="100" w:type="dxa"/>
            </w:tcMar>
            <w:vAlign w:val="center"/>
          </w:tcPr>
          <w:p w14:paraId="49B686C7">
            <w:r>
              <w:rPr>
                <w:b w:val="0"/>
                <w:bCs w:val="0"/>
                <w:color w:val="000000"/>
                <w:sz w:val="20"/>
                <w:szCs w:val="20"/>
              </w:rPr>
              <w:t>Append-only</w:t>
            </w:r>
          </w:p>
        </w:tc>
      </w:tr>
    </w:tbl>
    <w:p w14:paraId="36BD3E7F">
      <w:pPr>
        <w:pStyle w:val="3"/>
        <w:spacing w:before="280" w:after="120"/>
      </w:pPr>
      <w:r>
        <w:rPr>
          <w:b/>
          <w:bCs/>
          <w:color w:val="2E74B5"/>
          <w:sz w:val="25"/>
          <w:szCs w:val="25"/>
        </w:rPr>
        <w:t>4.3 Gold Layer</w:t>
      </w:r>
    </w:p>
    <w:p w14:paraId="77BBBF57">
      <w:pPr>
        <w:spacing w:after="160" w:line="276" w:lineRule="auto"/>
      </w:pPr>
      <w:r>
        <w:rPr>
          <w:sz w:val="22"/>
          <w:szCs w:val="22"/>
        </w:rPr>
        <w:t>Gold is the most refined layer, where sources are harmonized and business rules, surrogate keys, slowly changing dimensions, and aggregations live. It is organized into three sublayers so it can serve both consumer-facing and business-facing needs.</w:t>
      </w:r>
    </w:p>
    <w:p w14:paraId="64A64C0B">
      <w:pPr>
        <w:pStyle w:val="4"/>
        <w:spacing w:before="200" w:after="100"/>
      </w:pPr>
      <w:r>
        <w:rPr>
          <w:b/>
          <w:bCs/>
          <w:i/>
          <w:iCs/>
          <w:color w:val="444444"/>
          <w:sz w:val="23"/>
          <w:szCs w:val="23"/>
        </w:rPr>
        <w:t>G1 — Core Star Schema</w:t>
      </w:r>
    </w:p>
    <w:p w14:paraId="08116A4E">
      <w:pPr>
        <w:spacing w:after="160" w:line="276" w:lineRule="auto"/>
      </w:pPr>
      <w:r>
        <w:rPr>
          <w:sz w:val="22"/>
          <w:szCs w:val="22"/>
        </w:rPr>
        <w:t>Grain of the fact table: one row per play event (the finest available grain).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4"/>
        <w:gridCol w:w="1562"/>
        <w:gridCol w:w="1909"/>
        <w:gridCol w:w="4105"/>
      </w:tblGrid>
      <w:tr w14:paraId="47BD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shd w:val="clear" w:color="auto" w:fill="1F3864"/>
            <w:tcMar>
              <w:top w:w="80" w:type="dxa"/>
              <w:left w:w="100" w:type="dxa"/>
              <w:bottom w:w="80" w:type="dxa"/>
              <w:right w:w="100" w:type="dxa"/>
            </w:tcMar>
            <w:vAlign w:val="center"/>
          </w:tcPr>
          <w:p w14:paraId="7232F23E">
            <w:r>
              <w:rPr>
                <w:b/>
                <w:bCs/>
                <w:color w:val="FFFFFF"/>
                <w:sz w:val="20"/>
                <w:szCs w:val="20"/>
              </w:rPr>
              <w:t>Dimension</w:t>
            </w:r>
          </w:p>
        </w:tc>
        <w:tc>
          <w:tcPr>
            <w:tcW w:w="2000" w:type="dxa"/>
            <w:shd w:val="clear" w:color="auto" w:fill="1F3864"/>
            <w:tcMar>
              <w:top w:w="80" w:type="dxa"/>
              <w:left w:w="100" w:type="dxa"/>
              <w:bottom w:w="80" w:type="dxa"/>
              <w:right w:w="100" w:type="dxa"/>
            </w:tcMar>
            <w:vAlign w:val="center"/>
          </w:tcPr>
          <w:p w14:paraId="47BD4D09">
            <w:r>
              <w:rPr>
                <w:b/>
                <w:bCs/>
                <w:color w:val="FFFFFF"/>
                <w:sz w:val="20"/>
                <w:szCs w:val="20"/>
              </w:rPr>
              <w:t>Business Key</w:t>
            </w:r>
          </w:p>
        </w:tc>
        <w:tc>
          <w:tcPr>
            <w:tcW w:w="2650" w:type="dxa"/>
            <w:shd w:val="clear" w:color="auto" w:fill="1F3864"/>
            <w:tcMar>
              <w:top w:w="80" w:type="dxa"/>
              <w:left w:w="100" w:type="dxa"/>
              <w:bottom w:w="80" w:type="dxa"/>
              <w:right w:w="100" w:type="dxa"/>
            </w:tcMar>
            <w:vAlign w:val="center"/>
          </w:tcPr>
          <w:p w14:paraId="51E0BB4B">
            <w:r>
              <w:rPr>
                <w:b/>
                <w:bCs/>
                <w:color w:val="FFFFFF"/>
                <w:sz w:val="20"/>
                <w:szCs w:val="20"/>
              </w:rPr>
              <w:t>SCD Handling</w:t>
            </w:r>
          </w:p>
        </w:tc>
        <w:tc>
          <w:tcPr>
            <w:tcW w:w="2600" w:type="dxa"/>
            <w:shd w:val="clear" w:color="auto" w:fill="1F3864"/>
            <w:tcMar>
              <w:top w:w="80" w:type="dxa"/>
              <w:left w:w="100" w:type="dxa"/>
              <w:bottom w:w="80" w:type="dxa"/>
              <w:right w:w="100" w:type="dxa"/>
            </w:tcMar>
            <w:vAlign w:val="center"/>
          </w:tcPr>
          <w:p w14:paraId="0DC4B329">
            <w:r>
              <w:rPr>
                <w:b/>
                <w:bCs/>
                <w:color w:val="FFFFFF"/>
                <w:sz w:val="20"/>
                <w:szCs w:val="20"/>
              </w:rPr>
              <w:t>Purpose</w:t>
            </w:r>
          </w:p>
        </w:tc>
      </w:tr>
      <w:tr w14:paraId="04C45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75725BBA">
            <w:r>
              <w:rPr>
                <w:b w:val="0"/>
                <w:bCs w:val="0"/>
                <w:color w:val="000000"/>
                <w:sz w:val="20"/>
                <w:szCs w:val="20"/>
              </w:rPr>
              <w:t>gold.dim_user</w:t>
            </w:r>
          </w:p>
        </w:tc>
        <w:tc>
          <w:tcPr>
            <w:tcW w:w="2000" w:type="dxa"/>
            <w:tcMar>
              <w:top w:w="80" w:type="dxa"/>
              <w:left w:w="100" w:type="dxa"/>
              <w:bottom w:w="80" w:type="dxa"/>
              <w:right w:w="100" w:type="dxa"/>
            </w:tcMar>
            <w:vAlign w:val="center"/>
          </w:tcPr>
          <w:p w14:paraId="54861BBE">
            <w:r>
              <w:rPr>
                <w:b w:val="0"/>
                <w:bCs w:val="0"/>
                <w:color w:val="000000"/>
                <w:sz w:val="20"/>
                <w:szCs w:val="20"/>
              </w:rPr>
              <w:t>user_id</w:t>
            </w:r>
          </w:p>
        </w:tc>
        <w:tc>
          <w:tcPr>
            <w:tcW w:w="2650" w:type="dxa"/>
            <w:tcMar>
              <w:top w:w="80" w:type="dxa"/>
              <w:left w:w="100" w:type="dxa"/>
              <w:bottom w:w="80" w:type="dxa"/>
              <w:right w:w="100" w:type="dxa"/>
            </w:tcMar>
            <w:vAlign w:val="center"/>
          </w:tcPr>
          <w:p w14:paraId="5105837B">
            <w:r>
              <w:rPr>
                <w:b w:val="0"/>
                <w:bCs w:val="0"/>
                <w:color w:val="000000"/>
                <w:sz w:val="20"/>
                <w:szCs w:val="20"/>
              </w:rPr>
              <w:t>Type 2 on is_premium (+ plan/country); Type 1 on the rest</w:t>
            </w:r>
          </w:p>
        </w:tc>
        <w:tc>
          <w:tcPr>
            <w:tcW w:w="2600" w:type="dxa"/>
            <w:tcMar>
              <w:top w:w="80" w:type="dxa"/>
              <w:left w:w="100" w:type="dxa"/>
              <w:bottom w:w="80" w:type="dxa"/>
              <w:right w:w="100" w:type="dxa"/>
            </w:tcMar>
            <w:vAlign w:val="center"/>
          </w:tcPr>
          <w:p w14:paraId="148D4139">
            <w:r>
              <w:rPr>
                <w:b w:val="0"/>
                <w:bCs w:val="0"/>
                <w:color w:val="000000"/>
                <w:sz w:val="20"/>
                <w:szCs w:val="20"/>
              </w:rPr>
              <w:t>Tracks subscription-status history for point-in-time analysis.</w:t>
            </w:r>
          </w:p>
        </w:tc>
      </w:tr>
      <w:tr w14:paraId="2394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shd w:val="clear" w:color="auto" w:fill="F2F2F2"/>
            <w:tcMar>
              <w:top w:w="80" w:type="dxa"/>
              <w:left w:w="100" w:type="dxa"/>
              <w:bottom w:w="80" w:type="dxa"/>
              <w:right w:w="100" w:type="dxa"/>
            </w:tcMar>
            <w:vAlign w:val="center"/>
          </w:tcPr>
          <w:p w14:paraId="05D3B376">
            <w:r>
              <w:rPr>
                <w:b w:val="0"/>
                <w:bCs w:val="0"/>
                <w:color w:val="000000"/>
                <w:sz w:val="20"/>
                <w:szCs w:val="20"/>
              </w:rPr>
              <w:t>gold.dim_track</w:t>
            </w:r>
          </w:p>
        </w:tc>
        <w:tc>
          <w:tcPr>
            <w:tcW w:w="2000" w:type="dxa"/>
            <w:shd w:val="clear" w:color="auto" w:fill="F2F2F2"/>
            <w:tcMar>
              <w:top w:w="80" w:type="dxa"/>
              <w:left w:w="100" w:type="dxa"/>
              <w:bottom w:w="80" w:type="dxa"/>
              <w:right w:w="100" w:type="dxa"/>
            </w:tcMar>
            <w:vAlign w:val="center"/>
          </w:tcPr>
          <w:p w14:paraId="24CAB3DE">
            <w:r>
              <w:rPr>
                <w:b w:val="0"/>
                <w:bCs w:val="0"/>
                <w:color w:val="000000"/>
                <w:sz w:val="20"/>
                <w:szCs w:val="20"/>
              </w:rPr>
              <w:t>track_id</w:t>
            </w:r>
          </w:p>
        </w:tc>
        <w:tc>
          <w:tcPr>
            <w:tcW w:w="2650" w:type="dxa"/>
            <w:shd w:val="clear" w:color="auto" w:fill="F2F2F2"/>
            <w:tcMar>
              <w:top w:w="80" w:type="dxa"/>
              <w:left w:w="100" w:type="dxa"/>
              <w:bottom w:w="80" w:type="dxa"/>
              <w:right w:w="100" w:type="dxa"/>
            </w:tcMar>
            <w:vAlign w:val="center"/>
          </w:tcPr>
          <w:p w14:paraId="02C5E263">
            <w:r>
              <w:rPr>
                <w:b w:val="0"/>
                <w:bCs w:val="0"/>
                <w:color w:val="000000"/>
                <w:sz w:val="20"/>
                <w:szCs w:val="20"/>
              </w:rPr>
              <w:t>Type 1 + inferred members</w:t>
            </w:r>
          </w:p>
        </w:tc>
        <w:tc>
          <w:tcPr>
            <w:tcW w:w="2600" w:type="dxa"/>
            <w:shd w:val="clear" w:color="auto" w:fill="F2F2F2"/>
            <w:tcMar>
              <w:top w:w="80" w:type="dxa"/>
              <w:left w:w="100" w:type="dxa"/>
              <w:bottom w:w="80" w:type="dxa"/>
              <w:right w:w="100" w:type="dxa"/>
            </w:tcMar>
            <w:vAlign w:val="center"/>
          </w:tcPr>
          <w:p w14:paraId="366DB16B">
            <w:r>
              <w:rPr>
                <w:b w:val="0"/>
                <w:bCs w:val="0"/>
                <w:color w:val="000000"/>
                <w:sz w:val="20"/>
                <w:szCs w:val="20"/>
              </w:rPr>
              <w:t>Track/artist/genre/audio-feature attributes; supports early-arriving facts.</w:t>
            </w:r>
          </w:p>
        </w:tc>
      </w:tr>
      <w:tr w14:paraId="41037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4CD154C7">
            <w:r>
              <w:rPr>
                <w:b w:val="0"/>
                <w:bCs w:val="0"/>
                <w:color w:val="000000"/>
                <w:sz w:val="20"/>
                <w:szCs w:val="20"/>
              </w:rPr>
              <w:t>gold.dim_date</w:t>
            </w:r>
          </w:p>
        </w:tc>
        <w:tc>
          <w:tcPr>
            <w:tcW w:w="2000" w:type="dxa"/>
            <w:tcMar>
              <w:top w:w="80" w:type="dxa"/>
              <w:left w:w="100" w:type="dxa"/>
              <w:bottom w:w="80" w:type="dxa"/>
              <w:right w:w="100" w:type="dxa"/>
            </w:tcMar>
            <w:vAlign w:val="center"/>
          </w:tcPr>
          <w:p w14:paraId="33C01827">
            <w:r>
              <w:rPr>
                <w:b w:val="0"/>
                <w:bCs w:val="0"/>
                <w:color w:val="000000"/>
                <w:sz w:val="20"/>
                <w:szCs w:val="20"/>
              </w:rPr>
              <w:t>date_key</w:t>
            </w:r>
          </w:p>
        </w:tc>
        <w:tc>
          <w:tcPr>
            <w:tcW w:w="2650" w:type="dxa"/>
            <w:tcMar>
              <w:top w:w="80" w:type="dxa"/>
              <w:left w:w="100" w:type="dxa"/>
              <w:bottom w:w="80" w:type="dxa"/>
              <w:right w:w="100" w:type="dxa"/>
            </w:tcMar>
            <w:vAlign w:val="center"/>
          </w:tcPr>
          <w:p w14:paraId="4527D65D">
            <w:r>
              <w:rPr>
                <w:b w:val="0"/>
                <w:bCs w:val="0"/>
                <w:color w:val="000000"/>
                <w:sz w:val="20"/>
                <w:szCs w:val="20"/>
              </w:rPr>
              <w:t>Static, generated</w:t>
            </w:r>
          </w:p>
        </w:tc>
        <w:tc>
          <w:tcPr>
            <w:tcW w:w="2600" w:type="dxa"/>
            <w:tcMar>
              <w:top w:w="80" w:type="dxa"/>
              <w:left w:w="100" w:type="dxa"/>
              <w:bottom w:w="80" w:type="dxa"/>
              <w:right w:w="100" w:type="dxa"/>
            </w:tcMar>
            <w:vAlign w:val="center"/>
          </w:tcPr>
          <w:p w14:paraId="06458F25">
            <w:r>
              <w:rPr>
                <w:b w:val="0"/>
                <w:bCs w:val="0"/>
                <w:color w:val="000000"/>
                <w:sz w:val="20"/>
                <w:szCs w:val="20"/>
              </w:rPr>
              <w:t>Calendar attributes (year, quarter, week, weekday).</w:t>
            </w:r>
          </w:p>
        </w:tc>
      </w:tr>
      <w:tr w14:paraId="45BBC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shd w:val="clear" w:color="auto" w:fill="F2F2F2"/>
            <w:tcMar>
              <w:top w:w="80" w:type="dxa"/>
              <w:left w:w="100" w:type="dxa"/>
              <w:bottom w:w="80" w:type="dxa"/>
              <w:right w:w="100" w:type="dxa"/>
            </w:tcMar>
            <w:vAlign w:val="center"/>
          </w:tcPr>
          <w:p w14:paraId="1CC912C6">
            <w:r>
              <w:rPr>
                <w:b w:val="0"/>
                <w:bCs w:val="0"/>
                <w:color w:val="000000"/>
                <w:sz w:val="20"/>
                <w:szCs w:val="20"/>
              </w:rPr>
              <w:t>gold.dim_time</w:t>
            </w:r>
          </w:p>
        </w:tc>
        <w:tc>
          <w:tcPr>
            <w:tcW w:w="2000" w:type="dxa"/>
            <w:shd w:val="clear" w:color="auto" w:fill="F2F2F2"/>
            <w:tcMar>
              <w:top w:w="80" w:type="dxa"/>
              <w:left w:w="100" w:type="dxa"/>
              <w:bottom w:w="80" w:type="dxa"/>
              <w:right w:w="100" w:type="dxa"/>
            </w:tcMar>
            <w:vAlign w:val="center"/>
          </w:tcPr>
          <w:p w14:paraId="78BCEC6B">
            <w:r>
              <w:rPr>
                <w:b w:val="0"/>
                <w:bCs w:val="0"/>
                <w:color w:val="000000"/>
                <w:sz w:val="20"/>
                <w:szCs w:val="20"/>
              </w:rPr>
              <w:t>hour_of_day</w:t>
            </w:r>
          </w:p>
        </w:tc>
        <w:tc>
          <w:tcPr>
            <w:tcW w:w="2650" w:type="dxa"/>
            <w:shd w:val="clear" w:color="auto" w:fill="F2F2F2"/>
            <w:tcMar>
              <w:top w:w="80" w:type="dxa"/>
              <w:left w:w="100" w:type="dxa"/>
              <w:bottom w:w="80" w:type="dxa"/>
              <w:right w:w="100" w:type="dxa"/>
            </w:tcMar>
            <w:vAlign w:val="center"/>
          </w:tcPr>
          <w:p w14:paraId="599287E0">
            <w:r>
              <w:rPr>
                <w:b w:val="0"/>
                <w:bCs w:val="0"/>
                <w:color w:val="000000"/>
                <w:sz w:val="20"/>
                <w:szCs w:val="20"/>
              </w:rPr>
              <w:t>Static, 24 rows</w:t>
            </w:r>
          </w:p>
        </w:tc>
        <w:tc>
          <w:tcPr>
            <w:tcW w:w="2600" w:type="dxa"/>
            <w:shd w:val="clear" w:color="auto" w:fill="F2F2F2"/>
            <w:tcMar>
              <w:top w:w="80" w:type="dxa"/>
              <w:left w:w="100" w:type="dxa"/>
              <w:bottom w:w="80" w:type="dxa"/>
              <w:right w:w="100" w:type="dxa"/>
            </w:tcMar>
            <w:vAlign w:val="center"/>
          </w:tcPr>
          <w:p w14:paraId="2E010BFA">
            <w:r>
              <w:rPr>
                <w:b w:val="0"/>
                <w:bCs w:val="0"/>
                <w:color w:val="000000"/>
                <w:sz w:val="20"/>
                <w:szCs w:val="20"/>
              </w:rPr>
              <w:t>Hour-of-day and day-part (Night/Morning/Afternoon/Evening).</w:t>
            </w:r>
          </w:p>
        </w:tc>
      </w:tr>
      <w:tr w14:paraId="243F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4F8AFCE4">
            <w:r>
              <w:rPr>
                <w:b w:val="0"/>
                <w:bCs w:val="0"/>
                <w:color w:val="000000"/>
                <w:sz w:val="20"/>
                <w:szCs w:val="20"/>
              </w:rPr>
              <w:t>gold.dim_device</w:t>
            </w:r>
          </w:p>
        </w:tc>
        <w:tc>
          <w:tcPr>
            <w:tcW w:w="2000" w:type="dxa"/>
            <w:tcMar>
              <w:top w:w="80" w:type="dxa"/>
              <w:left w:w="100" w:type="dxa"/>
              <w:bottom w:w="80" w:type="dxa"/>
              <w:right w:w="100" w:type="dxa"/>
            </w:tcMar>
            <w:vAlign w:val="center"/>
          </w:tcPr>
          <w:p w14:paraId="65F87BBF">
            <w:r>
              <w:rPr>
                <w:b w:val="0"/>
                <w:bCs w:val="0"/>
                <w:color w:val="000000"/>
                <w:sz w:val="20"/>
                <w:szCs w:val="20"/>
              </w:rPr>
              <w:t>device_type</w:t>
            </w:r>
          </w:p>
        </w:tc>
        <w:tc>
          <w:tcPr>
            <w:tcW w:w="2650" w:type="dxa"/>
            <w:tcMar>
              <w:top w:w="80" w:type="dxa"/>
              <w:left w:w="100" w:type="dxa"/>
              <w:bottom w:w="80" w:type="dxa"/>
              <w:right w:w="100" w:type="dxa"/>
            </w:tcMar>
            <w:vAlign w:val="center"/>
          </w:tcPr>
          <w:p w14:paraId="12698620">
            <w:r>
              <w:rPr>
                <w:b w:val="0"/>
                <w:bCs w:val="0"/>
                <w:color w:val="000000"/>
                <w:sz w:val="20"/>
                <w:szCs w:val="20"/>
              </w:rPr>
              <w:t>Type 1</w:t>
            </w:r>
          </w:p>
        </w:tc>
        <w:tc>
          <w:tcPr>
            <w:tcW w:w="2600" w:type="dxa"/>
            <w:tcMar>
              <w:top w:w="80" w:type="dxa"/>
              <w:left w:w="100" w:type="dxa"/>
              <w:bottom w:w="80" w:type="dxa"/>
              <w:right w:w="100" w:type="dxa"/>
            </w:tcMar>
            <w:vAlign w:val="center"/>
          </w:tcPr>
          <w:p w14:paraId="30A1D0B3">
            <w:r>
              <w:rPr>
                <w:b w:val="0"/>
                <w:bCs w:val="0"/>
                <w:color w:val="000000"/>
                <w:sz w:val="20"/>
                <w:szCs w:val="20"/>
              </w:rPr>
              <w:t>Device category (mobile/desktop/console/tablet/tv/web/other).</w:t>
            </w:r>
          </w:p>
        </w:tc>
      </w:tr>
    </w:tbl>
    <w:p w14:paraId="6E06A7B9">
      <w:pPr>
        <w:spacing w:after="160" w:line="276" w:lineRule="auto"/>
      </w:pPr>
      <w:r>
        <w:rPr>
          <w:sz w:val="22"/>
          <w:szCs w:val="22"/>
        </w:rPr>
        <w:t>gold.fact_listening carries measures ms_played, minutes_played, play_count, is_skipped, completion_rate, keyed to each dimension via surrogate keys, with event_id retained as a degenerate dimension.</w:t>
      </w:r>
    </w:p>
    <w:p w14:paraId="167AFAAD">
      <w:pPr>
        <w:pStyle w:val="4"/>
        <w:spacing w:before="200" w:after="100"/>
      </w:pPr>
      <w:r>
        <w:rPr>
          <w:b/>
          <w:bCs/>
          <w:i/>
          <w:iCs/>
          <w:color w:val="444444"/>
          <w:sz w:val="23"/>
          <w:szCs w:val="23"/>
        </w:rPr>
        <w:t>G2 — ML Feature Tables</w:t>
      </w:r>
    </w:p>
    <w:p w14:paraId="51C0AF94">
      <w:pPr>
        <w:pStyle w:val="16"/>
        <w:numPr>
          <w:ilvl w:val="0"/>
          <w:numId w:val="1"/>
        </w:numPr>
        <w:spacing w:after="80" w:line="276" w:lineRule="auto"/>
      </w:pPr>
      <w:r>
        <w:rPr>
          <w:sz w:val="22"/>
          <w:szCs w:val="22"/>
        </w:rPr>
        <w:t>gold.ml_user_track_interactions — one row per (user, track): play_count, total_ms_played, avg_completion_rate. Supports collaborative-filtering recommenders.</w:t>
      </w:r>
    </w:p>
    <w:p w14:paraId="09FC9D2A">
      <w:pPr>
        <w:pStyle w:val="16"/>
        <w:numPr>
          <w:ilvl w:val="0"/>
          <w:numId w:val="1"/>
        </w:numPr>
        <w:spacing w:after="80" w:line="276" w:lineRule="auto"/>
      </w:pPr>
      <w:r>
        <w:rPr>
          <w:sz w:val="22"/>
          <w:szCs w:val="22"/>
        </w:rPr>
        <w:t>gold.ml_track_features — catalog enriched with cross-user aggregates (skip_rate, avg_completion_rate_across_users). Supports content-based/cold-start recommendation.</w:t>
      </w:r>
    </w:p>
    <w:p w14:paraId="303A88FF">
      <w:pPr>
        <w:pStyle w:val="16"/>
        <w:numPr>
          <w:ilvl w:val="0"/>
          <w:numId w:val="1"/>
        </w:numPr>
        <w:spacing w:after="80" w:line="276" w:lineRule="auto"/>
      </w:pPr>
      <w:r>
        <w:rPr>
          <w:sz w:val="22"/>
          <w:szCs w:val="22"/>
        </w:rPr>
        <w:t>gold.ml_user_sessions — one row per session: track_count, genre_diversity, dominant_device. Supports churn/engagement-trend models.</w:t>
      </w:r>
    </w:p>
    <w:p w14:paraId="1248EF79">
      <w:pPr>
        <w:pStyle w:val="4"/>
        <w:spacing w:before="200" w:after="100"/>
      </w:pPr>
      <w:r>
        <w:rPr>
          <w:b/>
          <w:bCs/>
          <w:i/>
          <w:iCs/>
          <w:color w:val="444444"/>
          <w:sz w:val="23"/>
          <w:szCs w:val="23"/>
        </w:rPr>
        <w:t>G3 — Business Marts</w:t>
      </w:r>
    </w:p>
    <w:p w14:paraId="0C6FD701">
      <w:pPr>
        <w:spacing w:after="160" w:line="276" w:lineRule="auto"/>
      </w:pPr>
      <w:r>
        <w:rPr>
          <w:sz w:val="22"/>
          <w:szCs w:val="22"/>
        </w:rPr>
        <w:t>Business rules (engagement-score weights, propensity-tier thresholds, behavioral-cluster definitions, discovery definition) are defined once and used only here — see Section 5 for the specific marts, questions, and visuals they support.</w:t>
      </w:r>
    </w:p>
    <w:p w14:paraId="044C1421">
      <w:pPr>
        <w:pStyle w:val="2"/>
        <w:pBdr>
          <w:bottom w:val="single" w:color="1F3864" w:sz="8" w:space="4"/>
        </w:pBdr>
        <w:spacing w:before="360" w:after="160"/>
      </w:pPr>
      <w:r>
        <w:rPr>
          <w:b/>
          <w:bCs/>
          <w:color w:val="1F3864"/>
          <w:sz w:val="30"/>
          <w:szCs w:val="30"/>
        </w:rPr>
        <w:t>5. Business Intelligence &amp; Dashboards</w:t>
      </w:r>
    </w:p>
    <w:p w14:paraId="7818C6A6">
      <w:pPr>
        <w:spacing w:after="160" w:line="276" w:lineRule="auto"/>
      </w:pPr>
      <w:r>
        <w:rPr>
          <w:sz w:val="22"/>
          <w:szCs w:val="22"/>
        </w:rPr>
        <w:t>The dashboard serves two audiences: business-facing operational/growth analytics (the rubric's "business questions" requirement) and a consumer-facing Wrapped-style personal summary. Three business questions are the primary deliverable, with a Wrapped page as a bonus fourth visual.</w:t>
      </w:r>
    </w:p>
    <w:p w14:paraId="4C8074F2">
      <w:pPr>
        <w:pStyle w:val="3"/>
        <w:spacing w:before="280" w:after="120"/>
      </w:pPr>
      <w:r>
        <w:rPr>
          <w:b/>
          <w:bCs/>
          <w:color w:val="2E74B5"/>
          <w:sz w:val="25"/>
          <w:szCs w:val="25"/>
        </w:rPr>
        <w:t>5.1 Business Question 1 — Peak Usage / Traffic Times</w:t>
      </w:r>
    </w:p>
    <w:p w14:paraId="40EC61E8">
      <w:pPr>
        <w:spacing w:after="160" w:line="276" w:lineRule="auto"/>
      </w:pPr>
      <w:r>
        <w:rPr>
          <w:i/>
          <w:iCs/>
          <w:sz w:val="22"/>
          <w:szCs w:val="22"/>
        </w:rPr>
        <w:t>"When do users listen most, and how should infrastructure/capacity planning respond?"</w:t>
      </w:r>
    </w:p>
    <w:p w14:paraId="595462FA">
      <w:pPr>
        <w:spacing w:after="160" w:line="276" w:lineRule="auto"/>
      </w:pPr>
      <w:r>
        <w:rPr>
          <w:b/>
          <w:bCs/>
          <w:sz w:val="22"/>
          <w:szCs w:val="22"/>
        </w:rPr>
        <w:t xml:space="preserve">Supporting table: </w:t>
      </w:r>
      <w:r>
        <w:rPr>
          <w:sz w:val="22"/>
          <w:szCs w:val="22"/>
        </w:rPr>
        <w:t>gold.peak_usage_patterns — play count and listening minutes by hour_of_day, day_of_week, device_category, and country.</w:t>
      </w:r>
    </w:p>
    <w:p w14:paraId="33BEBD72">
      <w:pPr>
        <w:spacing w:after="160" w:line="276" w:lineRule="auto"/>
      </w:pPr>
      <w:r>
        <w:rPr>
          <w:b/>
          <w:bCs/>
          <w:sz w:val="22"/>
          <w:szCs w:val="22"/>
        </w:rPr>
        <w:t xml:space="preserve">Underlying generation logic: </w:t>
      </w:r>
      <w:r>
        <w:rPr>
          <w:sz w:val="22"/>
          <w:szCs w:val="22"/>
        </w:rPr>
        <w:t>device, hour, and weekday are correlated rather than sampled independently — desktop/web_player usage concentrates on weekday 9 AM–5 PM; smart_speaker usage peaks in morning (6–9 AM) and evening (6–9 PM) windows with a higher weekend baseline; mobile dominates late-night (10 PM–2 AM) and weekend daytime hours. Weekdays follow a bimodal commute-peaked curve while weekends follow a broader, later-starting curve with 15–20% higher total volume; hour distributions are further offset per country's timezone.</w:t>
      </w:r>
    </w:p>
    <w:p w14:paraId="6BD8854B">
      <w:pPr>
        <w:spacing w:after="160" w:line="276" w:lineRule="auto"/>
      </w:pPr>
      <w:r>
        <w:rPr>
          <w:b/>
          <w:bCs/>
          <w:sz w:val="22"/>
          <w:szCs w:val="22"/>
        </w:rPr>
        <w:t xml:space="preserve">Business use: </w:t>
      </w:r>
      <w:r>
        <w:rPr>
          <w:sz w:val="22"/>
          <w:szCs w:val="22"/>
        </w:rPr>
        <w:t>informs server auto-scaling schedules, maintenance-window timing, and CDN/caching decisions around predictable peak windows.</w:t>
      </w:r>
    </w:p>
    <w:p w14:paraId="623B9643">
      <w:pPr>
        <w:spacing w:after="160" w:line="276" w:lineRule="auto"/>
      </w:pPr>
      <w:r>
        <w:rPr>
          <w:b/>
          <w:bCs/>
          <w:sz w:val="22"/>
          <w:szCs w:val="22"/>
        </w:rPr>
        <w:t xml:space="preserve">Visual: </w:t>
      </w:r>
      <w:r>
        <w:rPr>
          <w:sz w:val="22"/>
          <w:szCs w:val="22"/>
        </w:rPr>
        <w:t>heatmap of listening volume, hour-of-day (x-axis) × day-of-week (y-axis).</w:t>
      </w:r>
    </w:p>
    <w:p w14:paraId="4DE64244">
      <w:pPr>
        <w:pStyle w:val="3"/>
        <w:spacing w:before="280" w:after="120"/>
      </w:pPr>
      <w:r>
        <w:rPr>
          <w:b/>
          <w:bCs/>
          <w:color w:val="2E74B5"/>
          <w:sz w:val="25"/>
          <w:szCs w:val="25"/>
        </w:rPr>
        <w:t>5.2 Business Question 2 — Customer Loyalty &amp; Subscription-Upgrade Targeting</w:t>
      </w:r>
    </w:p>
    <w:p w14:paraId="023196C7">
      <w:pPr>
        <w:spacing w:after="160" w:line="276" w:lineRule="auto"/>
      </w:pPr>
      <w:r>
        <w:rPr>
          <w:i/>
          <w:iCs/>
          <w:sz w:val="22"/>
          <w:szCs w:val="22"/>
        </w:rPr>
        <w:t>"Which free-tier users show premium-level engagement, and should be targeted for upgrade offers?"</w:t>
      </w:r>
    </w:p>
    <w:p w14:paraId="5DFC5844">
      <w:pPr>
        <w:spacing w:after="160" w:line="276" w:lineRule="auto"/>
      </w:pPr>
      <w:r>
        <w:rPr>
          <w:b/>
          <w:bCs/>
          <w:sz w:val="22"/>
          <w:szCs w:val="22"/>
        </w:rPr>
        <w:t xml:space="preserve">Supporting table: </w:t>
      </w:r>
      <w:r>
        <w:rPr>
          <w:sz w:val="22"/>
          <w:szCs w:val="22"/>
        </w:rPr>
        <w:t>gold.subscription_propensity_segments — one row per user: total_listening_minutes, session_frequency, genre_diversity, skip_rate, device_diversity, discovery_rate, current is_premium status, and a derived engagement_score.</w:t>
      </w:r>
    </w:p>
    <w:p w14:paraId="027366F8">
      <w:pPr>
        <w:spacing w:after="160" w:line="276" w:lineRule="auto"/>
      </w:pPr>
      <w:r>
        <w:rPr>
          <w:b/>
          <w:bCs/>
          <w:sz w:val="22"/>
          <w:szCs w:val="22"/>
        </w:rPr>
        <w:t xml:space="preserve">Underlying generation logic: </w:t>
      </w:r>
      <w:r>
        <w:rPr>
          <w:sz w:val="22"/>
          <w:szCs w:val="22"/>
        </w:rPr>
        <w:t>every user is assigned to one of three behavioral clusters rather than having each metric sampled independently: Power Free Candidate (high intensity, multi-device, low skip rate, active discovery, free tier — the key upgrade-targeting segment), Casual Free (low volume, mobile-only, high skip rate, mostly replays), and Power Premium (high volume, broad genre diversity, multi-device including smart speakers, low skip rate). engagement_score is computed as a weighted combination of normalized volume, device diversity, (1 − skip_rate), and discovery_rate, with weights defined once as tunable constants.</w:t>
      </w:r>
    </w:p>
    <w:p w14:paraId="4D5F4DCA">
      <w:pPr>
        <w:spacing w:after="160" w:line="276" w:lineRule="auto"/>
      </w:pPr>
      <w:r>
        <w:rPr>
          <w:b/>
          <w:bCs/>
          <w:sz w:val="22"/>
          <w:szCs w:val="22"/>
        </w:rPr>
        <w:t xml:space="preserve">Business use: </w:t>
      </w:r>
      <w:r>
        <w:rPr>
          <w:sz w:val="22"/>
          <w:szCs w:val="22"/>
        </w:rPr>
        <w:t>segments free users into High/Medium/Low propensity tiers so upgrade campaigns target genuinely engaged listeners rather than the entire free-tier base.</w:t>
      </w:r>
    </w:p>
    <w:p w14:paraId="1AF4891C">
      <w:pPr>
        <w:spacing w:after="160" w:line="276" w:lineRule="auto"/>
      </w:pPr>
      <w:r>
        <w:rPr>
          <w:b/>
          <w:bCs/>
          <w:sz w:val="22"/>
          <w:szCs w:val="22"/>
        </w:rPr>
        <w:t xml:space="preserve">Visual: </w:t>
      </w:r>
      <w:r>
        <w:rPr>
          <w:sz w:val="22"/>
          <w:szCs w:val="22"/>
        </w:rPr>
        <w:t>bar chart of user counts per propensity tier, split by current subscription status — the "high engagement, still Free" bar is the key actionable insight.</w:t>
      </w:r>
    </w:p>
    <w:p w14:paraId="42B272F9">
      <w:pPr>
        <w:spacing w:after="160" w:line="276" w:lineRule="auto"/>
      </w:pPr>
      <w:r>
        <w:rPr>
          <w:b/>
          <w:bCs/>
          <w:sz w:val="22"/>
          <w:szCs w:val="22"/>
        </w:rPr>
        <w:t xml:space="preserve">Planned extension (Phase 2/3): </w:t>
      </w:r>
      <w:r>
        <w:rPr>
          <w:sz w:val="22"/>
          <w:szCs w:val="22"/>
        </w:rPr>
        <w:t>a churn/retention-risk view (declining session frequency or listening-minutes trend) pairs with this table for a full-funnel "who's about to leave vs. who's about to upgrade" story.</w:t>
      </w:r>
    </w:p>
    <w:p w14:paraId="22A569A8">
      <w:pPr>
        <w:pStyle w:val="3"/>
        <w:spacing w:before="280" w:after="120"/>
      </w:pPr>
      <w:r>
        <w:rPr>
          <w:b/>
          <w:bCs/>
          <w:color w:val="2E74B5"/>
          <w:sz w:val="25"/>
          <w:szCs w:val="25"/>
        </w:rPr>
        <w:t>5.3 Business Question 3 — Content &amp; Genre Trend Performance</w:t>
      </w:r>
    </w:p>
    <w:p w14:paraId="2EDB00C6">
      <w:pPr>
        <w:spacing w:after="160" w:line="276" w:lineRule="auto"/>
      </w:pPr>
      <w:r>
        <w:rPr>
          <w:i/>
          <w:iCs/>
          <w:sz w:val="22"/>
          <w:szCs w:val="22"/>
        </w:rPr>
        <w:t>"Which genres/artists are gaining or losing traction over time, to guide content curation or licensing decisions?"</w:t>
      </w:r>
    </w:p>
    <w:p w14:paraId="04F83D9D">
      <w:pPr>
        <w:spacing w:after="160" w:line="276" w:lineRule="auto"/>
      </w:pPr>
      <w:r>
        <w:rPr>
          <w:b/>
          <w:bCs/>
          <w:sz w:val="22"/>
          <w:szCs w:val="22"/>
        </w:rPr>
        <w:t xml:space="preserve">Supporting table: </w:t>
      </w:r>
      <w:r>
        <w:rPr>
          <w:sz w:val="22"/>
          <w:szCs w:val="22"/>
        </w:rPr>
        <w:t>gold.content_performance_trends — genre/artist share of total listening minutes, computed monthly with month-over-month delta.</w:t>
      </w:r>
    </w:p>
    <w:p w14:paraId="28A2C945">
      <w:pPr>
        <w:spacing w:after="160" w:line="276" w:lineRule="auto"/>
      </w:pPr>
      <w:r>
        <w:rPr>
          <w:b/>
          <w:bCs/>
          <w:sz w:val="22"/>
          <w:szCs w:val="22"/>
        </w:rPr>
        <w:t xml:space="preserve">Business use: </w:t>
      </w:r>
      <w:r>
        <w:rPr>
          <w:sz w:val="22"/>
          <w:szCs w:val="22"/>
        </w:rPr>
        <w:t>informs playlist placement, editorial curation, and licensing investment decisions.</w:t>
      </w:r>
    </w:p>
    <w:p w14:paraId="0E781E0F">
      <w:pPr>
        <w:spacing w:after="160" w:line="276" w:lineRule="auto"/>
      </w:pPr>
      <w:r>
        <w:rPr>
          <w:b/>
          <w:bCs/>
          <w:sz w:val="22"/>
          <w:szCs w:val="22"/>
        </w:rPr>
        <w:t xml:space="preserve">Visual: </w:t>
      </w:r>
      <w:r>
        <w:rPr>
          <w:sz w:val="22"/>
          <w:szCs w:val="22"/>
        </w:rPr>
        <w:t>line chart of genre share of total listening over time, highlighting fastest-rising and fastest-declining genres.</w:t>
      </w:r>
    </w:p>
    <w:p w14:paraId="629F400B">
      <w:pPr>
        <w:pStyle w:val="3"/>
        <w:spacing w:before="280" w:after="120"/>
      </w:pPr>
      <w:r>
        <w:rPr>
          <w:b/>
          <w:bCs/>
          <w:color w:val="2E74B5"/>
          <w:sz w:val="25"/>
          <w:szCs w:val="25"/>
        </w:rPr>
        <w:t>5.4 Bonus — Consumer-Facing "Wrapped" Summary</w:t>
      </w:r>
    </w:p>
    <w:p w14:paraId="4FCD9D87">
      <w:pPr>
        <w:spacing w:after="160" w:line="276" w:lineRule="auto"/>
      </w:pPr>
      <w:r>
        <w:rPr>
          <w:b/>
          <w:bCs/>
          <w:sz w:val="22"/>
          <w:szCs w:val="22"/>
        </w:rPr>
        <w:t xml:space="preserve">Supporting table: </w:t>
      </w:r>
      <w:r>
        <w:rPr>
          <w:sz w:val="22"/>
          <w:szCs w:val="22"/>
        </w:rPr>
        <w:t>gold.wrapped_user_year — one flat, wide row per user per year (total_minutes, top artists/genres/tracks, discovery_rate, peak_hour).</w:t>
      </w:r>
    </w:p>
    <w:p w14:paraId="484FB9E4">
      <w:pPr>
        <w:spacing w:after="160" w:line="276" w:lineRule="auto"/>
      </w:pPr>
      <w:r>
        <w:rPr>
          <w:b/>
          <w:bCs/>
          <w:sz w:val="22"/>
          <w:szCs w:val="22"/>
        </w:rPr>
        <w:t xml:space="preserve">Visual: </w:t>
      </w:r>
      <w:r>
        <w:rPr>
          <w:sz w:val="22"/>
          <w:szCs w:val="22"/>
        </w:rPr>
        <w:t>personalized summary page — top artists/genres list, total minutes, discovery rate over the year.</w:t>
      </w:r>
    </w:p>
    <w:p w14:paraId="6CF03A98">
      <w:pPr>
        <w:pStyle w:val="2"/>
        <w:pBdr>
          <w:bottom w:val="single" w:color="1F3864" w:sz="8" w:space="4"/>
        </w:pBdr>
        <w:spacing w:before="360" w:after="160"/>
      </w:pPr>
      <w:r>
        <w:rPr>
          <w:b/>
          <w:bCs/>
          <w:color w:val="1F3864"/>
          <w:sz w:val="30"/>
          <w:szCs w:val="30"/>
        </w:rPr>
        <w:t>6. Engineering Setup &amp; FinOps</w:t>
      </w:r>
    </w:p>
    <w:p w14:paraId="6461FE95">
      <w:pPr>
        <w:pStyle w:val="3"/>
        <w:spacing w:before="280" w:after="120"/>
      </w:pPr>
      <w:r>
        <w:rPr>
          <w:b/>
          <w:bCs/>
          <w:color w:val="2E74B5"/>
          <w:sz w:val="25"/>
          <w:szCs w:val="25"/>
        </w:rPr>
        <w:t>6.1 Version Control</w:t>
      </w:r>
    </w:p>
    <w:p w14:paraId="75E8AB84">
      <w:pPr>
        <w:spacing w:after="160" w:line="276" w:lineRule="auto"/>
      </w:pPr>
      <w:r>
        <w:rPr>
          <w:sz w:val="22"/>
          <w:szCs w:val="22"/>
        </w:rPr>
        <w:t>The project repository is hosted on GitHub and includes the generator, sanitization, and API-pull scripts; sample raw data files for both full and incremental loads; and this proposal documentation.</w:t>
      </w:r>
    </w:p>
    <w:p w14:paraId="7FBC755E">
      <w:pPr>
        <w:spacing w:after="160" w:line="276" w:lineRule="auto"/>
      </w:pPr>
      <w:r>
        <w:rPr>
          <w:b/>
          <w:bCs/>
          <w:sz w:val="22"/>
          <w:szCs w:val="22"/>
        </w:rPr>
        <w:t xml:space="preserve">Repository link: </w:t>
      </w:r>
      <w:r>
        <w:rPr>
          <w:sz w:val="22"/>
          <w:szCs w:val="22"/>
        </w:rPr>
        <w:t>github.com/azan-wasty/spotify-medallion-pipeline</w:t>
      </w:r>
    </w:p>
    <w:p w14:paraId="4E9BABA2">
      <w:pPr>
        <w:pStyle w:val="3"/>
        <w:spacing w:before="280" w:after="120"/>
      </w:pPr>
      <w:r>
        <w:rPr>
          <w:b/>
          <w:bCs/>
          <w:color w:val="2E74B5"/>
          <w:sz w:val="25"/>
          <w:szCs w:val="25"/>
        </w:rPr>
        <w:t>6.2 Cost / FinOps Awareness</w:t>
      </w:r>
    </w:p>
    <w:p w14:paraId="50193896">
      <w:pPr>
        <w:spacing w:after="160" w:line="276" w:lineRule="auto"/>
      </w:pPr>
      <w:r>
        <w:rPr>
          <w:sz w:val="22"/>
          <w:szCs w:val="22"/>
        </w:rPr>
        <w:t>The team will run on Databricks Free Edition (serverless, Unity Catalog) or Community Edition, depending on workspace availability, with the following controls to stay within free-tier compute and storage limits:</w:t>
      </w:r>
    </w:p>
    <w:p w14:paraId="227DA39F">
      <w:pPr>
        <w:pStyle w:val="16"/>
        <w:numPr>
          <w:ilvl w:val="0"/>
          <w:numId w:val="1"/>
        </w:numPr>
        <w:spacing w:after="80" w:line="276" w:lineRule="auto"/>
      </w:pPr>
      <w:r>
        <w:rPr>
          <w:sz w:val="22"/>
          <w:szCs w:val="22"/>
        </w:rPr>
        <w:t>Capped historical window for filler users: full load for synthetic filler users is limited to 450 days rather than an unbounded backfill; real personas retain their full export history since the incremental storage cost of a handful of multi-year users is small relative to the filler population.</w:t>
      </w:r>
    </w:p>
    <w:p w14:paraId="26E46104">
      <w:pPr>
        <w:pStyle w:val="16"/>
        <w:numPr>
          <w:ilvl w:val="0"/>
          <w:numId w:val="1"/>
        </w:numPr>
        <w:spacing w:after="80" w:line="276" w:lineRule="auto"/>
      </w:pPr>
      <w:r>
        <w:rPr>
          <w:sz w:val="22"/>
          <w:szCs w:val="22"/>
        </w:rPr>
        <w:t>Deliberately scaled synthetic intensities: persona intensities are scaled down from literal real averages (40–45 vs. 57–68 events/day) for demo-scale legibility rather than maximum realism.</w:t>
      </w:r>
    </w:p>
    <w:p w14:paraId="359225F6">
      <w:pPr>
        <w:pStyle w:val="16"/>
        <w:numPr>
          <w:ilvl w:val="0"/>
          <w:numId w:val="1"/>
        </w:numPr>
        <w:spacing w:after="80" w:line="276" w:lineRule="auto"/>
      </w:pPr>
      <w:r>
        <w:rPr>
          <w:sz w:val="22"/>
          <w:szCs w:val="22"/>
        </w:rPr>
        <w:t>Cluster-based, capped filler-population sizing: the 50-user total population (real personas + cluster-assigned filler users) is sized for realistic, correlated coverage of the propensity segments, not volume maximization.</w:t>
      </w:r>
    </w:p>
    <w:p w14:paraId="2253631F">
      <w:pPr>
        <w:pStyle w:val="16"/>
        <w:numPr>
          <w:ilvl w:val="0"/>
          <w:numId w:val="1"/>
        </w:numPr>
        <w:spacing w:after="80" w:line="276" w:lineRule="auto"/>
      </w:pPr>
      <w:r>
        <w:rPr>
          <w:sz w:val="22"/>
          <w:szCs w:val="22"/>
        </w:rPr>
        <w:t>Small-file management: OPTIMIZE is run periodically on high-partition-count tables (e.g., bronze.events) to control file counts from daily partitioning.</w:t>
      </w:r>
    </w:p>
    <w:p w14:paraId="0B78FCD1">
      <w:pPr>
        <w:pStyle w:val="16"/>
        <w:numPr>
          <w:ilvl w:val="0"/>
          <w:numId w:val="1"/>
        </w:numPr>
        <w:spacing w:after="80" w:line="276" w:lineRule="auto"/>
      </w:pPr>
      <w:r>
        <w:rPr>
          <w:sz w:val="22"/>
          <w:szCs w:val="22"/>
        </w:rPr>
        <w:t>Storage hygiene: VACUUM retention periods are respected (not zeroed except in the isolated right-to-be-forgotten demo), so storage doesn't grow unbounded from tombstoned files.</w:t>
      </w:r>
    </w:p>
    <w:p w14:paraId="4E73D669">
      <w:pPr>
        <w:pStyle w:val="16"/>
        <w:numPr>
          <w:ilvl w:val="0"/>
          <w:numId w:val="1"/>
        </w:numPr>
        <w:spacing w:after="80" w:line="276" w:lineRule="auto"/>
      </w:pPr>
      <w:r>
        <w:rPr>
          <w:sz w:val="22"/>
          <w:szCs w:val="22"/>
        </w:rPr>
        <w:t>Serverless over provisioned compute: Free Edition's serverless model avoids paying for idle cluster uptime between pipeline runs, which matters given the team runs the pipeline on-demand rather than on a fixed schedule during development.</w:t>
      </w:r>
    </w:p>
    <w:sectPr>
      <w:headerReference r:id="rId4" w:type="first"/>
      <w:footerReference r:id="rId6" w:type="first"/>
      <w:headerReference r:id="rId3" w:type="default"/>
      <w:footerReference r:id="rId5" w:type="default"/>
      <w:pgSz w:w="12240" w:h="15840"/>
      <w:pgMar w:top="1080" w:right="1080" w:bottom="1080" w:left="108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CA0F0">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6FC3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FBA97">
    <w:pPr>
      <w:pBdr>
        <w:bottom w:val="single" w:color="CCCCCC" w:sz="4" w:space="4"/>
      </w:pBdr>
      <w:jc w:val="right"/>
    </w:pPr>
    <w:r>
      <w:rPr>
        <w:color w:val="888888"/>
        <w:sz w:val="16"/>
        <w:szCs w:val="16"/>
      </w:rPr>
      <w:t>Spotify Medallion Pipeline — Phase 1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4CDD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07284B01"/>
    <w:rsid w:val="528B252F"/>
    <w:rsid w:val="67512F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2713</Words>
  <Characters>17342</Characters>
  <TotalTime>1</TotalTime>
  <ScaleCrop>false</ScaleCrop>
  <LinksUpToDate>false</LinksUpToDate>
  <CharactersWithSpaces>19825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2026-09-25T08:10:00Z</dcterms:created>
  <dc:creator>Azan Ali</dc:creator>
  <cp:lastModifiedBy>Syed Azan Ali Wasty BSDS 2024 FAST NU LHR</cp:lastModifiedBy>
  <dcterms:modified xsi:type="dcterms:W3CDTF">2026-09-26T10:03:21Z</dcterms:modified>
  <dc:title>Phase 1 Project Proposal — Spotify Medallion Pipeline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eyJoZGlkIjoiYmY5NTJkNTRkMDdkNWM2ODM1NDFhNTZjODA0ODUxZTYiLCJ1c2VySWQiOiIxOTI0MTYwMzM0MDA0In0=</vt:lpwstr>
  </property>
  <property fmtid="{D5CDD505-2E9C-101B-9397-08002B2CF9AE}" pid="3" name="KSOProductBuildVer">
    <vt:lpwstr>1033-12.1.0.28485</vt:lpwstr>
  </property>
  <property fmtid="{D5CDD505-2E9C-101B-9397-08002B2CF9AE}" pid="4" name="ICV">
    <vt:lpwstr>E6ABD75F0D424E259462131C21AB4DE7_12</vt:lpwstr>
  </property>
</Properties>
</file>