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08EFD">
      <w:pPr>
        <w:spacing w:after="120"/>
        <w:rPr>
          <w:b/>
          <w:bCs/>
          <w:color w:val="1F3864"/>
          <w:sz w:val="44"/>
          <w:szCs w:val="44"/>
        </w:rPr>
      </w:pPr>
    </w:p>
    <w:p w14:paraId="69A79A56">
      <w:pPr>
        <w:spacing w:after="120"/>
        <w:rPr>
          <w:b/>
          <w:bCs/>
          <w:color w:val="1F3864"/>
          <w:sz w:val="44"/>
          <w:szCs w:val="44"/>
        </w:rPr>
      </w:pPr>
    </w:p>
    <w:p w14:paraId="686F0A61">
      <w:pPr>
        <w:spacing w:after="120"/>
        <w:rPr>
          <w:b/>
          <w:bCs/>
          <w:color w:val="1F3864"/>
          <w:sz w:val="44"/>
          <w:szCs w:val="44"/>
        </w:rPr>
      </w:pPr>
    </w:p>
    <w:p w14:paraId="704F164D">
      <w:pPr>
        <w:spacing w:after="120"/>
        <w:rPr>
          <w:b/>
          <w:bCs/>
          <w:color w:val="1F3864"/>
          <w:sz w:val="44"/>
          <w:szCs w:val="44"/>
        </w:rPr>
      </w:pPr>
    </w:p>
    <w:p w14:paraId="71991DA4">
      <w:pPr>
        <w:spacing w:after="120"/>
        <w:rPr>
          <w:b/>
          <w:bCs/>
          <w:color w:val="1F3864"/>
          <w:sz w:val="44"/>
          <w:szCs w:val="44"/>
        </w:rPr>
      </w:pPr>
    </w:p>
    <w:p w14:paraId="7CCC686C">
      <w:pPr>
        <w:spacing w:after="120"/>
        <w:rPr>
          <w:b/>
          <w:bCs/>
          <w:color w:val="1F3864"/>
          <w:sz w:val="44"/>
          <w:szCs w:val="44"/>
        </w:rPr>
      </w:pPr>
    </w:p>
    <w:p w14:paraId="42EEA535">
      <w:pPr>
        <w:spacing w:after="120"/>
      </w:pPr>
      <w:r>
        <w:rPr>
          <w:b/>
          <w:bCs/>
          <w:color w:val="1F3864"/>
          <w:sz w:val="44"/>
          <w:szCs w:val="44"/>
        </w:rPr>
        <w:t>Phase 1 Project Proposal</w:t>
      </w:r>
    </w:p>
    <w:p w14:paraId="34F4764E">
      <w:pPr>
        <w:spacing w:after="300"/>
      </w:pPr>
      <w:r>
        <w:rPr>
          <w:color w:val="44546A"/>
          <w:sz w:val="28"/>
          <w:szCs w:val="28"/>
        </w:rPr>
        <w:t xml:space="preserve">Spotify Medallion Pipeline — </w:t>
      </w:r>
      <w:r>
        <w:rPr>
          <w:rFonts w:hint="default"/>
          <w:color w:val="44546A"/>
          <w:sz w:val="28"/>
          <w:szCs w:val="28"/>
          <w:lang w:val="en-US"/>
        </w:rPr>
        <w:t>User</w:t>
      </w:r>
      <w:r>
        <w:rPr>
          <w:color w:val="44546A"/>
          <w:sz w:val="28"/>
          <w:szCs w:val="28"/>
        </w:rPr>
        <w:t xml:space="preserve"> Listening Analytics </w:t>
      </w:r>
      <w:r>
        <w:rPr>
          <w:rFonts w:hint="default"/>
          <w:color w:val="44546A"/>
          <w:sz w:val="28"/>
          <w:szCs w:val="28"/>
          <w:lang w:val="en-US"/>
        </w:rPr>
        <w:t xml:space="preserve">and Behaviour </w:t>
      </w:r>
      <w:r>
        <w:rPr>
          <w:color w:val="44546A"/>
          <w:sz w:val="28"/>
          <w:szCs w:val="28"/>
        </w:rPr>
        <w:t>Dashboard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6486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3864"/>
            <w:tcMar>
              <w:top w:w="80" w:type="dxa"/>
              <w:left w:w="100" w:type="dxa"/>
              <w:bottom w:w="80" w:type="dxa"/>
              <w:right w:w="100" w:type="dxa"/>
            </w:tcMar>
          </w:tcPr>
          <w:p w14:paraId="5C02BF37">
            <w:r>
              <w:rPr>
                <w:b/>
                <w:bCs/>
                <w:color w:val="FFFFFF"/>
                <w:sz w:val="20"/>
                <w:szCs w:val="20"/>
              </w:rPr>
              <w:t>Field</w:t>
            </w:r>
          </w:p>
        </w:tc>
        <w:tc>
          <w:tcPr>
            <w:tcW w:w="6960" w:type="dxa"/>
            <w:shd w:val="clear" w:color="auto" w:fill="1F3864"/>
            <w:tcMar>
              <w:top w:w="80" w:type="dxa"/>
              <w:left w:w="100" w:type="dxa"/>
              <w:bottom w:w="80" w:type="dxa"/>
              <w:right w:w="100" w:type="dxa"/>
            </w:tcMar>
          </w:tcPr>
          <w:p w14:paraId="5790F830">
            <w:r>
              <w:rPr>
                <w:b/>
                <w:bCs/>
                <w:color w:val="FFFFFF"/>
                <w:sz w:val="20"/>
                <w:szCs w:val="20"/>
              </w:rPr>
              <w:t>Detail</w:t>
            </w:r>
          </w:p>
        </w:tc>
      </w:tr>
      <w:tr w14:paraId="1A3F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4688773">
            <w:r>
              <w:rPr>
                <w:b w:val="0"/>
                <w:bCs w:val="0"/>
                <w:sz w:val="20"/>
                <w:szCs w:val="20"/>
              </w:rPr>
              <w:t>Course</w:t>
            </w:r>
          </w:p>
        </w:tc>
        <w:tc>
          <w:tcPr>
            <w:tcW w:w="6960" w:type="dxa"/>
            <w:tcMar>
              <w:top w:w="80" w:type="dxa"/>
              <w:left w:w="100" w:type="dxa"/>
              <w:bottom w:w="80" w:type="dxa"/>
              <w:right w:w="100" w:type="dxa"/>
            </w:tcMar>
          </w:tcPr>
          <w:p w14:paraId="4542E62D">
            <w:r>
              <w:rPr>
                <w:b w:val="0"/>
                <w:bCs w:val="0"/>
                <w:sz w:val="20"/>
                <w:szCs w:val="20"/>
              </w:rPr>
              <w:t>Data Analytics &amp; Visualization— Semester Project</w:t>
            </w:r>
          </w:p>
        </w:tc>
      </w:tr>
      <w:tr w14:paraId="5A55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D8F166B">
            <w:r>
              <w:rPr>
                <w:b w:val="0"/>
                <w:bCs w:val="0"/>
                <w:sz w:val="20"/>
                <w:szCs w:val="20"/>
              </w:rPr>
              <w:t>Team</w:t>
            </w:r>
          </w:p>
        </w:tc>
        <w:tc>
          <w:tcPr>
            <w:tcW w:w="6960" w:type="dxa"/>
            <w:tcMar>
              <w:top w:w="80" w:type="dxa"/>
              <w:left w:w="100" w:type="dxa"/>
              <w:bottom w:w="80" w:type="dxa"/>
              <w:right w:w="100" w:type="dxa"/>
            </w:tcMar>
          </w:tcPr>
          <w:p w14:paraId="72757D4A">
            <w:pPr>
              <w:rPr>
                <w:rFonts w:hint="default"/>
                <w:lang w:val="en-US"/>
              </w:rPr>
            </w:pPr>
            <w:r>
              <w:rPr>
                <w:rFonts w:hint="default"/>
                <w:lang w:val="en-US"/>
              </w:rPr>
              <w:t>Azan Ali , Saaif Suleiman</w:t>
            </w:r>
          </w:p>
        </w:tc>
      </w:tr>
      <w:tr w14:paraId="11B9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13FAE79">
            <w:r>
              <w:rPr>
                <w:b w:val="0"/>
                <w:bCs w:val="0"/>
                <w:sz w:val="20"/>
                <w:szCs w:val="20"/>
              </w:rPr>
              <w:t>Phase</w:t>
            </w:r>
          </w:p>
        </w:tc>
        <w:tc>
          <w:tcPr>
            <w:tcW w:w="6960" w:type="dxa"/>
            <w:tcMar>
              <w:top w:w="80" w:type="dxa"/>
              <w:left w:w="100" w:type="dxa"/>
              <w:bottom w:w="80" w:type="dxa"/>
              <w:right w:w="100" w:type="dxa"/>
            </w:tcMar>
          </w:tcPr>
          <w:p w14:paraId="331657F4">
            <w:r>
              <w:rPr>
                <w:b w:val="0"/>
                <w:bCs w:val="0"/>
                <w:sz w:val="20"/>
                <w:szCs w:val="20"/>
              </w:rPr>
              <w:t xml:space="preserve">Phase 1 </w:t>
            </w:r>
            <w:r>
              <w:rPr>
                <w:rFonts w:hint="default"/>
                <w:b w:val="0"/>
                <w:bCs w:val="0"/>
                <w:sz w:val="20"/>
                <w:szCs w:val="20"/>
                <w:lang w:val="en-US"/>
              </w:rPr>
              <w:t>,</w:t>
            </w:r>
            <w:r>
              <w:rPr>
                <w:b w:val="0"/>
                <w:bCs w:val="0"/>
                <w:sz w:val="20"/>
                <w:szCs w:val="20"/>
              </w:rPr>
              <w:t>Proposal</w:t>
            </w:r>
          </w:p>
        </w:tc>
      </w:tr>
      <w:tr w14:paraId="613A0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6376F15">
            <w:r>
              <w:rPr>
                <w:b w:val="0"/>
                <w:bCs w:val="0"/>
                <w:sz w:val="20"/>
                <w:szCs w:val="20"/>
              </w:rPr>
              <w:t>Repository</w:t>
            </w:r>
          </w:p>
        </w:tc>
        <w:tc>
          <w:tcPr>
            <w:tcW w:w="6960" w:type="dxa"/>
            <w:tcMar>
              <w:top w:w="80" w:type="dxa"/>
              <w:left w:w="100" w:type="dxa"/>
              <w:bottom w:w="80" w:type="dxa"/>
              <w:right w:w="100" w:type="dxa"/>
            </w:tcMar>
          </w:tcPr>
          <w:p w14:paraId="08995AC7">
            <w:r>
              <w:rPr>
                <w:b w:val="0"/>
                <w:bCs w:val="0"/>
                <w:sz w:val="20"/>
                <w:szCs w:val="20"/>
              </w:rPr>
              <w:t>github.com/azan-wasty/spotify-medallion-pipeline  (update with actual repo link)</w:t>
            </w:r>
          </w:p>
        </w:tc>
      </w:tr>
    </w:tbl>
    <w:p w14:paraId="32C46490">
      <w:pPr>
        <w:spacing w:after="300"/>
      </w:pPr>
    </w:p>
    <w:p w14:paraId="2241D6A2">
      <w:pPr>
        <w:pBdr>
          <w:bottom w:val="single" w:color="999999" w:sz="6" w:space="4"/>
        </w:pBdr>
        <w:spacing w:after="240"/>
      </w:pPr>
    </w:p>
    <w:p w14:paraId="05920645">
      <w:pPr>
        <w:pBdr>
          <w:bottom w:val="single" w:color="999999" w:sz="6" w:space="4"/>
        </w:pBdr>
        <w:spacing w:after="240"/>
      </w:pPr>
    </w:p>
    <w:p w14:paraId="1EB27C14">
      <w:pPr>
        <w:pBdr>
          <w:bottom w:val="single" w:color="999999" w:sz="6" w:space="4"/>
        </w:pBdr>
        <w:spacing w:after="240"/>
      </w:pPr>
    </w:p>
    <w:p w14:paraId="0B1E37AE">
      <w:pPr>
        <w:pBdr>
          <w:bottom w:val="single" w:color="999999" w:sz="6" w:space="4"/>
        </w:pBdr>
        <w:spacing w:after="240"/>
      </w:pPr>
    </w:p>
    <w:p w14:paraId="49EEE023">
      <w:pPr>
        <w:pBdr>
          <w:bottom w:val="single" w:color="999999" w:sz="6" w:space="4"/>
        </w:pBdr>
        <w:spacing w:after="240"/>
      </w:pPr>
    </w:p>
    <w:p w14:paraId="5079B0C4">
      <w:pPr>
        <w:pBdr>
          <w:bottom w:val="single" w:color="999999" w:sz="6" w:space="4"/>
        </w:pBdr>
        <w:spacing w:after="240"/>
      </w:pPr>
    </w:p>
    <w:p w14:paraId="1CEF4D03">
      <w:pPr>
        <w:pBdr>
          <w:bottom w:val="single" w:color="999999" w:sz="6" w:space="4"/>
        </w:pBdr>
        <w:spacing w:after="240"/>
      </w:pPr>
    </w:p>
    <w:p w14:paraId="4718E13F">
      <w:pPr>
        <w:pBdr>
          <w:bottom w:val="single" w:color="999999" w:sz="6" w:space="4"/>
        </w:pBdr>
        <w:spacing w:after="240"/>
      </w:pPr>
    </w:p>
    <w:p w14:paraId="08BBC104">
      <w:pPr>
        <w:pBdr>
          <w:bottom w:val="single" w:color="999999" w:sz="6" w:space="4"/>
        </w:pBdr>
        <w:spacing w:after="240"/>
      </w:pPr>
    </w:p>
    <w:p w14:paraId="51DABD13">
      <w:pPr>
        <w:pBdr>
          <w:bottom w:val="single" w:color="999999" w:sz="6" w:space="4"/>
        </w:pBdr>
        <w:spacing w:after="240"/>
      </w:pPr>
    </w:p>
    <w:p w14:paraId="23CC563C">
      <w:pPr>
        <w:pBdr>
          <w:bottom w:val="single" w:color="999999" w:sz="6" w:space="4"/>
        </w:pBdr>
        <w:spacing w:after="240"/>
      </w:pPr>
    </w:p>
    <w:p w14:paraId="46370A49">
      <w:pPr>
        <w:pStyle w:val="2"/>
        <w:spacing w:before="360" w:after="160"/>
      </w:pPr>
      <w:r>
        <w:t>1. Domain &amp; Source Identification</w:t>
      </w:r>
    </w:p>
    <w:p w14:paraId="35F942B2">
      <w:pPr>
        <w:pStyle w:val="3"/>
        <w:spacing w:before="240" w:after="120"/>
      </w:pPr>
      <w:r>
        <w:t>1.1 Project Concept</w:t>
      </w:r>
    </w:p>
    <w:p w14:paraId="6BBCB893">
      <w:pPr>
        <w:spacing w:after="160"/>
      </w:pPr>
      <w:r>
        <w:t>The project domain is personalized music-listening analytics</w:t>
      </w:r>
      <w:r>
        <w:rPr>
          <w:rFonts w:hint="default"/>
          <w:lang w:val="en-US"/>
        </w:rPr>
        <w:t xml:space="preserve"> and user behaviours</w:t>
      </w:r>
      <w:r>
        <w:t>,</w:t>
      </w:r>
      <w:r>
        <w:rPr>
          <w:rFonts w:hint="default"/>
          <w:lang w:val="en-US"/>
        </w:rPr>
        <w:t xml:space="preserve"> featuring a version of</w:t>
      </w:r>
      <w:r>
        <w:t xml:space="preserve"> Spotify's own “Wrapped” feature. The pipeline ingests per-user, per-play listening events and processes them through a Medallion Architecture (Landing → Bronze → Silver → Gold) to produce both a consumer-facing personalized summary ( top artists, genres, tracks, listening minutes, discovery rate) and business-facing operational analytics (peak usage times, subscription-upgrade targeting, content/genre trend performance).</w:t>
      </w:r>
    </w:p>
    <w:p w14:paraId="2B715EA8">
      <w:pPr>
        <w:pStyle w:val="3"/>
        <w:spacing w:before="240" w:after="120"/>
      </w:pPr>
      <w:r>
        <w:t>1.2 Data Source</w:t>
      </w:r>
    </w:p>
    <w:p w14:paraId="3ACE9DFF">
      <w:pPr>
        <w:spacing w:after="160"/>
      </w:pPr>
      <w:r>
        <w:t>Spotify significantly restricted third-party developer access to its Web API between late 2024 and early 2026:</w:t>
      </w:r>
    </w:p>
    <w:p w14:paraId="5CB2FFF7">
      <w:pPr>
        <w:pStyle w:val="16"/>
        <w:numPr>
          <w:ilvl w:val="0"/>
          <w:numId w:val="1"/>
        </w:numPr>
        <w:spacing w:after="80"/>
      </w:pPr>
      <w:r>
        <w:t>The audio-features and audio-analysis endpoints were deprecated for all new applications as of November 27, 2024.</w:t>
      </w:r>
    </w:p>
    <w:p w14:paraId="38716D06">
      <w:pPr>
        <w:pStyle w:val="16"/>
        <w:numPr>
          <w:ilvl w:val="0"/>
          <w:numId w:val="1"/>
        </w:numPr>
        <w:spacing w:after="80"/>
      </w:pPr>
      <w:r>
        <w:t>Extended API quota was restricted to businesses with 250,000+ monthly active users as of May 2025.</w:t>
      </w:r>
    </w:p>
    <w:p w14:paraId="39B4DC3A">
      <w:pPr>
        <w:pStyle w:val="16"/>
        <w:numPr>
          <w:ilvl w:val="0"/>
          <w:numId w:val="1"/>
        </w:numPr>
        <w:spacing w:after="80"/>
      </w:pPr>
      <w:r>
        <w:t>Since February 11, 2026, creating a Developer app requires an active Premium subscription, and Development Mode caps registered test users at 5.</w:t>
      </w:r>
    </w:p>
    <w:p w14:paraId="62730316">
      <w:pPr>
        <w:spacing w:after="160"/>
      </w:pPr>
      <w:r>
        <w:t>Given these constraints, the project uses a deliberate, documented three-way data source strategy rather than relying on the Spotify API alone: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560"/>
        <w:gridCol w:w="1800"/>
      </w:tblGrid>
      <w:tr w14:paraId="7F4D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80" w:type="dxa"/>
              <w:left w:w="100" w:type="dxa"/>
              <w:bottom w:w="80" w:type="dxa"/>
              <w:right w:w="100" w:type="dxa"/>
            </w:tcMar>
          </w:tcPr>
          <w:p w14:paraId="117947AF">
            <w:r>
              <w:rPr>
                <w:b/>
                <w:bCs/>
                <w:color w:val="FFFFFF"/>
                <w:sz w:val="20"/>
                <w:szCs w:val="20"/>
              </w:rPr>
              <w:t>Source</w:t>
            </w:r>
          </w:p>
        </w:tc>
        <w:tc>
          <w:tcPr>
            <w:tcW w:w="4560" w:type="dxa"/>
            <w:shd w:val="clear" w:color="auto" w:fill="1F3864"/>
            <w:tcMar>
              <w:top w:w="80" w:type="dxa"/>
              <w:left w:w="100" w:type="dxa"/>
              <w:bottom w:w="80" w:type="dxa"/>
              <w:right w:w="100" w:type="dxa"/>
            </w:tcMar>
          </w:tcPr>
          <w:p w14:paraId="236A75EC">
            <w:r>
              <w:rPr>
                <w:b/>
                <w:bCs/>
                <w:color w:val="FFFFFF"/>
                <w:sz w:val="20"/>
                <w:szCs w:val="20"/>
              </w:rPr>
              <w:t>Description</w:t>
            </w:r>
          </w:p>
        </w:tc>
        <w:tc>
          <w:tcPr>
            <w:tcW w:w="1800" w:type="dxa"/>
            <w:shd w:val="clear" w:color="auto" w:fill="1F3864"/>
            <w:tcMar>
              <w:top w:w="80" w:type="dxa"/>
              <w:left w:w="100" w:type="dxa"/>
              <w:bottom w:w="80" w:type="dxa"/>
              <w:right w:w="100" w:type="dxa"/>
            </w:tcMar>
          </w:tcPr>
          <w:p w14:paraId="0E029C8A">
            <w:r>
              <w:rPr>
                <w:b/>
                <w:bCs/>
                <w:color w:val="FFFFFF"/>
                <w:sz w:val="20"/>
                <w:szCs w:val="20"/>
              </w:rPr>
              <w:t>Role</w:t>
            </w:r>
          </w:p>
        </w:tc>
      </w:tr>
      <w:tr w14:paraId="6A05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A733EAE">
            <w:r>
              <w:rPr>
                <w:b w:val="0"/>
                <w:bCs w:val="0"/>
                <w:sz w:val="20"/>
                <w:szCs w:val="20"/>
              </w:rPr>
              <w:t>Synthetic listener-behavior generator (generate_data_v2.py)</w:t>
            </w:r>
          </w:p>
        </w:tc>
        <w:tc>
          <w:tcPr>
            <w:tcW w:w="4560" w:type="dxa"/>
            <w:tcMar>
              <w:top w:w="80" w:type="dxa"/>
              <w:left w:w="100" w:type="dxa"/>
              <w:bottom w:w="80" w:type="dxa"/>
              <w:right w:w="100" w:type="dxa"/>
            </w:tcMar>
          </w:tcPr>
          <w:p w14:paraId="69235A29">
            <w:r>
              <w:rPr>
                <w:b w:val="0"/>
                <w:bCs w:val="0"/>
                <w:sz w:val="20"/>
                <w:szCs w:val="20"/>
              </w:rPr>
              <w:t>A controlled generator producing realistic per-user listening events across a catalog of tracks, calibrated against derived real-listener profiles.</w:t>
            </w:r>
          </w:p>
        </w:tc>
        <w:tc>
          <w:tcPr>
            <w:tcW w:w="1800" w:type="dxa"/>
            <w:tcMar>
              <w:top w:w="80" w:type="dxa"/>
              <w:left w:w="100" w:type="dxa"/>
              <w:bottom w:w="80" w:type="dxa"/>
              <w:right w:w="100" w:type="dxa"/>
            </w:tcMar>
          </w:tcPr>
          <w:p w14:paraId="4862AE5E">
            <w:r>
              <w:rPr>
                <w:b w:val="0"/>
                <w:bCs w:val="0"/>
                <w:sz w:val="20"/>
                <w:szCs w:val="20"/>
              </w:rPr>
              <w:t>Primary — bulk of full-load and incremental volume.</w:t>
            </w:r>
          </w:p>
        </w:tc>
      </w:tr>
      <w:tr w14:paraId="2046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72D822D">
            <w:r>
              <w:rPr>
                <w:b w:val="0"/>
                <w:bCs w:val="0"/>
                <w:sz w:val="20"/>
                <w:szCs w:val="20"/>
              </w:rPr>
              <w:t>Real, export-based data (sanitize_real_data.py)</w:t>
            </w:r>
          </w:p>
        </w:tc>
        <w:tc>
          <w:tcPr>
            <w:tcW w:w="4560" w:type="dxa"/>
            <w:tcMar>
              <w:top w:w="80" w:type="dxa"/>
              <w:left w:w="100" w:type="dxa"/>
              <w:bottom w:w="80" w:type="dxa"/>
              <w:right w:w="100" w:type="dxa"/>
            </w:tcMar>
          </w:tcPr>
          <w:p w14:paraId="51E449A4">
            <w:r>
              <w:rPr>
                <w:b w:val="0"/>
                <w:bCs w:val="0"/>
                <w:sz w:val="20"/>
                <w:szCs w:val="20"/>
              </w:rPr>
              <w:t>Team members' and consenting friends' Spotify “Extended Streaming History” exports (self-requested via account privacy settings), sanitized and pseudonymized.</w:t>
            </w:r>
          </w:p>
        </w:tc>
        <w:tc>
          <w:tcPr>
            <w:tcW w:w="1800" w:type="dxa"/>
            <w:tcMar>
              <w:top w:w="80" w:type="dxa"/>
              <w:left w:w="100" w:type="dxa"/>
              <w:bottom w:w="80" w:type="dxa"/>
              <w:right w:w="100" w:type="dxa"/>
            </w:tcMar>
          </w:tcPr>
          <w:p w14:paraId="33847F21">
            <w:r>
              <w:rPr>
                <w:b w:val="0"/>
                <w:bCs w:val="0"/>
                <w:sz w:val="20"/>
                <w:szCs w:val="20"/>
              </w:rPr>
              <w:t>Secondary — validation and demo realism; full-load history per real persona.</w:t>
            </w:r>
          </w:p>
        </w:tc>
      </w:tr>
      <w:tr w14:paraId="01682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C978185">
            <w:r>
              <w:rPr>
                <w:b w:val="0"/>
                <w:bCs w:val="0"/>
                <w:sz w:val="20"/>
                <w:szCs w:val="20"/>
              </w:rPr>
              <w:t>Real, live API-based data (fetch_recently_played.py)</w:t>
            </w:r>
          </w:p>
        </w:tc>
        <w:tc>
          <w:tcPr>
            <w:tcW w:w="4560" w:type="dxa"/>
            <w:tcMar>
              <w:top w:w="80" w:type="dxa"/>
              <w:left w:w="100" w:type="dxa"/>
              <w:bottom w:w="80" w:type="dxa"/>
              <w:right w:w="100" w:type="dxa"/>
            </w:tcMar>
          </w:tcPr>
          <w:p w14:paraId="044D599B">
            <w:r>
              <w:rPr>
                <w:b w:val="0"/>
                <w:bCs w:val="0"/>
                <w:sz w:val="20"/>
                <w:szCs w:val="20"/>
              </w:rPr>
              <w:t>Ongoing OAuth-based incremental pulls via the Spotify Web API, for accounts within the 5-test-user Development Mode cap.</w:t>
            </w:r>
          </w:p>
        </w:tc>
        <w:tc>
          <w:tcPr>
            <w:tcW w:w="1800" w:type="dxa"/>
            <w:tcMar>
              <w:top w:w="80" w:type="dxa"/>
              <w:left w:w="100" w:type="dxa"/>
              <w:bottom w:w="80" w:type="dxa"/>
              <w:right w:w="100" w:type="dxa"/>
            </w:tcMar>
          </w:tcPr>
          <w:p w14:paraId="207091C7">
            <w:r>
              <w:rPr>
                <w:b w:val="0"/>
                <w:bCs w:val="0"/>
                <w:sz w:val="20"/>
                <w:szCs w:val="20"/>
              </w:rPr>
              <w:t>Secondary — live incremental data for onboarded real personas.</w:t>
            </w:r>
          </w:p>
        </w:tc>
      </w:tr>
    </w:tbl>
    <w:p w14:paraId="7D4F0ABE">
      <w:pPr>
        <w:spacing w:after="200"/>
      </w:pPr>
    </w:p>
    <w:p w14:paraId="48DFADD9">
      <w:pPr>
        <w:spacing w:after="160"/>
      </w:pPr>
      <w:r>
        <w:t>This is an engineering trade-off made necessary by platform restrictions, not a shortcut: it is documented and defended as such throughout the design.</w:t>
      </w:r>
    </w:p>
    <w:p w14:paraId="5716CD74">
      <w:pPr>
        <w:pStyle w:val="3"/>
        <w:spacing w:before="240" w:after="120"/>
      </w:pPr>
      <w:r>
        <w:t>1.3 Ingestion Pattern — Full Load and Incremental 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62B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F3864"/>
            <w:tcMar>
              <w:top w:w="80" w:type="dxa"/>
              <w:left w:w="100" w:type="dxa"/>
              <w:bottom w:w="80" w:type="dxa"/>
              <w:right w:w="100" w:type="dxa"/>
            </w:tcMar>
          </w:tcPr>
          <w:p w14:paraId="6B693554">
            <w:r>
              <w:rPr>
                <w:b/>
                <w:bCs/>
                <w:color w:val="FFFFFF"/>
                <w:sz w:val="20"/>
                <w:szCs w:val="20"/>
              </w:rPr>
              <w:t>Load type</w:t>
            </w:r>
          </w:p>
        </w:tc>
        <w:tc>
          <w:tcPr>
            <w:tcW w:w="7160" w:type="dxa"/>
            <w:shd w:val="clear" w:color="auto" w:fill="1F3864"/>
            <w:tcMar>
              <w:top w:w="80" w:type="dxa"/>
              <w:left w:w="100" w:type="dxa"/>
              <w:bottom w:w="80" w:type="dxa"/>
              <w:right w:w="100" w:type="dxa"/>
            </w:tcMar>
          </w:tcPr>
          <w:p w14:paraId="03DDABFB">
            <w:r>
              <w:rPr>
                <w:b/>
                <w:bCs/>
                <w:color w:val="FFFFFF"/>
                <w:sz w:val="20"/>
                <w:szCs w:val="20"/>
              </w:rPr>
              <w:t>How it is satisfied</w:t>
            </w:r>
          </w:p>
        </w:tc>
      </w:tr>
      <w:tr w14:paraId="20DB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192C0BB">
            <w:r>
              <w:rPr>
                <w:b w:val="0"/>
                <w:bCs w:val="0"/>
                <w:sz w:val="20"/>
                <w:szCs w:val="20"/>
              </w:rPr>
              <w:t>Full load</w:t>
            </w:r>
          </w:p>
        </w:tc>
        <w:tc>
          <w:tcPr>
            <w:tcW w:w="7160" w:type="dxa"/>
            <w:tcMar>
              <w:top w:w="80" w:type="dxa"/>
              <w:left w:w="100" w:type="dxa"/>
              <w:bottom w:w="80" w:type="dxa"/>
              <w:right w:w="100" w:type="dxa"/>
            </w:tcMar>
          </w:tcPr>
          <w:p w14:paraId="3C98AAC4">
            <w:r>
              <w:rPr>
                <w:b w:val="0"/>
                <w:bCs w:val="0"/>
                <w:sz w:val="20"/>
                <w:szCs w:val="20"/>
              </w:rPr>
              <w:t>generate_data_v2.py full — bulk-generates a historical baseline (default 450 days back). Each real persona's full load is always their actual export via sanitize_real_data.py.</w:t>
            </w:r>
          </w:p>
        </w:tc>
      </w:tr>
      <w:tr w14:paraId="4A88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69C6B0E">
            <w:r>
              <w:rPr>
                <w:b w:val="0"/>
                <w:bCs w:val="0"/>
                <w:sz w:val="20"/>
                <w:szCs w:val="20"/>
              </w:rPr>
              <w:t>Incremental load</w:t>
            </w:r>
          </w:p>
        </w:tc>
        <w:tc>
          <w:tcPr>
            <w:tcW w:w="7160" w:type="dxa"/>
            <w:tcMar>
              <w:top w:w="80" w:type="dxa"/>
              <w:left w:w="100" w:type="dxa"/>
              <w:bottom w:w="80" w:type="dxa"/>
              <w:right w:w="100" w:type="dxa"/>
            </w:tcMar>
          </w:tcPr>
          <w:p w14:paraId="31E18562">
            <w:r>
              <w:rPr>
                <w:b w:val="0"/>
                <w:bCs w:val="0"/>
                <w:sz w:val="20"/>
                <w:szCs w:val="20"/>
              </w:rPr>
              <w:t>generate_data_v2.py incremental [--date] generates one day's partition (synthetic, or persona-matched synthetic for personas without live API access). fetch_recently_played.py pulls new plays for onboarded real accounts via OAuth.</w:t>
            </w:r>
          </w:p>
        </w:tc>
      </w:tr>
    </w:tbl>
    <w:p w14:paraId="655007C0">
      <w:pPr>
        <w:spacing w:after="160"/>
      </w:pPr>
    </w:p>
    <w:p w14:paraId="44D4FA43">
      <w:pPr>
        <w:spacing w:after="160"/>
      </w:pPr>
      <w:r>
        <w:t>Every real persona therefore has a defined incremental strategy regardless of whether they are onboarded to the live API: full load is always real (from their export); incremental load is real (live API) where onboarded, otherwise synthetic but behaviorally calibrated to that persona's derived profile (favorite_genres, intensity, skip_rate) — tagged data_source = synthetic_persona_matched so it is distinguishable from both genuine live pulls and pure filler-user synthetic data.</w:t>
      </w:r>
    </w:p>
    <w:p w14:paraId="5FF5300D">
      <w:pPr>
        <w:pStyle w:val="2"/>
        <w:spacing w:before="360" w:after="160"/>
      </w:pPr>
      <w:r>
        <w:t>2. Data Samples &amp; Volume</w:t>
      </w:r>
    </w:p>
    <w:p w14:paraId="21B06C9A">
      <w:pPr>
        <w:pStyle w:val="3"/>
        <w:spacing w:before="240" w:after="120"/>
      </w:pPr>
      <w:r>
        <w:t>2.1 Sample Files</w:t>
      </w:r>
    </w:p>
    <w:p w14:paraId="19D128FA">
      <w:pPr>
        <w:spacing w:after="160"/>
      </w:pPr>
      <w:r>
        <w:t>The repository includes representative raw sample files for both load types, in the events.json landing format (output/raw/dt=YYYY-MM-DD/events.json):</w:t>
      </w:r>
    </w:p>
    <w:p w14:paraId="021F7BE3">
      <w:pPr>
        <w:pStyle w:val="16"/>
        <w:numPr>
          <w:ilvl w:val="0"/>
          <w:numId w:val="1"/>
        </w:numPr>
        <w:spacing w:after="80"/>
      </w:pPr>
      <w:r>
        <w:t>Full-load sample: one dt= partition drawn from a generate_data_v2.py full run, plus one sanitized real-persona export partition.</w:t>
      </w:r>
    </w:p>
    <w:p w14:paraId="3F01F88B">
      <w:pPr>
        <w:pStyle w:val="16"/>
        <w:numPr>
          <w:ilvl w:val="0"/>
          <w:numId w:val="1"/>
        </w:numPr>
        <w:spacing w:after="80"/>
      </w:pPr>
      <w:r>
        <w:t>Incremental-load sample: one dt= partition from a generate_data_v2.py incremental run and, separately, one live pull from fetch_recently_played.py for an onboarded persona.</w:t>
      </w:r>
    </w:p>
    <w:p w14:paraId="7846E403">
      <w:pPr>
        <w:pStyle w:val="3"/>
        <w:spacing w:before="240" w:after="120"/>
      </w:pPr>
      <w:r>
        <w:t>2.2 Volume &amp; Frequency Estimation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00"/>
        <w:gridCol w:w="3360"/>
      </w:tblGrid>
      <w:tr w14:paraId="65D9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3864"/>
            <w:tcMar>
              <w:top w:w="80" w:type="dxa"/>
              <w:left w:w="100" w:type="dxa"/>
              <w:bottom w:w="80" w:type="dxa"/>
              <w:right w:w="100" w:type="dxa"/>
            </w:tcMar>
          </w:tcPr>
          <w:p w14:paraId="6A82E845">
            <w:r>
              <w:rPr>
                <w:b/>
                <w:bCs/>
                <w:color w:val="FFFFFF"/>
                <w:sz w:val="20"/>
                <w:szCs w:val="20"/>
              </w:rPr>
              <w:t>Metric</w:t>
            </w:r>
          </w:p>
        </w:tc>
        <w:tc>
          <w:tcPr>
            <w:tcW w:w="3600" w:type="dxa"/>
            <w:shd w:val="clear" w:color="auto" w:fill="1F3864"/>
            <w:tcMar>
              <w:top w:w="80" w:type="dxa"/>
              <w:left w:w="100" w:type="dxa"/>
              <w:bottom w:w="80" w:type="dxa"/>
              <w:right w:w="100" w:type="dxa"/>
            </w:tcMar>
          </w:tcPr>
          <w:p w14:paraId="383954A9">
            <w:r>
              <w:rPr>
                <w:b/>
                <w:bCs/>
                <w:color w:val="FFFFFF"/>
                <w:sz w:val="20"/>
                <w:szCs w:val="20"/>
              </w:rPr>
              <w:t>Estimate</w:t>
            </w:r>
          </w:p>
        </w:tc>
        <w:tc>
          <w:tcPr>
            <w:tcW w:w="3360" w:type="dxa"/>
            <w:shd w:val="clear" w:color="auto" w:fill="1F3864"/>
            <w:tcMar>
              <w:top w:w="80" w:type="dxa"/>
              <w:left w:w="100" w:type="dxa"/>
              <w:bottom w:w="80" w:type="dxa"/>
              <w:right w:w="100" w:type="dxa"/>
            </w:tcMar>
          </w:tcPr>
          <w:p w14:paraId="60AF8D6C">
            <w:r>
              <w:rPr>
                <w:b/>
                <w:bCs/>
                <w:color w:val="FFFFFF"/>
                <w:sz w:val="20"/>
                <w:szCs w:val="20"/>
              </w:rPr>
              <w:t>Basis</w:t>
            </w:r>
          </w:p>
        </w:tc>
      </w:tr>
      <w:tr w14:paraId="7A85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0E2CD69">
            <w:r>
              <w:rPr>
                <w:b w:val="0"/>
                <w:bCs w:val="0"/>
                <w:sz w:val="20"/>
                <w:szCs w:val="20"/>
              </w:rPr>
              <w:t>Full-load window</w:t>
            </w:r>
          </w:p>
        </w:tc>
        <w:tc>
          <w:tcPr>
            <w:tcW w:w="3600" w:type="dxa"/>
            <w:tcMar>
              <w:top w:w="80" w:type="dxa"/>
              <w:left w:w="100" w:type="dxa"/>
              <w:bottom w:w="80" w:type="dxa"/>
              <w:right w:w="100" w:type="dxa"/>
            </w:tcMar>
          </w:tcPr>
          <w:p w14:paraId="39F27329">
            <w:r>
              <w:rPr>
                <w:b w:val="0"/>
                <w:bCs w:val="0"/>
                <w:sz w:val="20"/>
                <w:szCs w:val="20"/>
              </w:rPr>
              <w:t>450 days of history</w:t>
            </w:r>
          </w:p>
        </w:tc>
        <w:tc>
          <w:tcPr>
            <w:tcW w:w="3360" w:type="dxa"/>
            <w:tcMar>
              <w:top w:w="80" w:type="dxa"/>
              <w:left w:w="100" w:type="dxa"/>
              <w:bottom w:w="80" w:type="dxa"/>
              <w:right w:w="100" w:type="dxa"/>
            </w:tcMar>
          </w:tcPr>
          <w:p w14:paraId="2A692ACB">
            <w:r>
              <w:rPr>
                <w:b w:val="0"/>
                <w:bCs w:val="0"/>
                <w:sz w:val="20"/>
                <w:szCs w:val="20"/>
              </w:rPr>
              <w:t>Default backfill window in generate_data_v2.py full.</w:t>
            </w:r>
          </w:p>
        </w:tc>
      </w:tr>
      <w:tr w14:paraId="7531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8BE040D">
            <w:r>
              <w:rPr>
                <w:b w:val="0"/>
                <w:bCs w:val="0"/>
                <w:sz w:val="20"/>
                <w:szCs w:val="20"/>
              </w:rPr>
              <w:t>Real listener intensity</w:t>
            </w:r>
          </w:p>
        </w:tc>
        <w:tc>
          <w:tcPr>
            <w:tcW w:w="3600" w:type="dxa"/>
            <w:tcMar>
              <w:top w:w="80" w:type="dxa"/>
              <w:left w:w="100" w:type="dxa"/>
              <w:bottom w:w="80" w:type="dxa"/>
              <w:right w:w="100" w:type="dxa"/>
            </w:tcMar>
          </w:tcPr>
          <w:p w14:paraId="08EDEED9">
            <w:r>
              <w:rPr>
                <w:b w:val="0"/>
                <w:bCs w:val="0"/>
                <w:sz w:val="20"/>
                <w:szCs w:val="20"/>
              </w:rPr>
              <w:t>57–68 events per active day (measured)</w:t>
            </w:r>
          </w:p>
        </w:tc>
        <w:tc>
          <w:tcPr>
            <w:tcW w:w="3360" w:type="dxa"/>
            <w:tcMar>
              <w:top w:w="80" w:type="dxa"/>
              <w:left w:w="100" w:type="dxa"/>
              <w:bottom w:w="80" w:type="dxa"/>
              <w:right w:w="100" w:type="dxa"/>
            </w:tcMar>
          </w:tcPr>
          <w:p w14:paraId="69D672DA">
            <w:r>
              <w:rPr>
                <w:b w:val="0"/>
                <w:bCs w:val="0"/>
                <w:sz w:val="20"/>
                <w:szCs w:val="20"/>
              </w:rPr>
              <w:t>Derived from 3 analyzed real Extended Streaming History exports.</w:t>
            </w:r>
          </w:p>
        </w:tc>
      </w:tr>
      <w:tr w14:paraId="7E1E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B93D67D">
            <w:r>
              <w:rPr>
                <w:b w:val="0"/>
                <w:bCs w:val="0"/>
                <w:sz w:val="20"/>
                <w:szCs w:val="20"/>
              </w:rPr>
              <w:t>Synthetic persona intensity</w:t>
            </w:r>
          </w:p>
        </w:tc>
        <w:tc>
          <w:tcPr>
            <w:tcW w:w="3600" w:type="dxa"/>
            <w:tcMar>
              <w:top w:w="80" w:type="dxa"/>
              <w:left w:w="100" w:type="dxa"/>
              <w:bottom w:w="80" w:type="dxa"/>
              <w:right w:w="100" w:type="dxa"/>
            </w:tcMar>
          </w:tcPr>
          <w:p w14:paraId="1A15E7D9">
            <w:r>
              <w:rPr>
                <w:b w:val="0"/>
                <w:bCs w:val="0"/>
                <w:sz w:val="20"/>
                <w:szCs w:val="20"/>
              </w:rPr>
              <w:t>40–45 events per active day (scaled down from real)</w:t>
            </w:r>
          </w:p>
        </w:tc>
        <w:tc>
          <w:tcPr>
            <w:tcW w:w="3360" w:type="dxa"/>
            <w:tcMar>
              <w:top w:w="80" w:type="dxa"/>
              <w:left w:w="100" w:type="dxa"/>
              <w:bottom w:w="80" w:type="dxa"/>
              <w:right w:w="100" w:type="dxa"/>
            </w:tcMar>
          </w:tcPr>
          <w:p w14:paraId="7EEB06A7">
            <w:r>
              <w:rPr>
                <w:b w:val="0"/>
                <w:bCs w:val="0"/>
                <w:sz w:val="20"/>
                <w:szCs w:val="20"/>
              </w:rPr>
              <w:t>Deliberate scale-down from the literal real average, for demo legibility.</w:t>
            </w:r>
          </w:p>
        </w:tc>
      </w:tr>
      <w:tr w14:paraId="5F9E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5D66E04">
            <w:r>
              <w:rPr>
                <w:b w:val="0"/>
                <w:bCs w:val="0"/>
                <w:sz w:val="20"/>
                <w:szCs w:val="20"/>
              </w:rPr>
              <w:t>Filler population intensity</w:t>
            </w:r>
          </w:p>
        </w:tc>
        <w:tc>
          <w:tcPr>
            <w:tcW w:w="3600" w:type="dxa"/>
            <w:tcMar>
              <w:top w:w="80" w:type="dxa"/>
              <w:left w:w="100" w:type="dxa"/>
              <w:bottom w:w="80" w:type="dxa"/>
              <w:right w:w="100" w:type="dxa"/>
            </w:tcMar>
          </w:tcPr>
          <w:p w14:paraId="3F8B7936">
            <w:r>
              <w:rPr>
                <w:b w:val="0"/>
                <w:bCs w:val="0"/>
                <w:sz w:val="20"/>
                <w:szCs w:val="20"/>
              </w:rPr>
              <w:t>Truncated normal, mean 15 / std 15, floored at 1</w:t>
            </w:r>
          </w:p>
        </w:tc>
        <w:tc>
          <w:tcPr>
            <w:tcW w:w="3360" w:type="dxa"/>
            <w:tcMar>
              <w:top w:w="80" w:type="dxa"/>
              <w:left w:w="100" w:type="dxa"/>
              <w:bottom w:w="80" w:type="dxa"/>
              <w:right w:w="100" w:type="dxa"/>
            </w:tcMar>
          </w:tcPr>
          <w:p w14:paraId="10A3A47C">
            <w:r>
              <w:rPr>
                <w:b w:val="0"/>
                <w:bCs w:val="0"/>
                <w:sz w:val="20"/>
                <w:szCs w:val="20"/>
              </w:rPr>
              <w:t>Bell-curve distribution rather than a flat random range; real personas sit ~1.7–2.0 std above this mean.</w:t>
            </w:r>
          </w:p>
        </w:tc>
      </w:tr>
      <w:tr w14:paraId="09E4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D1D284D">
            <w:r>
              <w:rPr>
                <w:b w:val="0"/>
                <w:bCs w:val="0"/>
                <w:sz w:val="20"/>
                <w:szCs w:val="20"/>
              </w:rPr>
              <w:t>Estimated full-load size</w:t>
            </w:r>
          </w:p>
        </w:tc>
        <w:tc>
          <w:tcPr>
            <w:tcW w:w="3600" w:type="dxa"/>
            <w:tcMar>
              <w:top w:w="80" w:type="dxa"/>
              <w:left w:w="100" w:type="dxa"/>
              <w:bottom w:w="80" w:type="dxa"/>
              <w:right w:w="100" w:type="dxa"/>
            </w:tcMar>
          </w:tcPr>
          <w:p w14:paraId="404E5222">
            <w:r>
              <w:rPr>
                <w:b w:val="0"/>
                <w:bCs w:val="0"/>
                <w:sz w:val="20"/>
                <w:szCs w:val="20"/>
              </w:rPr>
              <w:t>[measure from generated output/ directory, e.g. du -sh output/raw]</w:t>
            </w:r>
          </w:p>
        </w:tc>
        <w:tc>
          <w:tcPr>
            <w:tcW w:w="3360" w:type="dxa"/>
            <w:tcMar>
              <w:top w:w="80" w:type="dxa"/>
              <w:left w:w="100" w:type="dxa"/>
              <w:bottom w:w="80" w:type="dxa"/>
              <w:right w:w="100" w:type="dxa"/>
            </w:tcMar>
          </w:tcPr>
          <w:p w14:paraId="78910E71">
            <w:r>
              <w:rPr>
                <w:b w:val="0"/>
                <w:bCs w:val="0"/>
                <w:sz w:val="20"/>
                <w:szCs w:val="20"/>
              </w:rPr>
              <w:t>To be filled in with actual measured size before submission.</w:t>
            </w:r>
          </w:p>
        </w:tc>
      </w:tr>
      <w:tr w14:paraId="0F95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F7D16BF">
            <w:r>
              <w:rPr>
                <w:b w:val="0"/>
                <w:bCs w:val="0"/>
                <w:sz w:val="20"/>
                <w:szCs w:val="20"/>
              </w:rPr>
              <w:t>Estimated daily incremental size</w:t>
            </w:r>
          </w:p>
        </w:tc>
        <w:tc>
          <w:tcPr>
            <w:tcW w:w="3600" w:type="dxa"/>
            <w:tcMar>
              <w:top w:w="80" w:type="dxa"/>
              <w:left w:w="100" w:type="dxa"/>
              <w:bottom w:w="80" w:type="dxa"/>
              <w:right w:w="100" w:type="dxa"/>
            </w:tcMar>
          </w:tcPr>
          <w:p w14:paraId="0DE17CFF">
            <w:r>
              <w:rPr>
                <w:b w:val="0"/>
                <w:bCs w:val="0"/>
                <w:sz w:val="20"/>
                <w:szCs w:val="20"/>
              </w:rPr>
              <w:t>[measure a single dt= partition]</w:t>
            </w:r>
          </w:p>
        </w:tc>
        <w:tc>
          <w:tcPr>
            <w:tcW w:w="3360" w:type="dxa"/>
            <w:tcMar>
              <w:top w:w="80" w:type="dxa"/>
              <w:left w:w="100" w:type="dxa"/>
              <w:bottom w:w="80" w:type="dxa"/>
              <w:right w:w="100" w:type="dxa"/>
            </w:tcMar>
          </w:tcPr>
          <w:p w14:paraId="224C80D1">
            <w:r>
              <w:rPr>
                <w:b w:val="0"/>
                <w:bCs w:val="0"/>
                <w:sz w:val="20"/>
                <w:szCs w:val="20"/>
              </w:rPr>
              <w:t>One day's partition across all active users/personas.</w:t>
            </w:r>
          </w:p>
        </w:tc>
      </w:tr>
      <w:tr w14:paraId="1A20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BB64B9C">
            <w:r>
              <w:rPr>
                <w:b w:val="0"/>
                <w:bCs w:val="0"/>
                <w:sz w:val="20"/>
                <w:szCs w:val="20"/>
              </w:rPr>
              <w:t>Estimated weekly incremental size</w:t>
            </w:r>
          </w:p>
        </w:tc>
        <w:tc>
          <w:tcPr>
            <w:tcW w:w="3600" w:type="dxa"/>
            <w:tcMar>
              <w:top w:w="80" w:type="dxa"/>
              <w:left w:w="100" w:type="dxa"/>
              <w:bottom w:w="80" w:type="dxa"/>
              <w:right w:w="100" w:type="dxa"/>
            </w:tcMar>
          </w:tcPr>
          <w:p w14:paraId="1D926DBA">
            <w:r>
              <w:rPr>
                <w:b w:val="0"/>
                <w:bCs w:val="0"/>
                <w:sz w:val="20"/>
                <w:szCs w:val="20"/>
              </w:rPr>
              <w:t>Daily size × 7</w:t>
            </w:r>
          </w:p>
        </w:tc>
        <w:tc>
          <w:tcPr>
            <w:tcW w:w="3360" w:type="dxa"/>
            <w:tcMar>
              <w:top w:w="80" w:type="dxa"/>
              <w:left w:w="100" w:type="dxa"/>
              <w:bottom w:w="80" w:type="dxa"/>
              <w:right w:w="100" w:type="dxa"/>
            </w:tcMar>
          </w:tcPr>
          <w:p w14:paraId="6A67DCAC">
            <w:r>
              <w:rPr>
                <w:b w:val="0"/>
                <w:bCs w:val="0"/>
                <w:sz w:val="20"/>
                <w:szCs w:val="20"/>
              </w:rPr>
              <w:t>For scheduling and free-tier storage planning.</w:t>
            </w:r>
          </w:p>
        </w:tc>
      </w:tr>
    </w:tbl>
    <w:p w14:paraId="07B935AA">
      <w:pPr>
        <w:spacing w:after="160"/>
      </w:pPr>
    </w:p>
    <w:p w14:paraId="79B9104E">
      <w:pPr>
        <w:spacing w:after="160"/>
      </w:pPr>
      <w:r>
        <w:t>These figures should comfortably fit within Databricks Free Edition / Community Edition storage limits given the capped 450-day window and the deliberately scaled-down persona intensities; exact figures are confirmed once the full-load run is measured and entered above.</w:t>
      </w:r>
    </w:p>
    <w:p w14:paraId="0A153FF7">
      <w:pPr>
        <w:pStyle w:val="2"/>
        <w:spacing w:before="360" w:after="160"/>
      </w:pPr>
      <w:r>
        <w:t>3. Security &amp; Compliance</w:t>
      </w:r>
    </w:p>
    <w:p w14:paraId="42AE089F">
      <w:pPr>
        <w:pStyle w:val="3"/>
        <w:spacing w:before="240" w:after="120"/>
      </w:pPr>
      <w:r>
        <w:t>3.1 Identified PII and Sensitive Data</w:t>
      </w:r>
    </w:p>
    <w:p w14:paraId="59D8BAAA">
      <w:pPr>
        <w:spacing w:after="160"/>
      </w:pPr>
      <w:r>
        <w:t>The raw Spotify Extended Streaming History exports do contain PII. Specifically:</w:t>
      </w:r>
    </w:p>
    <w:p w14:paraId="4F210E52">
      <w:pPr>
        <w:pStyle w:val="16"/>
        <w:numPr>
          <w:ilvl w:val="0"/>
          <w:numId w:val="1"/>
        </w:numPr>
        <w:spacing w:after="80"/>
      </w:pPr>
      <w:r>
        <w:t>IP addresses (ip_addr) recorded for every play event — the primary PII concern.</w:t>
      </w:r>
    </w:p>
    <w:p w14:paraId="28ED750F">
      <w:pPr>
        <w:pStyle w:val="16"/>
        <w:numPr>
          <w:ilvl w:val="0"/>
          <w:numId w:val="1"/>
        </w:numPr>
        <w:spacing w:after="80"/>
      </w:pPr>
      <w:r>
        <w:t>Device/platform identifiers and connection country (conn_country), which are lower-sensitivity but still handled with care.</w:t>
      </w:r>
    </w:p>
    <w:p w14:paraId="44A3C779">
      <w:pPr>
        <w:pStyle w:val="16"/>
        <w:numPr>
          <w:ilvl w:val="0"/>
          <w:numId w:val="1"/>
        </w:numPr>
        <w:spacing w:after="80"/>
      </w:pPr>
      <w:r>
        <w:t>No exact names or email addresses are present in the streaming history export fields used by this pipeline (a username field, sometimes assumed present in older documentation, is not actually included).</w:t>
      </w:r>
    </w:p>
    <w:p w14:paraId="2A72C575">
      <w:pPr>
        <w:spacing w:after="160"/>
      </w:pPr>
      <w:r>
        <w:t>Synthetic data contains no PII by construction, since it is fully generated.</w:t>
      </w:r>
    </w:p>
    <w:p w14:paraId="38D2D975">
      <w:pPr>
        <w:pStyle w:val="3"/>
        <w:spacing w:before="240" w:after="120"/>
      </w:pPr>
      <w:r>
        <w:t>3.2 Handling Strategy</w:t>
      </w:r>
    </w:p>
    <w:p w14:paraId="14EE0E50">
      <w:pPr>
        <w:spacing w:after="160"/>
      </w:pPr>
      <w:r>
        <w:t>PII is removed before data ever reaches the landing zone or Bronze layer — not encrypted and carried forward, since the raw IP values have no downstream analytical use in this project:</w:t>
      </w:r>
    </w:p>
    <w:p w14:paraId="67E55CBA">
      <w:pPr>
        <w:pStyle w:val="16"/>
        <w:numPr>
          <w:ilvl w:val="0"/>
          <w:numId w:val="1"/>
        </w:numPr>
        <w:spacing w:after="80"/>
      </w:pPr>
      <w:r>
        <w:t>ip_addr (and ip_addr_decrypted / user_agent_decrypted if present) are dropped by sanitize_real_data.py before any real event is written to a committed file or the landing zone.</w:t>
      </w:r>
    </w:p>
    <w:p w14:paraId="539662FF">
      <w:pPr>
        <w:pStyle w:val="16"/>
        <w:numPr>
          <w:ilvl w:val="0"/>
          <w:numId w:val="1"/>
        </w:numPr>
        <w:spacing w:after="80"/>
      </w:pPr>
      <w:r>
        <w:t>Each real person is assigned a pseudonym (user_real_01, user_real_02, …); real names are never stored in the codebase, commit messages, file names, or documentation. The name-to-pseudonym mapping lives only in a local, uncommitted note.</w:t>
      </w:r>
    </w:p>
    <w:p w14:paraId="41A142D1">
      <w:pPr>
        <w:pStyle w:val="16"/>
        <w:numPr>
          <w:ilvl w:val="0"/>
          <w:numId w:val="1"/>
        </w:numPr>
        <w:spacing w:after="80"/>
      </w:pPr>
      <w:r>
        <w:t>Raw, unsanitized export files are never committed to version control, not even as samples.</w:t>
      </w:r>
    </w:p>
    <w:p w14:paraId="07559C4F">
      <w:pPr>
        <w:pStyle w:val="16"/>
        <w:numPr>
          <w:ilvl w:val="0"/>
          <w:numId w:val="1"/>
        </w:numPr>
        <w:spacing w:after="80"/>
      </w:pPr>
      <w:r>
        <w:t>Synthetic data requires no sanitization but still flows through the same Silver-layer transformation path as real data, for consistency.</w:t>
      </w:r>
    </w:p>
    <w:p w14:paraId="76915686">
      <w:pPr>
        <w:pStyle w:val="16"/>
        <w:numPr>
          <w:ilvl w:val="0"/>
          <w:numId w:val="1"/>
        </w:numPr>
        <w:spacing w:after="80"/>
      </w:pPr>
      <w:r>
        <w:t>Right to be forgotten: if a real person withdraws consent, their pseudonym is removable from every layer (Bronze, Silver, quarantine, Gold) and from the landing files. Because a Delta DELETE is only a soft delete (old files remain reachable via time travel), physical removal uses REORG TABLE … APPLY (PURGE) followed by VACUUM.</w:t>
      </w:r>
    </w:p>
    <w:p w14:paraId="2753F771">
      <w:pPr>
        <w:spacing w:after="160"/>
      </w:pPr>
      <w:r>
        <w:t>This is a deliberate, documented deviation from the course's “classify/encrypt PII in Bronze” pattern: encryption would only be justified if the IP values had later analytical use, and they do not, so they are dropped pre-landing instead.</w:t>
      </w:r>
    </w:p>
    <w:p w14:paraId="2B01C8EC">
      <w:pPr>
        <w:pStyle w:val="2"/>
        <w:spacing w:before="360" w:after="160"/>
      </w:pPr>
      <w:r>
        <w:t>4. High-Level Medallion Data Modeling</w:t>
      </w:r>
    </w:p>
    <w:p w14:paraId="3C54264D">
      <w:pPr>
        <w:pStyle w:val="3"/>
        <w:spacing w:before="240" w:after="120"/>
      </w:pPr>
      <w:r>
        <w:t>4.1 Bronze Layer</w:t>
      </w:r>
    </w:p>
    <w:p w14:paraId="15396297">
      <w:pPr>
        <w:spacing w:after="160"/>
      </w:pPr>
      <w:r>
        <w:t>Bronze stores each source's data in its original state as an immutable, append-only historical record — no cleaning, joins, or deduplication. Every delivery of every day partition is kept (historization), so a bad downstream load can always be recovered by reprocessing from Bronze.</w:t>
      </w:r>
    </w:p>
    <w:p w14:paraId="2E13F9FC">
      <w:pPr>
        <w:pStyle w:val="16"/>
        <w:numPr>
          <w:ilvl w:val="0"/>
          <w:numId w:val="1"/>
        </w:numPr>
        <w:spacing w:after="80"/>
      </w:pPr>
      <w:r>
        <w:t>Tables: bronze.events (append-only, partitioned by _partition_dt), bronze.users, bronze.catalog (dimension snapshots, appended).</w:t>
      </w:r>
    </w:p>
    <w:p w14:paraId="2C05D546">
      <w:pPr>
        <w:pStyle w:val="16"/>
        <w:numPr>
          <w:ilvl w:val="0"/>
          <w:numId w:val="1"/>
        </w:numPr>
        <w:spacing w:after="80"/>
      </w:pPr>
      <w:r>
        <w:t>Metadata added on load: _ingested_at, _source_type (synthetic / synthetic_persona_matched / real / real_api), _source_file, _partition_dt, _batch_id.</w:t>
      </w:r>
    </w:p>
    <w:p w14:paraId="577251F2">
      <w:pPr>
        <w:pStyle w:val="16"/>
        <w:numPr>
          <w:ilvl w:val="0"/>
          <w:numId w:val="1"/>
        </w:numPr>
        <w:spacing w:after="80"/>
      </w:pPr>
      <w:r>
        <w:t>Validation is file-level and intrusive for structural problems (checksum mismatch, unparseable JSON, row-count mismatch, missing required fields halt the run) and row-level and nonintrusive for data problems (handled downstream in Silver).</w:t>
      </w:r>
    </w:p>
    <w:p w14:paraId="3AB1791B">
      <w:pPr>
        <w:pStyle w:val="3"/>
        <w:spacing w:before="240" w:after="120"/>
      </w:pPr>
      <w:r>
        <w:t>4.2 Bronze → Silver: Cleaning, Formatting, and Casting</w:t>
      </w:r>
    </w:p>
    <w:p w14:paraId="7B8E3D4A">
      <w:pPr>
        <w:spacing w:after="160"/>
      </w:pPr>
      <w:r>
        <w:t>Silver cleanses, standardizes, and lightly enriches while staying source-oriented (one Silver table per Bronze entity). Major steps:</w:t>
      </w:r>
    </w:p>
    <w:p w14:paraId="013AB894">
      <w:pPr>
        <w:spacing w:after="160"/>
      </w:pPr>
      <w:bookmarkStart w:id="0" w:name="_GoBack"/>
      <w:bookmarkEnd w:id="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1DE3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Mar>
              <w:top w:w="80" w:type="dxa"/>
              <w:left w:w="100" w:type="dxa"/>
              <w:bottom w:w="80" w:type="dxa"/>
              <w:right w:w="100" w:type="dxa"/>
            </w:tcMar>
          </w:tcPr>
          <w:p w14:paraId="0D3370CB">
            <w:r>
              <w:rPr>
                <w:b/>
                <w:bCs/>
                <w:color w:val="FFFFFF"/>
                <w:sz w:val="20"/>
                <w:szCs w:val="20"/>
              </w:rPr>
              <w:t>Step</w:t>
            </w:r>
          </w:p>
        </w:tc>
        <w:tc>
          <w:tcPr>
            <w:tcW w:w="6760" w:type="dxa"/>
            <w:shd w:val="clear" w:color="auto" w:fill="1F3864"/>
            <w:tcMar>
              <w:top w:w="80" w:type="dxa"/>
              <w:left w:w="100" w:type="dxa"/>
              <w:bottom w:w="80" w:type="dxa"/>
              <w:right w:w="100" w:type="dxa"/>
            </w:tcMar>
          </w:tcPr>
          <w:p w14:paraId="3AF48388">
            <w:r>
              <w:rPr>
                <w:b/>
                <w:bCs/>
                <w:color w:val="FFFFFF"/>
                <w:sz w:val="20"/>
                <w:szCs w:val="20"/>
              </w:rPr>
              <w:t>What happens</w:t>
            </w:r>
          </w:p>
        </w:tc>
      </w:tr>
      <w:tr w14:paraId="3A7A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ED125F2">
            <w:r>
              <w:rPr>
                <w:b w:val="0"/>
                <w:bCs w:val="0"/>
                <w:sz w:val="20"/>
                <w:szCs w:val="20"/>
              </w:rPr>
              <w:t>Latest-delivery selection</w:t>
            </w:r>
          </w:p>
        </w:tc>
        <w:tc>
          <w:tcPr>
            <w:tcW w:w="6760" w:type="dxa"/>
            <w:tcMar>
              <w:top w:w="80" w:type="dxa"/>
              <w:left w:w="100" w:type="dxa"/>
              <w:bottom w:w="80" w:type="dxa"/>
              <w:right w:w="100" w:type="dxa"/>
            </w:tcMar>
          </w:tcPr>
          <w:p w14:paraId="7AEB56B7">
            <w:r>
              <w:rPr>
                <w:b w:val="0"/>
                <w:bCs w:val="0"/>
                <w:sz w:val="20"/>
                <w:szCs w:val="20"/>
              </w:rPr>
              <w:t>For each partition date, only the newest delivery (_batch_id) is kept, so a backfill or API top-up replaces rather than duplicates that day.</w:t>
            </w:r>
          </w:p>
        </w:tc>
      </w:tr>
      <w:tr w14:paraId="752D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C5BE3DD">
            <w:r>
              <w:rPr>
                <w:b w:val="0"/>
                <w:bCs w:val="0"/>
                <w:sz w:val="20"/>
                <w:szCs w:val="20"/>
              </w:rPr>
              <w:t>Type casting &amp; standardization</w:t>
            </w:r>
          </w:p>
        </w:tc>
        <w:tc>
          <w:tcPr>
            <w:tcW w:w="6760" w:type="dxa"/>
            <w:tcMar>
              <w:top w:w="80" w:type="dxa"/>
              <w:left w:w="100" w:type="dxa"/>
              <w:bottom w:w="80" w:type="dxa"/>
              <w:right w:w="100" w:type="dxa"/>
            </w:tcMar>
          </w:tcPr>
          <w:p w14:paraId="555D59CE">
            <w:r>
              <w:rPr>
                <w:b w:val="0"/>
                <w:bCs w:val="0"/>
                <w:sz w:val="20"/>
                <w:szCs w:val="20"/>
              </w:rPr>
              <w:t>played_at → UTC timestamp; ms_played → INT; skipped → BOOLEAN; timestamps in UTC, dates as yyyy-MM-dd, snake_case column names.</w:t>
            </w:r>
          </w:p>
        </w:tc>
      </w:tr>
      <w:tr w14:paraId="779F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2153986">
            <w:r>
              <w:rPr>
                <w:b w:val="0"/>
                <w:bCs w:val="0"/>
                <w:sz w:val="20"/>
                <w:szCs w:val="20"/>
              </w:rPr>
              <w:t>Deduplication</w:t>
            </w:r>
          </w:p>
        </w:tc>
        <w:tc>
          <w:tcPr>
            <w:tcW w:w="6760" w:type="dxa"/>
            <w:tcMar>
              <w:top w:w="80" w:type="dxa"/>
              <w:left w:w="100" w:type="dxa"/>
              <w:bottom w:w="80" w:type="dxa"/>
              <w:right w:w="100" w:type="dxa"/>
            </w:tcMar>
          </w:tcPr>
          <w:p w14:paraId="358C47E2">
            <w:r>
              <w:rPr>
                <w:b w:val="0"/>
                <w:bCs w:val="0"/>
                <w:sz w:val="20"/>
                <w:szCs w:val="20"/>
              </w:rPr>
              <w:t>One row per event_id (overlapping live-API pulls can produce repeats); newest kept.</w:t>
            </w:r>
          </w:p>
        </w:tc>
      </w:tr>
      <w:tr w14:paraId="5CCE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FC5E090">
            <w:r>
              <w:rPr>
                <w:b w:val="0"/>
                <w:bCs w:val="0"/>
                <w:sz w:val="20"/>
                <w:szCs w:val="20"/>
              </w:rPr>
              <w:t>Consistency mapping</w:t>
            </w:r>
          </w:p>
        </w:tc>
        <w:tc>
          <w:tcPr>
            <w:tcW w:w="6760" w:type="dxa"/>
            <w:tcMar>
              <w:top w:w="80" w:type="dxa"/>
              <w:left w:w="100" w:type="dxa"/>
              <w:bottom w:w="80" w:type="dxa"/>
              <w:right w:w="100" w:type="dxa"/>
            </w:tcMar>
          </w:tcPr>
          <w:p w14:paraId="3C096C5B">
            <w:r>
              <w:rPr>
                <w:b w:val="0"/>
                <w:bCs w:val="0"/>
                <w:sz w:val="20"/>
                <w:szCs w:val="20"/>
              </w:rPr>
              <w:t>device_type mapped to a controlled list (e.g., “PS4”/“PlayStation” → playstation); country upper-cased ISO-2.</w:t>
            </w:r>
          </w:p>
        </w:tc>
      </w:tr>
      <w:tr w14:paraId="21F8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563C417">
            <w:r>
              <w:rPr>
                <w:b w:val="0"/>
                <w:bCs w:val="0"/>
                <w:sz w:val="20"/>
                <w:szCs w:val="20"/>
              </w:rPr>
              <w:t>Range &amp; constraint checks</w:t>
            </w:r>
          </w:p>
        </w:tc>
        <w:tc>
          <w:tcPr>
            <w:tcW w:w="6760" w:type="dxa"/>
            <w:tcMar>
              <w:top w:w="80" w:type="dxa"/>
              <w:left w:w="100" w:type="dxa"/>
              <w:bottom w:w="80" w:type="dxa"/>
              <w:right w:w="100" w:type="dxa"/>
            </w:tcMar>
          </w:tcPr>
          <w:p w14:paraId="4C71AF74">
            <w:r>
              <w:rPr>
                <w:b w:val="0"/>
                <w:bCs w:val="0"/>
                <w:sz w:val="20"/>
                <w:szCs w:val="20"/>
              </w:rPr>
              <w:t>ms_played ≥ 0; played_at not in the future and not before 2008; user_id must exist in silver.users (orphan check).</w:t>
            </w:r>
          </w:p>
        </w:tc>
      </w:tr>
      <w:tr w14:paraId="6E11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BE9ADB7">
            <w:r>
              <w:rPr>
                <w:b w:val="0"/>
                <w:bCs w:val="0"/>
                <w:sz w:val="20"/>
                <w:szCs w:val="20"/>
              </w:rPr>
              <w:t>Quarantine (not delete)</w:t>
            </w:r>
          </w:p>
        </w:tc>
        <w:tc>
          <w:tcPr>
            <w:tcW w:w="6760" w:type="dxa"/>
            <w:tcMar>
              <w:top w:w="80" w:type="dxa"/>
              <w:left w:w="100" w:type="dxa"/>
              <w:bottom w:w="80" w:type="dxa"/>
              <w:right w:w="100" w:type="dxa"/>
            </w:tcMar>
          </w:tcPr>
          <w:p w14:paraId="5738F1E5">
            <w:r>
              <w:rPr>
                <w:b w:val="0"/>
                <w:bCs w:val="0"/>
                <w:sz w:val="20"/>
                <w:szCs w:val="20"/>
              </w:rPr>
              <w:t>Rows failing a rule are routed to silver.events_quarantine with the original columns plus the failure reason, rather than being discarded.</w:t>
            </w:r>
          </w:p>
        </w:tc>
      </w:tr>
      <w:tr w14:paraId="0CBC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9054607">
            <w:r>
              <w:rPr>
                <w:b w:val="0"/>
                <w:bCs w:val="0"/>
                <w:sz w:val="20"/>
                <w:szCs w:val="20"/>
              </w:rPr>
              <w:t>Light enrichment</w:t>
            </w:r>
          </w:p>
        </w:tc>
        <w:tc>
          <w:tcPr>
            <w:tcW w:w="6760" w:type="dxa"/>
            <w:tcMar>
              <w:top w:w="80" w:type="dxa"/>
              <w:left w:w="100" w:type="dxa"/>
              <w:bottom w:w="80" w:type="dxa"/>
              <w:right w:w="100" w:type="dxa"/>
            </w:tcMar>
          </w:tcPr>
          <w:p w14:paraId="07640A09">
            <w:r>
              <w:rPr>
                <w:b w:val="0"/>
                <w:bCs w:val="0"/>
                <w:sz w:val="20"/>
                <w:szCs w:val="20"/>
              </w:rPr>
              <w:t>completion_rate, hour_of_day, day_of_week, is_weekend, session_id (30-minute gap rule), play_sequence_num.</w:t>
            </w:r>
          </w:p>
        </w:tc>
      </w:tr>
    </w:tbl>
    <w:p w14:paraId="62CA75AC">
      <w:pPr>
        <w:spacing w:after="160"/>
      </w:pPr>
    </w:p>
    <w:p w14:paraId="156A783E">
      <w:pPr>
        <w:pStyle w:val="4"/>
        <w:spacing w:before="200" w:after="100"/>
      </w:pPr>
      <w:r>
        <w:t>High-level Silver data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160"/>
        <w:gridCol w:w="2800"/>
      </w:tblGrid>
      <w:tr w14:paraId="4710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3864"/>
            <w:tcMar>
              <w:top w:w="80" w:type="dxa"/>
              <w:left w:w="100" w:type="dxa"/>
              <w:bottom w:w="80" w:type="dxa"/>
              <w:right w:w="100" w:type="dxa"/>
            </w:tcMar>
          </w:tcPr>
          <w:p w14:paraId="67403E7D">
            <w:r>
              <w:rPr>
                <w:b/>
                <w:bCs/>
                <w:color w:val="FFFFFF"/>
                <w:sz w:val="20"/>
                <w:szCs w:val="20"/>
              </w:rPr>
              <w:t>Table</w:t>
            </w:r>
          </w:p>
        </w:tc>
        <w:tc>
          <w:tcPr>
            <w:tcW w:w="4160" w:type="dxa"/>
            <w:shd w:val="clear" w:color="auto" w:fill="1F3864"/>
            <w:tcMar>
              <w:top w:w="80" w:type="dxa"/>
              <w:left w:w="100" w:type="dxa"/>
              <w:bottom w:w="80" w:type="dxa"/>
              <w:right w:w="100" w:type="dxa"/>
            </w:tcMar>
          </w:tcPr>
          <w:p w14:paraId="68A2DF3F">
            <w:r>
              <w:rPr>
                <w:b/>
                <w:bCs/>
                <w:color w:val="FFFFFF"/>
                <w:sz w:val="20"/>
                <w:szCs w:val="20"/>
              </w:rPr>
              <w:t>Grain</w:t>
            </w:r>
          </w:p>
        </w:tc>
        <w:tc>
          <w:tcPr>
            <w:tcW w:w="2800" w:type="dxa"/>
            <w:shd w:val="clear" w:color="auto" w:fill="1F3864"/>
            <w:tcMar>
              <w:top w:w="80" w:type="dxa"/>
              <w:left w:w="100" w:type="dxa"/>
              <w:bottom w:w="80" w:type="dxa"/>
              <w:right w:w="100" w:type="dxa"/>
            </w:tcMar>
          </w:tcPr>
          <w:p w14:paraId="6B180670">
            <w:r>
              <w:rPr>
                <w:b/>
                <w:bCs/>
                <w:color w:val="FFFFFF"/>
                <w:sz w:val="20"/>
                <w:szCs w:val="20"/>
              </w:rPr>
              <w:t>History</w:t>
            </w:r>
          </w:p>
        </w:tc>
      </w:tr>
      <w:tr w14:paraId="7CB4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F6FE1BB">
            <w:r>
              <w:rPr>
                <w:b w:val="0"/>
                <w:bCs w:val="0"/>
                <w:sz w:val="20"/>
                <w:szCs w:val="20"/>
              </w:rPr>
              <w:t>silver.users</w:t>
            </w:r>
          </w:p>
        </w:tc>
        <w:tc>
          <w:tcPr>
            <w:tcW w:w="4160" w:type="dxa"/>
            <w:tcMar>
              <w:top w:w="80" w:type="dxa"/>
              <w:left w:w="100" w:type="dxa"/>
              <w:bottom w:w="80" w:type="dxa"/>
              <w:right w:w="100" w:type="dxa"/>
            </w:tcMar>
          </w:tcPr>
          <w:p w14:paraId="38C8FF23">
            <w:r>
              <w:rPr>
                <w:b w:val="0"/>
                <w:bCs w:val="0"/>
                <w:sz w:val="20"/>
                <w:szCs w:val="20"/>
              </w:rPr>
              <w:t>One row per user</w:t>
            </w:r>
          </w:p>
        </w:tc>
        <w:tc>
          <w:tcPr>
            <w:tcW w:w="2800" w:type="dxa"/>
            <w:tcMar>
              <w:top w:w="80" w:type="dxa"/>
              <w:left w:w="100" w:type="dxa"/>
              <w:bottom w:w="80" w:type="dxa"/>
              <w:right w:w="100" w:type="dxa"/>
            </w:tcMar>
          </w:tcPr>
          <w:p w14:paraId="3935CB61">
            <w:r>
              <w:rPr>
                <w:b w:val="0"/>
                <w:bCs w:val="0"/>
                <w:sz w:val="20"/>
                <w:szCs w:val="20"/>
              </w:rPr>
              <w:t>Current state (SCD1)</w:t>
            </w:r>
          </w:p>
        </w:tc>
      </w:tr>
      <w:tr w14:paraId="4D32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521B4B4">
            <w:r>
              <w:rPr>
                <w:b w:val="0"/>
                <w:bCs w:val="0"/>
                <w:sz w:val="20"/>
                <w:szCs w:val="20"/>
              </w:rPr>
              <w:t>silver.tracks</w:t>
            </w:r>
          </w:p>
        </w:tc>
        <w:tc>
          <w:tcPr>
            <w:tcW w:w="4160" w:type="dxa"/>
            <w:tcMar>
              <w:top w:w="80" w:type="dxa"/>
              <w:left w:w="100" w:type="dxa"/>
              <w:bottom w:w="80" w:type="dxa"/>
              <w:right w:w="100" w:type="dxa"/>
            </w:tcMar>
          </w:tcPr>
          <w:p w14:paraId="1E4836F2">
            <w:r>
              <w:rPr>
                <w:b w:val="0"/>
                <w:bCs w:val="0"/>
                <w:sz w:val="20"/>
                <w:szCs w:val="20"/>
              </w:rPr>
              <w:t>One row per track</w:t>
            </w:r>
          </w:p>
        </w:tc>
        <w:tc>
          <w:tcPr>
            <w:tcW w:w="2800" w:type="dxa"/>
            <w:tcMar>
              <w:top w:w="80" w:type="dxa"/>
              <w:left w:w="100" w:type="dxa"/>
              <w:bottom w:w="80" w:type="dxa"/>
              <w:right w:w="100" w:type="dxa"/>
            </w:tcMar>
          </w:tcPr>
          <w:p w14:paraId="45A6B041">
            <w:r>
              <w:rPr>
                <w:b w:val="0"/>
                <w:bCs w:val="0"/>
                <w:sz w:val="20"/>
                <w:szCs w:val="20"/>
              </w:rPr>
              <w:t>Current state (SCD1)</w:t>
            </w:r>
          </w:p>
        </w:tc>
      </w:tr>
      <w:tr w14:paraId="7D86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2022CB4">
            <w:r>
              <w:rPr>
                <w:b w:val="0"/>
                <w:bCs w:val="0"/>
                <w:sz w:val="20"/>
                <w:szCs w:val="20"/>
              </w:rPr>
              <w:t>silver.events</w:t>
            </w:r>
          </w:p>
        </w:tc>
        <w:tc>
          <w:tcPr>
            <w:tcW w:w="4160" w:type="dxa"/>
            <w:tcMar>
              <w:top w:w="80" w:type="dxa"/>
              <w:left w:w="100" w:type="dxa"/>
              <w:bottom w:w="80" w:type="dxa"/>
              <w:right w:w="100" w:type="dxa"/>
            </w:tcMar>
          </w:tcPr>
          <w:p w14:paraId="7949A671">
            <w:r>
              <w:rPr>
                <w:b w:val="0"/>
                <w:bCs w:val="0"/>
                <w:sz w:val="20"/>
                <w:szCs w:val="20"/>
              </w:rPr>
              <w:t>One row per unique event_id</w:t>
            </w:r>
          </w:p>
        </w:tc>
        <w:tc>
          <w:tcPr>
            <w:tcW w:w="2800" w:type="dxa"/>
            <w:tcMar>
              <w:top w:w="80" w:type="dxa"/>
              <w:left w:w="100" w:type="dxa"/>
              <w:bottom w:w="80" w:type="dxa"/>
              <w:right w:w="100" w:type="dxa"/>
            </w:tcMar>
          </w:tcPr>
          <w:p w14:paraId="6D1BDB81">
            <w:r>
              <w:rPr>
                <w:b w:val="0"/>
                <w:bCs w:val="0"/>
                <w:sz w:val="20"/>
                <w:szCs w:val="20"/>
              </w:rPr>
              <w:t>Current state, MERGE upsert</w:t>
            </w:r>
          </w:p>
        </w:tc>
      </w:tr>
      <w:tr w14:paraId="759DD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6514823">
            <w:r>
              <w:rPr>
                <w:b w:val="0"/>
                <w:bCs w:val="0"/>
                <w:sz w:val="20"/>
                <w:szCs w:val="20"/>
              </w:rPr>
              <w:t>silver.events_quarantine</w:t>
            </w:r>
          </w:p>
        </w:tc>
        <w:tc>
          <w:tcPr>
            <w:tcW w:w="4160" w:type="dxa"/>
            <w:tcMar>
              <w:top w:w="80" w:type="dxa"/>
              <w:left w:w="100" w:type="dxa"/>
              <w:bottom w:w="80" w:type="dxa"/>
              <w:right w:w="100" w:type="dxa"/>
            </w:tcMar>
          </w:tcPr>
          <w:p w14:paraId="2275632E">
            <w:r>
              <w:rPr>
                <w:b w:val="0"/>
                <w:bCs w:val="0"/>
                <w:sz w:val="20"/>
                <w:szCs w:val="20"/>
              </w:rPr>
              <w:t>One row per rejected row</w:t>
            </w:r>
          </w:p>
        </w:tc>
        <w:tc>
          <w:tcPr>
            <w:tcW w:w="2800" w:type="dxa"/>
            <w:tcMar>
              <w:top w:w="80" w:type="dxa"/>
              <w:left w:w="100" w:type="dxa"/>
              <w:bottom w:w="80" w:type="dxa"/>
              <w:right w:w="100" w:type="dxa"/>
            </w:tcMar>
          </w:tcPr>
          <w:p w14:paraId="6031ABB2">
            <w:r>
              <w:rPr>
                <w:b w:val="0"/>
                <w:bCs w:val="0"/>
                <w:sz w:val="20"/>
                <w:szCs w:val="20"/>
              </w:rPr>
              <w:t>Append-only</w:t>
            </w:r>
          </w:p>
        </w:tc>
      </w:tr>
    </w:tbl>
    <w:p w14:paraId="3CF13B85">
      <w:pPr>
        <w:spacing w:after="200"/>
      </w:pPr>
    </w:p>
    <w:p w14:paraId="25F84EE7">
      <w:pPr>
        <w:pStyle w:val="3"/>
        <w:spacing w:before="240" w:after="120"/>
      </w:pPr>
      <w:r>
        <w:t>4.3 Gold Layer</w:t>
      </w:r>
    </w:p>
    <w:p w14:paraId="05D008D3">
      <w:pPr>
        <w:spacing w:after="160"/>
      </w:pPr>
      <w:r>
        <w:t>Gold is the most refined layer, where sources are harmonized and business rules, surrogate keys, slowly changing dimensions, and aggregations live. It is organized into three sublayers so it can serve both consumer-facing and business-facing needs.</w:t>
      </w:r>
    </w:p>
    <w:p w14:paraId="64186605">
      <w:pPr>
        <w:pStyle w:val="4"/>
        <w:spacing w:before="200" w:after="100"/>
      </w:pPr>
      <w:r>
        <w:t>G1 — Core star schema</w:t>
      </w:r>
    </w:p>
    <w:p w14:paraId="7BDA9DEE">
      <w:pPr>
        <w:spacing w:after="160"/>
      </w:pPr>
      <w:r>
        <w:t>Grain of the fact table: one row per play event (the finest available grain).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3"/>
        <w:gridCol w:w="1489"/>
        <w:gridCol w:w="2033"/>
        <w:gridCol w:w="4105"/>
      </w:tblGrid>
      <w:tr w14:paraId="45DC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1F3864"/>
            <w:tcMar>
              <w:top w:w="80" w:type="dxa"/>
              <w:left w:w="100" w:type="dxa"/>
              <w:bottom w:w="80" w:type="dxa"/>
              <w:right w:w="100" w:type="dxa"/>
            </w:tcMar>
          </w:tcPr>
          <w:p w14:paraId="58E545A4">
            <w:r>
              <w:rPr>
                <w:b/>
                <w:bCs/>
                <w:color w:val="FFFFFF"/>
                <w:sz w:val="20"/>
                <w:szCs w:val="20"/>
              </w:rPr>
              <w:t>Dimension</w:t>
            </w:r>
          </w:p>
        </w:tc>
        <w:tc>
          <w:tcPr>
            <w:tcW w:w="1700" w:type="dxa"/>
            <w:shd w:val="clear" w:color="auto" w:fill="1F3864"/>
            <w:tcMar>
              <w:top w:w="80" w:type="dxa"/>
              <w:left w:w="100" w:type="dxa"/>
              <w:bottom w:w="80" w:type="dxa"/>
              <w:right w:w="100" w:type="dxa"/>
            </w:tcMar>
          </w:tcPr>
          <w:p w14:paraId="3A4B93A4">
            <w:r>
              <w:rPr>
                <w:b/>
                <w:bCs/>
                <w:color w:val="FFFFFF"/>
                <w:sz w:val="20"/>
                <w:szCs w:val="20"/>
              </w:rPr>
              <w:t>Business key</w:t>
            </w:r>
          </w:p>
        </w:tc>
        <w:tc>
          <w:tcPr>
            <w:tcW w:w="2600" w:type="dxa"/>
            <w:shd w:val="clear" w:color="auto" w:fill="1F3864"/>
            <w:tcMar>
              <w:top w:w="80" w:type="dxa"/>
              <w:left w:w="100" w:type="dxa"/>
              <w:bottom w:w="80" w:type="dxa"/>
              <w:right w:w="100" w:type="dxa"/>
            </w:tcMar>
          </w:tcPr>
          <w:p w14:paraId="6E4E39DB">
            <w:r>
              <w:rPr>
                <w:b/>
                <w:bCs/>
                <w:color w:val="FFFFFF"/>
                <w:sz w:val="20"/>
                <w:szCs w:val="20"/>
              </w:rPr>
              <w:t>SCD handling</w:t>
            </w:r>
          </w:p>
        </w:tc>
        <w:tc>
          <w:tcPr>
            <w:tcW w:w="3160" w:type="dxa"/>
            <w:shd w:val="clear" w:color="auto" w:fill="1F3864"/>
            <w:tcMar>
              <w:top w:w="80" w:type="dxa"/>
              <w:left w:w="100" w:type="dxa"/>
              <w:bottom w:w="80" w:type="dxa"/>
              <w:right w:w="100" w:type="dxa"/>
            </w:tcMar>
          </w:tcPr>
          <w:p w14:paraId="4C1691A0">
            <w:r>
              <w:rPr>
                <w:b/>
                <w:bCs/>
                <w:color w:val="FFFFFF"/>
                <w:sz w:val="20"/>
                <w:szCs w:val="20"/>
              </w:rPr>
              <w:t>Purpose</w:t>
            </w:r>
          </w:p>
        </w:tc>
      </w:tr>
      <w:tr w14:paraId="0A881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184FC6BE">
            <w:r>
              <w:rPr>
                <w:b w:val="0"/>
                <w:bCs w:val="0"/>
                <w:sz w:val="20"/>
                <w:szCs w:val="20"/>
              </w:rPr>
              <w:t>gold.dim_user</w:t>
            </w:r>
          </w:p>
        </w:tc>
        <w:tc>
          <w:tcPr>
            <w:tcW w:w="1700" w:type="dxa"/>
            <w:tcMar>
              <w:top w:w="80" w:type="dxa"/>
              <w:left w:w="100" w:type="dxa"/>
              <w:bottom w:w="80" w:type="dxa"/>
              <w:right w:w="100" w:type="dxa"/>
            </w:tcMar>
          </w:tcPr>
          <w:p w14:paraId="2EB04E4B">
            <w:r>
              <w:rPr>
                <w:b w:val="0"/>
                <w:bCs w:val="0"/>
                <w:sz w:val="20"/>
                <w:szCs w:val="20"/>
              </w:rPr>
              <w:t>user_id</w:t>
            </w:r>
          </w:p>
        </w:tc>
        <w:tc>
          <w:tcPr>
            <w:tcW w:w="2600" w:type="dxa"/>
            <w:tcMar>
              <w:top w:w="80" w:type="dxa"/>
              <w:left w:w="100" w:type="dxa"/>
              <w:bottom w:w="80" w:type="dxa"/>
              <w:right w:w="100" w:type="dxa"/>
            </w:tcMar>
          </w:tcPr>
          <w:p w14:paraId="3EEFB5EE">
            <w:r>
              <w:rPr>
                <w:b w:val="0"/>
                <w:bCs w:val="0"/>
                <w:sz w:val="20"/>
                <w:szCs w:val="20"/>
              </w:rPr>
              <w:t>Type 2 on is_premium (+ plan/country); Type 1 on the rest</w:t>
            </w:r>
          </w:p>
        </w:tc>
        <w:tc>
          <w:tcPr>
            <w:tcW w:w="3160" w:type="dxa"/>
            <w:tcMar>
              <w:top w:w="80" w:type="dxa"/>
              <w:left w:w="100" w:type="dxa"/>
              <w:bottom w:w="80" w:type="dxa"/>
              <w:right w:w="100" w:type="dxa"/>
            </w:tcMar>
          </w:tcPr>
          <w:p w14:paraId="0B98C672">
            <w:r>
              <w:rPr>
                <w:b w:val="0"/>
                <w:bCs w:val="0"/>
                <w:sz w:val="20"/>
                <w:szCs w:val="20"/>
              </w:rPr>
              <w:t>Tracks subscription-status history for point-in-time analysis.</w:t>
            </w:r>
          </w:p>
        </w:tc>
      </w:tr>
      <w:tr w14:paraId="0464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9EA882A">
            <w:r>
              <w:rPr>
                <w:b w:val="0"/>
                <w:bCs w:val="0"/>
                <w:sz w:val="20"/>
                <w:szCs w:val="20"/>
              </w:rPr>
              <w:t>gold.dim_track</w:t>
            </w:r>
          </w:p>
        </w:tc>
        <w:tc>
          <w:tcPr>
            <w:tcW w:w="1700" w:type="dxa"/>
            <w:tcMar>
              <w:top w:w="80" w:type="dxa"/>
              <w:left w:w="100" w:type="dxa"/>
              <w:bottom w:w="80" w:type="dxa"/>
              <w:right w:w="100" w:type="dxa"/>
            </w:tcMar>
          </w:tcPr>
          <w:p w14:paraId="6F3C4487">
            <w:r>
              <w:rPr>
                <w:b w:val="0"/>
                <w:bCs w:val="0"/>
                <w:sz w:val="20"/>
                <w:szCs w:val="20"/>
              </w:rPr>
              <w:t>track_id</w:t>
            </w:r>
          </w:p>
        </w:tc>
        <w:tc>
          <w:tcPr>
            <w:tcW w:w="2600" w:type="dxa"/>
            <w:tcMar>
              <w:top w:w="80" w:type="dxa"/>
              <w:left w:w="100" w:type="dxa"/>
              <w:bottom w:w="80" w:type="dxa"/>
              <w:right w:w="100" w:type="dxa"/>
            </w:tcMar>
          </w:tcPr>
          <w:p w14:paraId="2D244586">
            <w:r>
              <w:rPr>
                <w:b w:val="0"/>
                <w:bCs w:val="0"/>
                <w:sz w:val="20"/>
                <w:szCs w:val="20"/>
              </w:rPr>
              <w:t>Type 1 + inferred members</w:t>
            </w:r>
          </w:p>
        </w:tc>
        <w:tc>
          <w:tcPr>
            <w:tcW w:w="3160" w:type="dxa"/>
            <w:tcMar>
              <w:top w:w="80" w:type="dxa"/>
              <w:left w:w="100" w:type="dxa"/>
              <w:bottom w:w="80" w:type="dxa"/>
              <w:right w:w="100" w:type="dxa"/>
            </w:tcMar>
          </w:tcPr>
          <w:p w14:paraId="06BDB35D">
            <w:r>
              <w:rPr>
                <w:b w:val="0"/>
                <w:bCs w:val="0"/>
                <w:sz w:val="20"/>
                <w:szCs w:val="20"/>
              </w:rPr>
              <w:t>Track/artist/genre/audio-feature attributes; supports early-arriving facts.</w:t>
            </w:r>
          </w:p>
        </w:tc>
      </w:tr>
      <w:tr w14:paraId="2C1F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0D4F8999">
            <w:r>
              <w:rPr>
                <w:b w:val="0"/>
                <w:bCs w:val="0"/>
                <w:sz w:val="20"/>
                <w:szCs w:val="20"/>
              </w:rPr>
              <w:t>gold.dim_date</w:t>
            </w:r>
          </w:p>
        </w:tc>
        <w:tc>
          <w:tcPr>
            <w:tcW w:w="1700" w:type="dxa"/>
            <w:tcMar>
              <w:top w:w="80" w:type="dxa"/>
              <w:left w:w="100" w:type="dxa"/>
              <w:bottom w:w="80" w:type="dxa"/>
              <w:right w:w="100" w:type="dxa"/>
            </w:tcMar>
          </w:tcPr>
          <w:p w14:paraId="3449C7C9">
            <w:r>
              <w:rPr>
                <w:b w:val="0"/>
                <w:bCs w:val="0"/>
                <w:sz w:val="20"/>
                <w:szCs w:val="20"/>
              </w:rPr>
              <w:t>date_key</w:t>
            </w:r>
          </w:p>
        </w:tc>
        <w:tc>
          <w:tcPr>
            <w:tcW w:w="2600" w:type="dxa"/>
            <w:tcMar>
              <w:top w:w="80" w:type="dxa"/>
              <w:left w:w="100" w:type="dxa"/>
              <w:bottom w:w="80" w:type="dxa"/>
              <w:right w:w="100" w:type="dxa"/>
            </w:tcMar>
          </w:tcPr>
          <w:p w14:paraId="263CE0BA">
            <w:r>
              <w:rPr>
                <w:b w:val="0"/>
                <w:bCs w:val="0"/>
                <w:sz w:val="20"/>
                <w:szCs w:val="20"/>
              </w:rPr>
              <w:t>Static, generated</w:t>
            </w:r>
          </w:p>
        </w:tc>
        <w:tc>
          <w:tcPr>
            <w:tcW w:w="3160" w:type="dxa"/>
            <w:tcMar>
              <w:top w:w="80" w:type="dxa"/>
              <w:left w:w="100" w:type="dxa"/>
              <w:bottom w:w="80" w:type="dxa"/>
              <w:right w:w="100" w:type="dxa"/>
            </w:tcMar>
          </w:tcPr>
          <w:p w14:paraId="4682F963">
            <w:r>
              <w:rPr>
                <w:b w:val="0"/>
                <w:bCs w:val="0"/>
                <w:sz w:val="20"/>
                <w:szCs w:val="20"/>
              </w:rPr>
              <w:t>Calendar attributes (year, quarter, week, weekday).</w:t>
            </w:r>
          </w:p>
        </w:tc>
      </w:tr>
      <w:tr w14:paraId="5094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1CAA4F7">
            <w:r>
              <w:rPr>
                <w:b w:val="0"/>
                <w:bCs w:val="0"/>
                <w:sz w:val="20"/>
                <w:szCs w:val="20"/>
              </w:rPr>
              <w:t>gold.dim_time</w:t>
            </w:r>
          </w:p>
        </w:tc>
        <w:tc>
          <w:tcPr>
            <w:tcW w:w="1700" w:type="dxa"/>
            <w:tcMar>
              <w:top w:w="80" w:type="dxa"/>
              <w:left w:w="100" w:type="dxa"/>
              <w:bottom w:w="80" w:type="dxa"/>
              <w:right w:w="100" w:type="dxa"/>
            </w:tcMar>
          </w:tcPr>
          <w:p w14:paraId="25587538">
            <w:r>
              <w:rPr>
                <w:b w:val="0"/>
                <w:bCs w:val="0"/>
                <w:sz w:val="20"/>
                <w:szCs w:val="20"/>
              </w:rPr>
              <w:t>hour_of_day</w:t>
            </w:r>
          </w:p>
        </w:tc>
        <w:tc>
          <w:tcPr>
            <w:tcW w:w="2600" w:type="dxa"/>
            <w:tcMar>
              <w:top w:w="80" w:type="dxa"/>
              <w:left w:w="100" w:type="dxa"/>
              <w:bottom w:w="80" w:type="dxa"/>
              <w:right w:w="100" w:type="dxa"/>
            </w:tcMar>
          </w:tcPr>
          <w:p w14:paraId="5E0BAFA5">
            <w:r>
              <w:rPr>
                <w:b w:val="0"/>
                <w:bCs w:val="0"/>
                <w:sz w:val="20"/>
                <w:szCs w:val="20"/>
              </w:rPr>
              <w:t>Static, 24 rows</w:t>
            </w:r>
          </w:p>
        </w:tc>
        <w:tc>
          <w:tcPr>
            <w:tcW w:w="3160" w:type="dxa"/>
            <w:tcMar>
              <w:top w:w="80" w:type="dxa"/>
              <w:left w:w="100" w:type="dxa"/>
              <w:bottom w:w="80" w:type="dxa"/>
              <w:right w:w="100" w:type="dxa"/>
            </w:tcMar>
          </w:tcPr>
          <w:p w14:paraId="1F7A714F">
            <w:r>
              <w:rPr>
                <w:b w:val="0"/>
                <w:bCs w:val="0"/>
                <w:sz w:val="20"/>
                <w:szCs w:val="20"/>
              </w:rPr>
              <w:t>Hour-of-day and day-part (Night/Morning/Afternoon/Evening).</w:t>
            </w:r>
          </w:p>
        </w:tc>
      </w:tr>
      <w:tr w14:paraId="1C23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730F94FF">
            <w:r>
              <w:rPr>
                <w:b w:val="0"/>
                <w:bCs w:val="0"/>
                <w:sz w:val="20"/>
                <w:szCs w:val="20"/>
              </w:rPr>
              <w:t>gold.dim_device</w:t>
            </w:r>
          </w:p>
        </w:tc>
        <w:tc>
          <w:tcPr>
            <w:tcW w:w="1700" w:type="dxa"/>
            <w:tcMar>
              <w:top w:w="80" w:type="dxa"/>
              <w:left w:w="100" w:type="dxa"/>
              <w:bottom w:w="80" w:type="dxa"/>
              <w:right w:w="100" w:type="dxa"/>
            </w:tcMar>
          </w:tcPr>
          <w:p w14:paraId="460C0B7B">
            <w:r>
              <w:rPr>
                <w:b w:val="0"/>
                <w:bCs w:val="0"/>
                <w:sz w:val="20"/>
                <w:szCs w:val="20"/>
              </w:rPr>
              <w:t>device_type</w:t>
            </w:r>
          </w:p>
        </w:tc>
        <w:tc>
          <w:tcPr>
            <w:tcW w:w="2600" w:type="dxa"/>
            <w:tcMar>
              <w:top w:w="80" w:type="dxa"/>
              <w:left w:w="100" w:type="dxa"/>
              <w:bottom w:w="80" w:type="dxa"/>
              <w:right w:w="100" w:type="dxa"/>
            </w:tcMar>
          </w:tcPr>
          <w:p w14:paraId="13E29D9F">
            <w:r>
              <w:rPr>
                <w:b w:val="0"/>
                <w:bCs w:val="0"/>
                <w:sz w:val="20"/>
                <w:szCs w:val="20"/>
              </w:rPr>
              <w:t>Type 1</w:t>
            </w:r>
          </w:p>
        </w:tc>
        <w:tc>
          <w:tcPr>
            <w:tcW w:w="3160" w:type="dxa"/>
            <w:tcMar>
              <w:top w:w="80" w:type="dxa"/>
              <w:left w:w="100" w:type="dxa"/>
              <w:bottom w:w="80" w:type="dxa"/>
              <w:right w:w="100" w:type="dxa"/>
            </w:tcMar>
          </w:tcPr>
          <w:p w14:paraId="3C9CEF4F">
            <w:r>
              <w:rPr>
                <w:b w:val="0"/>
                <w:bCs w:val="0"/>
                <w:sz w:val="20"/>
                <w:szCs w:val="20"/>
              </w:rPr>
              <w:t>Device category (mobile/desktop/console/tablet/tv/web/other).</w:t>
            </w:r>
          </w:p>
        </w:tc>
      </w:tr>
    </w:tbl>
    <w:p w14:paraId="6E6B0B4B">
      <w:pPr>
        <w:spacing w:after="120"/>
      </w:pPr>
    </w:p>
    <w:p w14:paraId="0F79FB81">
      <w:pPr>
        <w:spacing w:after="160"/>
      </w:pPr>
      <w:r>
        <w:t>gold.fact_listening carries measures ms_played, minutes_played, play_count, is_skipped, completion_rate, keyed to each dimension via surrogate keys, with event_id retained as a degenerate dimension.</w:t>
      </w:r>
    </w:p>
    <w:p w14:paraId="24EFD9D8">
      <w:pPr>
        <w:pStyle w:val="4"/>
        <w:spacing w:before="200" w:after="100"/>
      </w:pPr>
      <w:r>
        <w:t>G2 — ML feature tables</w:t>
      </w:r>
    </w:p>
    <w:p w14:paraId="5EC3A2A6">
      <w:pPr>
        <w:pStyle w:val="16"/>
        <w:numPr>
          <w:ilvl w:val="0"/>
          <w:numId w:val="1"/>
        </w:numPr>
        <w:spacing w:after="80"/>
      </w:pPr>
      <w:r>
        <w:t>gold.ml_user_track_interactions — one row per (user, track): play_count, total_ms_played, avg_completion_rate. Supports collaborative-filtering recommenders.</w:t>
      </w:r>
    </w:p>
    <w:p w14:paraId="732DCAAD">
      <w:pPr>
        <w:pStyle w:val="16"/>
        <w:numPr>
          <w:ilvl w:val="0"/>
          <w:numId w:val="1"/>
        </w:numPr>
        <w:spacing w:after="80"/>
      </w:pPr>
      <w:r>
        <w:t>gold.ml_track_features — catalog enriched with cross-user aggregates (skip_rate, avg_completion_rate_across_users). Supports content-based/cold-start recommendation.</w:t>
      </w:r>
    </w:p>
    <w:p w14:paraId="31375549">
      <w:pPr>
        <w:pStyle w:val="16"/>
        <w:numPr>
          <w:ilvl w:val="0"/>
          <w:numId w:val="1"/>
        </w:numPr>
        <w:spacing w:after="80"/>
      </w:pPr>
      <w:r>
        <w:t>gold.ml_user_sessions — one row per session: track_count, genre_diversity, dominant_device. Supports churn/engagement-trend models.</w:t>
      </w:r>
    </w:p>
    <w:p w14:paraId="5BA0A5E2">
      <w:pPr>
        <w:pStyle w:val="4"/>
        <w:spacing w:before="200" w:after="100"/>
      </w:pPr>
      <w:r>
        <w:t>G3 — Business marts</w:t>
      </w:r>
    </w:p>
    <w:p w14:paraId="4728EEA6">
      <w:pPr>
        <w:spacing w:after="160"/>
      </w:pPr>
      <w:r>
        <w:t>Business rules (engagement-score weights, propensity-tier thresholds, discovery definition) are defined once and used only here — see Section 5 for the specific marts, questions, and visuals they support.</w:t>
      </w:r>
    </w:p>
    <w:p w14:paraId="0CD94EA6">
      <w:pPr>
        <w:pStyle w:val="2"/>
        <w:spacing w:before="360" w:after="160"/>
      </w:pPr>
      <w:r>
        <w:t>5. Business Intelligence &amp; Dashboards</w:t>
      </w:r>
    </w:p>
    <w:p w14:paraId="215D9678">
      <w:pPr>
        <w:spacing w:after="160"/>
      </w:pPr>
      <w:r>
        <w:t>The dashboard serves two audiences: business-facing operational/growth analytics (the rubric's “business questions” requirement) and a consumer-facing Wrapped-style personal summary. Three business questions are the primary deliverable, with a Wrapped page as a bonus fourth visual.</w:t>
      </w:r>
    </w:p>
    <w:p w14:paraId="30E43E96">
      <w:pPr>
        <w:pStyle w:val="4"/>
        <w:spacing w:before="200" w:after="100"/>
      </w:pPr>
      <w:r>
        <w:t>5.1 Business Question 1 — Peak Usage / Traffic Times</w:t>
      </w:r>
    </w:p>
    <w:p w14:paraId="3585B9B9">
      <w:pPr>
        <w:spacing w:after="160"/>
      </w:pPr>
      <w:r>
        <w:t>“When do users listen most, and how should infrastructure/capacity planning respond?”</w:t>
      </w:r>
    </w:p>
    <w:p w14:paraId="2DFF81E7">
      <w:pPr>
        <w:pStyle w:val="16"/>
        <w:numPr>
          <w:ilvl w:val="0"/>
          <w:numId w:val="1"/>
        </w:numPr>
        <w:spacing w:after="80"/>
      </w:pPr>
      <w:r>
        <w:t>Supporting table: gold.peak_usage_patterns — play count and listening minutes by hour_of_day, day_of_week, device_category, and country.</w:t>
      </w:r>
    </w:p>
    <w:p w14:paraId="708A3DDF">
      <w:pPr>
        <w:pStyle w:val="16"/>
        <w:numPr>
          <w:ilvl w:val="0"/>
          <w:numId w:val="1"/>
        </w:numPr>
        <w:spacing w:after="80"/>
      </w:pPr>
      <w:r>
        <w:t>Business use: informs server auto-scaling schedules, maintenance-window timing, and CDN/caching decisions around predictable peak windows.</w:t>
      </w:r>
    </w:p>
    <w:p w14:paraId="263B2575">
      <w:pPr>
        <w:pStyle w:val="16"/>
        <w:numPr>
          <w:ilvl w:val="0"/>
          <w:numId w:val="1"/>
        </w:numPr>
        <w:spacing w:after="80"/>
      </w:pPr>
      <w:r>
        <w:t>Visual: heatmap of listening volume, hour-of-day (x-axis) × day-of-week (y-axis).</w:t>
      </w:r>
    </w:p>
    <w:p w14:paraId="7718231C">
      <w:pPr>
        <w:pStyle w:val="4"/>
        <w:spacing w:before="200" w:after="100"/>
      </w:pPr>
      <w:r>
        <w:t>5.2 Business Question 2 — Customer Loyalty &amp; Subscription-Upgrade Targeting</w:t>
      </w:r>
    </w:p>
    <w:p w14:paraId="063203B2">
      <w:pPr>
        <w:spacing w:after="160"/>
      </w:pPr>
      <w:r>
        <w:t>“Which free-tier users show premium-level engagement, and should be targeted for upgrade offers?”</w:t>
      </w:r>
    </w:p>
    <w:p w14:paraId="26FD22B4">
      <w:pPr>
        <w:pStyle w:val="16"/>
        <w:numPr>
          <w:ilvl w:val="0"/>
          <w:numId w:val="1"/>
        </w:numPr>
        <w:spacing w:after="80"/>
      </w:pPr>
      <w:r>
        <w:t>Supporting table: gold.subscription_propensity_segments — one row per user: total_listening_minutes, session_frequency, genre_diversity, skip_rate, device_diversity, discovery_rate, current is_premium status, and a derived engagement_score.</w:t>
      </w:r>
    </w:p>
    <w:p w14:paraId="1AAD5782">
      <w:pPr>
        <w:pStyle w:val="16"/>
        <w:numPr>
          <w:ilvl w:val="0"/>
          <w:numId w:val="1"/>
        </w:numPr>
        <w:spacing w:after="80"/>
      </w:pPr>
      <w:r>
        <w:t>Business use: segments free users into High/Medium/Low propensity tiers so upgrade campaigns target genuinely engaged listeners rather than the entire free-tier base.</w:t>
      </w:r>
    </w:p>
    <w:p w14:paraId="27BA865E">
      <w:pPr>
        <w:pStyle w:val="16"/>
        <w:numPr>
          <w:ilvl w:val="0"/>
          <w:numId w:val="1"/>
        </w:numPr>
        <w:spacing w:after="80"/>
      </w:pPr>
      <w:r>
        <w:t>Visual: bar chart of user counts per propensity tier, split by current subscription status — the “high engagement, still Free” bar is the key actionable insight.</w:t>
      </w:r>
    </w:p>
    <w:p w14:paraId="5B4E2C95">
      <w:pPr>
        <w:pStyle w:val="16"/>
        <w:numPr>
          <w:ilvl w:val="0"/>
          <w:numId w:val="1"/>
        </w:numPr>
        <w:spacing w:after="80"/>
      </w:pPr>
      <w:r>
        <w:t>Planned extension (Phase 2/3): a churn/retention-risk view (declining session frequency or listening-minutes trend) pairs with this table for a full-funnel “who's about to leave vs. who's about to upgrade” story.</w:t>
      </w:r>
    </w:p>
    <w:p w14:paraId="027F7E14">
      <w:pPr>
        <w:pStyle w:val="4"/>
        <w:spacing w:before="200" w:after="100"/>
      </w:pPr>
      <w:r>
        <w:t>5.3 Business Question 3 — Content &amp; Genre Trend Performance</w:t>
      </w:r>
    </w:p>
    <w:p w14:paraId="255860DC">
      <w:pPr>
        <w:spacing w:after="160"/>
      </w:pPr>
      <w:r>
        <w:t>“Which genres/artists are gaining or losing traction over time, to guide content curation or licensing decisions?”</w:t>
      </w:r>
    </w:p>
    <w:p w14:paraId="7E92A314">
      <w:pPr>
        <w:pStyle w:val="16"/>
        <w:numPr>
          <w:ilvl w:val="0"/>
          <w:numId w:val="1"/>
        </w:numPr>
        <w:spacing w:after="80"/>
      </w:pPr>
      <w:r>
        <w:t>Supporting table: gold.content_performance_trends — genre/artist share of total listening minutes, computed monthly with month-over-month delta.</w:t>
      </w:r>
    </w:p>
    <w:p w14:paraId="292130ED">
      <w:pPr>
        <w:pStyle w:val="16"/>
        <w:numPr>
          <w:ilvl w:val="0"/>
          <w:numId w:val="1"/>
        </w:numPr>
        <w:spacing w:after="80"/>
      </w:pPr>
      <w:r>
        <w:t>Business use: informs playlist placement, editorial curation, and licensing investment decisions.</w:t>
      </w:r>
    </w:p>
    <w:p w14:paraId="3A1D3CFA">
      <w:pPr>
        <w:pStyle w:val="16"/>
        <w:numPr>
          <w:ilvl w:val="0"/>
          <w:numId w:val="1"/>
        </w:numPr>
        <w:spacing w:after="80"/>
      </w:pPr>
      <w:r>
        <w:t>Visual: line chart of genre share of total listening over time, highlighting fastest-rising and fastest-declining genres.</w:t>
      </w:r>
    </w:p>
    <w:p w14:paraId="5BC6C166">
      <w:pPr>
        <w:pStyle w:val="4"/>
        <w:spacing w:before="200" w:after="100"/>
      </w:pPr>
      <w:r>
        <w:t>5.4 Bonus — Consumer-Facing “Wrapped” Summary</w:t>
      </w:r>
    </w:p>
    <w:p w14:paraId="5F4BB286">
      <w:pPr>
        <w:pStyle w:val="16"/>
        <w:numPr>
          <w:ilvl w:val="0"/>
          <w:numId w:val="1"/>
        </w:numPr>
        <w:spacing w:after="80"/>
      </w:pPr>
      <w:r>
        <w:t>Supporting table: gold.wrapped_user_year — one flat, wide row per user per year (total_minutes, top artists/genres/tracks, discovery_rate, peak_hour).</w:t>
      </w:r>
    </w:p>
    <w:p w14:paraId="4F26D72C">
      <w:pPr>
        <w:pStyle w:val="16"/>
        <w:numPr>
          <w:ilvl w:val="0"/>
          <w:numId w:val="1"/>
        </w:numPr>
        <w:spacing w:after="80"/>
      </w:pPr>
      <w:r>
        <w:t>Visual: personalized summary page — top artists/genres list, total minutes, discovery rate over the year.</w:t>
      </w:r>
    </w:p>
    <w:p w14:paraId="23BAD4EE">
      <w:pPr>
        <w:pStyle w:val="2"/>
        <w:spacing w:before="360" w:after="160"/>
      </w:pPr>
      <w:r>
        <w:t>6. Engineering Setup &amp; FinOps</w:t>
      </w:r>
    </w:p>
    <w:p w14:paraId="21DB9A02">
      <w:pPr>
        <w:pStyle w:val="3"/>
        <w:spacing w:before="240" w:after="120"/>
      </w:pPr>
      <w:r>
        <w:t>6.1 Version Control</w:t>
      </w:r>
    </w:p>
    <w:p w14:paraId="5DA4C996">
      <w:pPr>
        <w:spacing w:after="160"/>
      </w:pPr>
      <w:r>
        <w:t>The project repository is hosted on GitHub and includes the generator, sanitization, and API-pull scripts; sample raw data files for both full and incremental loads; and this proposal documentation. Repository link: [insert final GitHub URL before submission].</w:t>
      </w:r>
    </w:p>
    <w:p w14:paraId="36572B78">
      <w:pPr>
        <w:pStyle w:val="3"/>
        <w:spacing w:before="240" w:after="120"/>
      </w:pPr>
      <w:r>
        <w:t>6.2 Cost / FinOps Awareness</w:t>
      </w:r>
    </w:p>
    <w:p w14:paraId="59E4317B">
      <w:pPr>
        <w:spacing w:after="160"/>
      </w:pPr>
      <w:r>
        <w:t>The team will run on Databricks Free Edition (serverless, Unity Catalog) or Community Edition, depending on workspace availability, with the following controls to stay within free-tier compute and storage limits:</w:t>
      </w:r>
    </w:p>
    <w:p w14:paraId="7BA1FFE7">
      <w:pPr>
        <w:pStyle w:val="16"/>
        <w:numPr>
          <w:ilvl w:val="0"/>
          <w:numId w:val="1"/>
        </w:numPr>
        <w:spacing w:after="80"/>
      </w:pPr>
      <w:r>
        <w:t>Capped historical window: full load is limited to 450 days rather than an unbounded backfill.</w:t>
      </w:r>
    </w:p>
    <w:p w14:paraId="067B95EA">
      <w:pPr>
        <w:pStyle w:val="16"/>
        <w:numPr>
          <w:ilvl w:val="0"/>
          <w:numId w:val="1"/>
        </w:numPr>
        <w:spacing w:after="80"/>
      </w:pPr>
      <w:r>
        <w:t>Deliberately scaled synthetic intensities: persona intensities are scaled down from literal real averages (40–45 vs. 57–68 events/day) for demo-scale legibility rather than maximum realism.</w:t>
      </w:r>
    </w:p>
    <w:p w14:paraId="2FC8A932">
      <w:pPr>
        <w:pStyle w:val="16"/>
        <w:numPr>
          <w:ilvl w:val="0"/>
          <w:numId w:val="1"/>
        </w:numPr>
        <w:spacing w:after="80"/>
      </w:pPr>
      <w:r>
        <w:t>Filler-population sizing: the bell-curve filler population is sized for coverage, not volume maximization.</w:t>
      </w:r>
    </w:p>
    <w:p w14:paraId="19D0A8CF">
      <w:pPr>
        <w:pStyle w:val="16"/>
        <w:numPr>
          <w:ilvl w:val="0"/>
          <w:numId w:val="1"/>
        </w:numPr>
        <w:spacing w:after="80"/>
      </w:pPr>
      <w:r>
        <w:t>Small-file management: OPTIMIZE is run periodically on high-partition-count tables (e.g., bronze.events) to control file counts from daily partitioning.</w:t>
      </w:r>
    </w:p>
    <w:p w14:paraId="1519BBA5">
      <w:pPr>
        <w:pStyle w:val="16"/>
        <w:numPr>
          <w:ilvl w:val="0"/>
          <w:numId w:val="1"/>
        </w:numPr>
        <w:spacing w:after="80"/>
      </w:pPr>
      <w:r>
        <w:t>Storage hygiene: VACUUM retention periods are respected (not zeroed except in the isolated right-to-be-forgotten demo), so storage doesn't grow unbounded from tombstoned files.</w:t>
      </w:r>
    </w:p>
    <w:p w14:paraId="24B191CD">
      <w:pPr>
        <w:pStyle w:val="16"/>
        <w:numPr>
          <w:ilvl w:val="0"/>
          <w:numId w:val="1"/>
        </w:numPr>
        <w:spacing w:after="80"/>
      </w:pPr>
      <w:r>
        <w:t>Serverless over provisioned compute: Free Edition's serverless model avoids paying for idle cluster uptime between pipeline runs, which matters given the team runs the pipeline on-demand rather than on a fixed schedule during development.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49E91A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562</Words>
  <Characters>3632</Characters>
  <TotalTime>7</TotalTime>
  <ScaleCrop>false</ScaleCrop>
  <LinksUpToDate>false</LinksUpToDate>
  <CharactersWithSpaces>4143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2026-09-23T15:47:00Z</dcterms:created>
  <dc:creator>Un-named</dc:creator>
  <cp:lastModifiedBy>Syed Azan Ali Wasty BSDS 2024 FAST NU LHR</cp:lastModifiedBy>
  <dcterms:modified xsi:type="dcterms:W3CDTF">2026-09-23T15:58:06Z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eyJoZGlkIjoiYmY5NTJkNTRkMDdkNWM2ODM1NDFhNTZjODA0ODUxZTYiLCJ1c2VySWQiOiIxOTI0MTYwMzM0MDA0In0=</vt:lpwstr>
  </property>
  <property fmtid="{D5CDD505-2E9C-101B-9397-08002B2CF9AE}" pid="3" name="KSOProductBuildVer">
    <vt:lpwstr>1033-12.1.0.28485</vt:lpwstr>
  </property>
  <property fmtid="{D5CDD505-2E9C-101B-9397-08002B2CF9AE}" pid="4" name="ICV">
    <vt:lpwstr>89067ED4F3E84C0A92A1976FB44D8046_12</vt:lpwstr>
  </property>
</Properties>
</file>