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Subject:</w:t>
      </w:r>
      <w:r>
        <w:t xml:space="preserve"> </w:t>
      </w:r>
      <w:r>
        <w:t xml:space="preserve">Re: ImageCAS-X — request for the 160 paired re-annotations (inter-observer subset)</w:t>
      </w:r>
    </w:p>
    <w:p>
      <w:pPr>
        <w:pStyle w:val="BodyText"/>
      </w:pPr>
      <w:r>
        <w:t xml:space="preserve">Dear Dr Bransby,</w:t>
      </w:r>
    </w:p>
    <w:p>
      <w:pPr>
        <w:pStyle w:val="BodyText"/>
      </w:pPr>
      <w:r>
        <w:t xml:space="preserve">Thank you for the quick and unusually informative reply — and for explaining the reasoning rather than simply declining. Keeping the unchecked second set out of circulation so that nobody mistakes it for a second ground truth is the right call, and we will not ask again.</w:t>
      </w:r>
    </w:p>
    <w:p>
      <w:pPr>
        <w:pStyle w:val="BodyText"/>
      </w:pPr>
      <w:r>
        <w:t xml:space="preserve">Your point about the shared initialisation is the more valuable half of your email, and it has already changed what we are doing. Since both annotators edited the same automatically generated centrelines and started from the same 3D U-Net boundaries, the published agreement is an upper bound — so where we derive a disagreement magnitude from those statistics, we now treat it as a floor rather than an estimate, and say so.</w:t>
      </w:r>
    </w:p>
    <w:p>
      <w:pPr>
        <w:pStyle w:val="BodyText"/>
      </w:pPr>
      <w:r>
        <w:t xml:space="preserve">It also made us re-examine a claim of our own, and withdraw it. We had intended to cite your Betti-number error as a measured</w:t>
      </w:r>
      <w:r>
        <w:t xml:space="preserve"> </w:t>
      </w:r>
      <w:r>
        <w:rPr>
          <w:i/>
          <w:iCs/>
        </w:rPr>
        <w:t xml:space="preserve">topological</w:t>
      </w:r>
      <w:r>
        <w:t xml:space="preserve"> </w:t>
      </w:r>
      <w:r>
        <w:t xml:space="preserve">disagreement rate, and to lean on it for the error type our study is most sensitive to: a missed side branch. On checking, that will not do — Betti error is β₀ + β₁, and a missing side branch leaves a tree with the same number of components and no new loops, so it moves neither. Your statistic is a real measurement of a real thing — vessel breaks, which do raise β₀ — but it is not a measurement of the event we care most about. We would rather withdraw the claim than stretch your number to cover it.</w:t>
      </w:r>
    </w:p>
    <w:p>
      <w:pPr>
        <w:pStyle w:val="BodyText"/>
      </w:pPr>
      <w:r>
        <w:t xml:space="preserve">Which is what makes your suggestion genuinely useful to us, and for a more specific reason than I would have given yesterday. What our error model currently lacks is not a single magnitude — it is</w:t>
      </w:r>
      <w:r>
        <w:t xml:space="preserve"> </w:t>
      </w:r>
      <w:r>
        <w:rPr>
          <w:b/>
          <w:bCs/>
        </w:rPr>
        <w:t xml:space="preserve">apportionment</w:t>
      </w:r>
      <w:r>
        <w:t xml:space="preserve">: of the errors a real segmentor makes, what fraction are missed branches rather than breaks, which branches go missing and at what calibre, and how radius bias varies with vessel diameter. We assume that apportionment at present, and say so in our protocol as a declared weakness. A set of model predictions against your reference labels would let us measure it across many scans and several models, and calibrate the injection design to it. That is a direct strengthening of the part of our study that is weakest, and it is worth more to us than the paired masks would have been.</w:t>
      </w:r>
    </w:p>
    <w:p>
      <w:pPr>
        <w:pStyle w:val="BodyText"/>
      </w:pPr>
      <w:r>
        <w:t xml:space="preserve">We would be glad to take you up on it. Four questions, so that we ask once rather than twice:</w:t>
      </w:r>
    </w:p>
    <w:p>
      <w:pPr>
        <w:numPr>
          <w:ilvl w:val="0"/>
          <w:numId w:val="1001"/>
        </w:numPr>
      </w:pPr>
      <w:r>
        <w:rPr>
          <w:b/>
          <w:bCs/>
        </w:rPr>
        <w:t xml:space="preserve">How many scans, and which models?</w:t>
      </w:r>
      <w:r>
        <w:t xml:space="preserve"> </w:t>
      </w:r>
      <w:r>
        <w:t xml:space="preserve">Your message mentioned a distribution of predictions, and I want to be sure I read the scope right — is that predictions on a single scan, or across the test set? For measuring apportionment the more scans the better; even a few dozen would be genuinely useful.</w:t>
      </w:r>
    </w:p>
    <w:p>
      <w:pPr>
        <w:numPr>
          <w:ilvl w:val="0"/>
          <w:numId w:val="1001"/>
        </w:numPr>
      </w:pPr>
      <w:r>
        <w:rPr>
          <w:b/>
          <w:bCs/>
        </w:rPr>
        <w:t xml:space="preserve">Raw or post-processed output — and could we have both?</w:t>
      </w:r>
      <w:r>
        <w:t xml:space="preserve"> </w:t>
      </w:r>
      <w:r>
        <w:t xml:space="preserve">This is the one that matters most to us. I understand the benchmark removed connected components below about 100 voxels. That is entirely sensible for reporting segmentation quality, but small fragments and breaks are exactly the topological events we are trying to count, so the filter removes our signal. Raw binarised output (or probability maps, if that is easier)</w:t>
      </w:r>
      <w:r>
        <w:t xml:space="preserve"> </w:t>
      </w:r>
      <w:r>
        <w:rPr>
          <w:b/>
          <w:bCs/>
        </w:rPr>
        <w:t xml:space="preserve">alongside</w:t>
      </w:r>
      <w:r>
        <w:t xml:space="preserve"> </w:t>
      </w:r>
      <w:r>
        <w:t xml:space="preserve">the post-processed version would let us report both and show what the filtering changes.</w:t>
      </w:r>
    </w:p>
    <w:p>
      <w:pPr>
        <w:numPr>
          <w:ilvl w:val="0"/>
          <w:numId w:val="1001"/>
        </w:numPr>
      </w:pPr>
      <w:r>
        <w:rPr>
          <w:b/>
          <w:bCs/>
        </w:rPr>
        <w:t xml:space="preserve">Which training run or weights?</w:t>
      </w:r>
      <w:r>
        <w:t xml:space="preserve"> </w:t>
      </w:r>
      <w:r>
        <w:t xml:space="preserve">We want to be certain the predictions come from models that did not train on the scans they are predicting. If these are the benchmark runs trained on the 560 training scans with the 160 held out, that settles it — but I gather at least one public CAS-Net checkpoint used a different split, so I would rather ask than assume.</w:t>
      </w:r>
    </w:p>
    <w:p>
      <w:pPr>
        <w:numPr>
          <w:ilvl w:val="0"/>
          <w:numId w:val="1001"/>
        </w:numPr>
      </w:pPr>
      <w:r>
        <w:rPr>
          <w:b/>
          <w:bCs/>
        </w:rPr>
        <w:t xml:space="preserve">On what terms?</w:t>
      </w:r>
      <w:r>
        <w:t xml:space="preserve"> </w:t>
      </w:r>
      <w:r>
        <w:t xml:space="preserve">Licence, how you would like it cited, and whether we may redeposit derived results (our measurements, not your predictions) as Source Data alongside the paper. Please also say what form of attribution you would prefer — including co-authorship if you would rather be involved that way, which we would welcome.</w:t>
      </w:r>
    </w:p>
    <w:p>
      <w:pPr>
        <w:pStyle w:val="FirstParagraph"/>
      </w:pPr>
      <w:r>
        <w:t xml:space="preserve">And one optional extra, only if it is easy to hand over: the</w:t>
      </w:r>
      <w:r>
        <w:t xml:space="preserve"> </w:t>
      </w:r>
      <w:r>
        <w:rPr>
          <w:b/>
          <w:bCs/>
        </w:rPr>
        <w:t xml:space="preserve">automatically generated centrelines as they were before the annotators edited them</w:t>
      </w:r>
      <w:r>
        <w:t xml:space="preserve">. The difference between those and the final edited centrelines is a measured topological correction rate, which as far as we can find is not published anywhere, and it would let us separate centreline error from lumen error — currently the weakest joint in our error model.</w:t>
      </w:r>
    </w:p>
    <w:p>
      <w:pPr>
        <w:pStyle w:val="BodyText"/>
      </w:pPr>
      <w:r>
        <w:t xml:space="preserve">None of this is on our critical path, so there is no hurry at your end. We are grateful for the steer either way; the caveat alone has improved the study, and the Betti point saved us from a claim we should not have made.</w:t>
      </w:r>
    </w:p>
    <w:p>
      <w:pPr>
        <w:pStyle w:val="BodyText"/>
      </w:pPr>
      <w:r>
        <w:t xml:space="preserve">With thanks and best wishes,</w:t>
      </w:r>
    </w:p>
    <w:p>
      <w:pPr>
        <w:pStyle w:val="BodyText"/>
      </w:pPr>
      <w:r>
        <w:t xml:space="preserve">[name]</w:t>
      </w:r>
    </w:p>
    <w:p>
      <w:pPr>
        <w:pStyle w:val="BodyText"/>
      </w:pPr>
      <w:r>
        <w:t xml:space="preserve">[title, department]</w:t>
      </w:r>
    </w:p>
    <w:p>
      <w:pPr>
        <w:pStyle w:val="BodyText"/>
      </w:pPr>
      <w:r>
        <w:t xml:space="preserve">[email]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2026-09-19T11:26:34Z</dcterms:created>
  <dcterms:modified xsi:type="dcterms:W3CDTF">2026-09-19T11:26:34Z</dcterms:modified>
</cp:coreProperties>
</file>

<file path=docProps/custom.xml><?xml version="1.0" encoding="utf-8"?>
<Properties xmlns="http://schemas.openxmlformats.org/officeDocument/2006/custom-properties" xmlns:vt="http://schemas.openxmlformats.org/officeDocument/2006/docPropsVTypes"/>
</file>