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36"/>
          <w:szCs w:val="36"/>
        </w:rPr>
        <w:t xml:space="preserve">EXECUTIVE EMPLOYMENT AGREEMENT</w:t>
      </w:r>
    </w:p>
    <w:p>
      <w:pPr>
        <w:pBdr>
          <w:bottom w:val="single" w:color="2E5984" w:sz="2" w:space="8"/>
        </w:pBdr>
        <w:spacing w:after="200"/>
        <w:jc w:val="center"/>
      </w:pPr>
      <w:r>
        <w:rPr>
          <w:rFonts w:ascii="Arial" w:cs="Arial" w:eastAsia="Arial" w:hAnsi="Arial"/>
          <w:i/>
          <w:iCs/>
          <w:color w:val="2E5984"/>
          <w:sz w:val="26"/>
          <w:szCs w:val="26"/>
        </w:rPr>
        <w:t xml:space="preserve">Chief Executive Officer</w:t>
      </w:r>
    </w:p>
    <w:p>
      <w:pPr>
        <w:spacing w:after="100"/>
      </w:pPr>
    </w:p>
    <w:p>
      <w:pPr>
        <w:spacing w:after="200"/>
      </w:pPr>
      <w:r>
        <w:rPr>
          <w:rFonts w:ascii="Arial" w:cs="Arial" w:eastAsia="Arial" w:hAnsi="Arial"/>
          <w:b/>
          <w:bCs/>
          <w:color w:val="333333"/>
          <w:sz w:val="22"/>
          <w:szCs w:val="22"/>
        </w:rPr>
        <w:t xml:space="preserve">THIS EXECUTIVE EMPLOYMENT AGREEMENT</w:t>
      </w:r>
      <w:r>
        <w:rPr>
          <w:rFonts w:ascii="Arial" w:cs="Arial" w:eastAsia="Arial" w:hAnsi="Arial"/>
          <w:color w:val="333333"/>
          <w:sz w:val="22"/>
          <w:szCs w:val="22"/>
        </w:rPr>
        <w:t xml:space="preserve"> (this </w:t>
      </w:r>
      <w:r>
        <w:rPr>
          <w:rFonts w:ascii="Arial" w:cs="Arial" w:eastAsia="Arial" w:hAnsi="Arial"/>
          <w:b/>
          <w:bCs/>
          <w:i/>
          <w:iCs/>
          <w:color w:val="333333"/>
          <w:sz w:val="22"/>
          <w:szCs w:val="22"/>
        </w:rPr>
        <w:t xml:space="preserve">“Agreement”</w:t>
      </w:r>
      <w:r>
        <w:rPr>
          <w:rFonts w:ascii="Arial" w:cs="Arial" w:eastAsia="Arial" w:hAnsi="Arial"/>
          <w:color w:val="333333"/>
          <w:sz w:val="22"/>
          <w:szCs w:val="22"/>
        </w:rPr>
        <w:t xml:space="preserve">) is entered into as of March 15, 2024, by and between </w:t>
      </w:r>
      <w:r>
        <w:rPr>
          <w:rFonts w:ascii="Arial" w:cs="Arial" w:eastAsia="Arial" w:hAnsi="Arial"/>
          <w:b/>
          <w:bCs/>
          <w:color w:val="333333"/>
          <w:sz w:val="22"/>
          <w:szCs w:val="22"/>
        </w:rPr>
        <w:t xml:space="preserve">Meridian Technologies, Inc.</w:t>
      </w:r>
      <w:r>
        <w:rPr>
          <w:rFonts w:ascii="Arial" w:cs="Arial" w:eastAsia="Arial" w:hAnsi="Arial"/>
          <w:color w:val="333333"/>
          <w:sz w:val="22"/>
          <w:szCs w:val="22"/>
        </w:rPr>
        <w:t xml:space="preserve">, a Delaware corporation (the </w:t>
      </w:r>
      <w:r>
        <w:rPr>
          <w:rFonts w:ascii="Arial" w:cs="Arial" w:eastAsia="Arial" w:hAnsi="Arial"/>
          <w:b/>
          <w:bCs/>
          <w:i/>
          <w:iCs/>
          <w:color w:val="333333"/>
          <w:sz w:val="22"/>
          <w:szCs w:val="22"/>
        </w:rPr>
        <w:t xml:space="preserve">“Company”</w:t>
      </w:r>
      <w:r>
        <w:rPr>
          <w:rFonts w:ascii="Arial" w:cs="Arial" w:eastAsia="Arial" w:hAnsi="Arial"/>
          <w:color w:val="333333"/>
          <w:sz w:val="22"/>
          <w:szCs w:val="22"/>
        </w:rPr>
        <w:t xml:space="preserve">), and </w:t>
      </w:r>
      <w:r>
        <w:rPr>
          <w:rFonts w:ascii="Arial" w:cs="Arial" w:eastAsia="Arial" w:hAnsi="Arial"/>
          <w:b/>
          <w:bCs/>
          <w:color w:val="333333"/>
          <w:sz w:val="22"/>
          <w:szCs w:val="22"/>
        </w:rPr>
        <w:t xml:space="preserve">James R. Harrison</w:t>
      </w:r>
      <w:r>
        <w:rPr>
          <w:rFonts w:ascii="Arial" w:cs="Arial" w:eastAsia="Arial" w:hAnsi="Arial"/>
          <w:color w:val="333333"/>
          <w:sz w:val="22"/>
          <w:szCs w:val="22"/>
        </w:rPr>
        <w:t xml:space="preserve"> (the </w:t>
      </w:r>
      <w:r>
        <w:rPr>
          <w:rFonts w:ascii="Arial" w:cs="Arial" w:eastAsia="Arial" w:hAnsi="Arial"/>
          <w:b/>
          <w:bCs/>
          <w:i/>
          <w:iCs/>
          <w:color w:val="333333"/>
          <w:sz w:val="22"/>
          <w:szCs w:val="22"/>
        </w:rPr>
        <w:t xml:space="preserve">“Executive”</w:t>
      </w:r>
      <w:r>
        <w:rPr>
          <w:rFonts w:ascii="Arial" w:cs="Arial" w:eastAsia="Arial" w:hAnsi="Arial"/>
          <w:color w:val="333333"/>
          <w:sz w:val="22"/>
          <w:szCs w:val="22"/>
        </w:rPr>
        <w:t xml:space="preserve">).</w:t>
      </w:r>
    </w:p>
    <w:p>
      <w:pPr>
        <w:spacing w:after="200"/>
      </w:pPr>
      <w:r>
        <w:rPr>
          <w:rFonts w:ascii="Arial" w:cs="Arial" w:eastAsia="Arial" w:hAnsi="Arial"/>
          <w:b/>
          <w:bCs/>
          <w:color w:val="333333"/>
          <w:sz w:val="22"/>
          <w:szCs w:val="22"/>
        </w:rPr>
        <w:t xml:space="preserve">WHEREAS</w:t>
      </w:r>
      <w:r>
        <w:rPr>
          <w:rFonts w:ascii="Arial" w:cs="Arial" w:eastAsia="Arial" w:hAnsi="Arial"/>
          <w:color w:val="333333"/>
          <w:sz w:val="22"/>
          <w:szCs w:val="22"/>
        </w:rPr>
        <w:t xml:space="preserve">, the Company desires to employ the Executive as its Chief Executive Officer, and the Executive desires to accept such employment, subject to the terms and conditions set forth herein;</w:t>
      </w:r>
    </w:p>
    <w:p>
      <w:pPr>
        <w:spacing w:after="200"/>
      </w:pPr>
      <w:r>
        <w:rPr>
          <w:rFonts w:ascii="Arial" w:cs="Arial" w:eastAsia="Arial" w:hAnsi="Arial"/>
          <w:b/>
          <w:bCs/>
          <w:color w:val="333333"/>
          <w:sz w:val="22"/>
          <w:szCs w:val="22"/>
        </w:rPr>
        <w:t xml:space="preserve">NOW, THEREFORE</w:t>
      </w:r>
      <w:r>
        <w:rPr>
          <w:rFonts w:ascii="Arial" w:cs="Arial" w:eastAsia="Arial" w:hAnsi="Arial"/>
          <w:color w:val="333333"/>
          <w:sz w:val="22"/>
          <w:szCs w:val="22"/>
        </w:rPr>
        <w:t xml:space="preserve">, in consideration of the mutual covenants, promises, and agreements contained herein, and for other good and valuable consideration, the receipt and sufficiency of which are hereby acknowledged, the parties agree as follows:</w:t>
      </w:r>
    </w:p>
    <w:p>
      <w:pPr>
        <w:spacing w:before="360" w:after="200"/>
      </w:pPr>
      <w:r>
        <w:rPr>
          <w:rFonts w:ascii="Arial" w:cs="Arial" w:eastAsia="Arial" w:hAnsi="Arial"/>
          <w:b/>
          <w:bCs/>
          <w:color w:val="1B3A5C"/>
          <w:sz w:val="26"/>
          <w:szCs w:val="26"/>
        </w:rPr>
        <w:t xml:space="preserve">1. POSITION AND DUTIES</w:t>
      </w:r>
    </w:p>
    <w:p>
      <w:pPr>
        <w:spacing w:before="120" w:after="120"/>
        <w:ind w:left="360"/>
      </w:pPr>
      <w:r>
        <w:rPr>
          <w:rFonts w:ascii="Arial" w:cs="Arial" w:eastAsia="Arial" w:hAnsi="Arial"/>
          <w:b/>
          <w:bCs/>
          <w:color w:val="2E5984"/>
          <w:sz w:val="22"/>
          <w:szCs w:val="22"/>
        </w:rPr>
        <w:t xml:space="preserve">1.1 </w:t>
      </w:r>
      <w:r>
        <w:rPr>
          <w:rFonts w:ascii="Arial" w:cs="Arial" w:eastAsia="Arial" w:hAnsi="Arial"/>
          <w:b/>
          <w:bCs/>
          <w:color w:val="333333"/>
          <w:sz w:val="22"/>
          <w:szCs w:val="22"/>
        </w:rPr>
        <w:t xml:space="preserve">Position. </w:t>
      </w:r>
      <w:r>
        <w:rPr>
          <w:rFonts w:ascii="Arial" w:cs="Arial" w:eastAsia="Arial" w:hAnsi="Arial"/>
          <w:color w:val="333333"/>
          <w:sz w:val="22"/>
          <w:szCs w:val="22"/>
        </w:rPr>
        <w:t xml:space="preserve">The Company hereby employs the Executive, and the Executive hereby accepts employment, as Chief Executive Officer (“CEO”) of the Company, reporting directly to the Board of Directors of the Company (the “Board”). The Executive shall have such duties and responsibilities as are customary for the position of CEO and as may be assigned from time to time by the Board.</w:t>
      </w:r>
    </w:p>
    <w:p>
      <w:pPr>
        <w:spacing w:before="120" w:after="120"/>
        <w:ind w:left="360"/>
      </w:pPr>
      <w:r>
        <w:rPr>
          <w:rFonts w:ascii="Arial" w:cs="Arial" w:eastAsia="Arial" w:hAnsi="Arial"/>
          <w:b/>
          <w:bCs/>
          <w:color w:val="2E5984"/>
          <w:sz w:val="22"/>
          <w:szCs w:val="22"/>
        </w:rPr>
        <w:t xml:space="preserve">1.2 </w:t>
      </w:r>
      <w:r>
        <w:rPr>
          <w:rFonts w:ascii="Arial" w:cs="Arial" w:eastAsia="Arial" w:hAnsi="Arial"/>
          <w:b/>
          <w:bCs/>
          <w:color w:val="333333"/>
          <w:sz w:val="22"/>
          <w:szCs w:val="22"/>
        </w:rPr>
        <w:t xml:space="preserve">Full-Time Employment. </w:t>
      </w:r>
      <w:r>
        <w:rPr>
          <w:rFonts w:ascii="Arial" w:cs="Arial" w:eastAsia="Arial" w:hAnsi="Arial"/>
          <w:color w:val="333333"/>
          <w:sz w:val="22"/>
          <w:szCs w:val="22"/>
        </w:rPr>
        <w:t xml:space="preserve">During the Employment Term, the Executive shall devote substantially all of the Executive’s business time, attention, skill, and energy to the business and affairs of the Company and its subsidiaries and affiliates. Notwithstanding the foregoing, the Executive may (a) serve on not more than two (2) outside corporate boards with the prior written consent of the Board, (b) serve on civic or charitable boards or committees, and (c) manage personal investments, in each case so long as such activities do not materially interfere with the Executive’s duties hereunder.</w:t>
      </w:r>
    </w:p>
    <w:p>
      <w:pPr>
        <w:spacing w:before="120" w:after="120"/>
        <w:ind w:left="360"/>
      </w:pPr>
      <w:r>
        <w:rPr>
          <w:rFonts w:ascii="Arial" w:cs="Arial" w:eastAsia="Arial" w:hAnsi="Arial"/>
          <w:b/>
          <w:bCs/>
          <w:color w:val="2E5984"/>
          <w:sz w:val="22"/>
          <w:szCs w:val="22"/>
        </w:rPr>
        <w:t xml:space="preserve">1.3 </w:t>
      </w:r>
      <w:r>
        <w:rPr>
          <w:rFonts w:ascii="Arial" w:cs="Arial" w:eastAsia="Arial" w:hAnsi="Arial"/>
          <w:b/>
          <w:bCs/>
          <w:color w:val="333333"/>
          <w:sz w:val="22"/>
          <w:szCs w:val="22"/>
        </w:rPr>
        <w:t xml:space="preserve">Principal Place of Employment. </w:t>
      </w:r>
      <w:r>
        <w:rPr>
          <w:rFonts w:ascii="Arial" w:cs="Arial" w:eastAsia="Arial" w:hAnsi="Arial"/>
          <w:color w:val="333333"/>
          <w:sz w:val="22"/>
          <w:szCs w:val="22"/>
        </w:rPr>
        <w:t xml:space="preserve">The Executive’s principal place of employment shall be the Company’s headquarters, currently located in Austin, Texas, subject to reasonable business travel requirements.</w:t>
      </w:r>
    </w:p>
    <w:p>
      <w:pPr>
        <w:spacing w:before="360" w:after="200"/>
      </w:pPr>
      <w:r>
        <w:rPr>
          <w:rFonts w:ascii="Arial" w:cs="Arial" w:eastAsia="Arial" w:hAnsi="Arial"/>
          <w:b/>
          <w:bCs/>
          <w:color w:val="1B3A5C"/>
          <w:sz w:val="26"/>
          <w:szCs w:val="26"/>
        </w:rPr>
        <w:t xml:space="preserve">2. TERM OF EMPLOYMENT</w:t>
      </w:r>
    </w:p>
    <w:p>
      <w:pPr>
        <w:spacing w:before="120" w:after="120"/>
        <w:ind w:left="360"/>
      </w:pPr>
      <w:r>
        <w:rPr>
          <w:rFonts w:ascii="Arial" w:cs="Arial" w:eastAsia="Arial" w:hAnsi="Arial"/>
          <w:b/>
          <w:bCs/>
          <w:color w:val="2E5984"/>
          <w:sz w:val="22"/>
          <w:szCs w:val="22"/>
        </w:rPr>
        <w:t xml:space="preserve">2.1 </w:t>
      </w:r>
      <w:r>
        <w:rPr>
          <w:rFonts w:ascii="Arial" w:cs="Arial" w:eastAsia="Arial" w:hAnsi="Arial"/>
          <w:b/>
          <w:bCs/>
          <w:color w:val="333333"/>
          <w:sz w:val="22"/>
          <w:szCs w:val="22"/>
        </w:rPr>
        <w:t xml:space="preserve">Initial Term. </w:t>
      </w:r>
      <w:r>
        <w:rPr>
          <w:rFonts w:ascii="Arial" w:cs="Arial" w:eastAsia="Arial" w:hAnsi="Arial"/>
          <w:color w:val="333333"/>
          <w:sz w:val="22"/>
          <w:szCs w:val="22"/>
        </w:rPr>
        <w:t xml:space="preserve">The term of this Agreement shall commence on April 1, 2024 (the </w:t>
      </w:r>
      <w:r>
        <w:rPr>
          <w:rFonts w:ascii="Arial" w:cs="Arial" w:eastAsia="Arial" w:hAnsi="Arial"/>
          <w:b/>
          <w:bCs/>
          <w:i/>
          <w:iCs/>
          <w:color w:val="333333"/>
          <w:sz w:val="22"/>
          <w:szCs w:val="22"/>
        </w:rPr>
        <w:t xml:space="preserve">“Effective Date”</w:t>
      </w:r>
      <w:r>
        <w:rPr>
          <w:rFonts w:ascii="Arial" w:cs="Arial" w:eastAsia="Arial" w:hAnsi="Arial"/>
          <w:color w:val="333333"/>
          <w:sz w:val="22"/>
          <w:szCs w:val="22"/>
        </w:rPr>
        <w:t xml:space="preserve">) and shall continue for a period of three (3) years from the Effective Date (the </w:t>
      </w:r>
      <w:r>
        <w:rPr>
          <w:rFonts w:ascii="Arial" w:cs="Arial" w:eastAsia="Arial" w:hAnsi="Arial"/>
          <w:b/>
          <w:bCs/>
          <w:i/>
          <w:iCs/>
          <w:color w:val="333333"/>
          <w:sz w:val="22"/>
          <w:szCs w:val="22"/>
        </w:rPr>
        <w:t xml:space="preserve">“Initial Term”</w:t>
      </w:r>
      <w:r>
        <w:rPr>
          <w:rFonts w:ascii="Arial" w:cs="Arial" w:eastAsia="Arial" w:hAnsi="Arial"/>
          <w:color w:val="333333"/>
          <w:sz w:val="22"/>
          <w:szCs w:val="22"/>
        </w:rPr>
        <w:t xml:space="preserve">), unless earlier terminated in accordance with Section 5 hereof.</w:t>
      </w:r>
    </w:p>
    <w:p>
      <w:pPr>
        <w:spacing w:before="120" w:after="120"/>
        <w:ind w:left="360"/>
      </w:pPr>
      <w:r>
        <w:rPr>
          <w:rFonts w:ascii="Arial" w:cs="Arial" w:eastAsia="Arial" w:hAnsi="Arial"/>
          <w:b/>
          <w:bCs/>
          <w:color w:val="2E5984"/>
          <w:sz w:val="22"/>
          <w:szCs w:val="22"/>
        </w:rPr>
        <w:t xml:space="preserve">2.2 </w:t>
      </w:r>
      <w:r>
        <w:rPr>
          <w:rFonts w:ascii="Arial" w:cs="Arial" w:eastAsia="Arial" w:hAnsi="Arial"/>
          <w:b/>
          <w:bCs/>
          <w:color w:val="333333"/>
          <w:sz w:val="22"/>
          <w:szCs w:val="22"/>
        </w:rPr>
        <w:t xml:space="preserve">Renewal. </w:t>
      </w:r>
      <w:r>
        <w:rPr>
          <w:rFonts w:ascii="Arial" w:cs="Arial" w:eastAsia="Arial" w:hAnsi="Arial"/>
          <w:color w:val="333333"/>
          <w:sz w:val="22"/>
          <w:szCs w:val="22"/>
        </w:rPr>
        <w:t xml:space="preserve">Following the expiration of the Initial Term, this Agreement shall automatically renew for successive one (1) year periods (each, a “Renewal Term” and, together with the Initial Term, the “Employment Term”), unless either party provides the other with written notice of non-renewal at least ninety (90) days prior to the expiration of the then-current term.</w:t>
      </w:r>
    </w:p>
    <w:p>
      <w:pPr>
        <w:spacing w:before="360" w:after="200"/>
      </w:pPr>
      <w:r>
        <w:rPr>
          <w:rFonts w:ascii="Arial" w:cs="Arial" w:eastAsia="Arial" w:hAnsi="Arial"/>
          <w:b/>
          <w:bCs/>
          <w:color w:val="1B3A5C"/>
          <w:sz w:val="26"/>
          <w:szCs w:val="26"/>
        </w:rPr>
        <w:t xml:space="preserve">3. COMPENSATION AND BENEFITS</w:t>
      </w:r>
    </w:p>
    <w:p>
      <w:pPr>
        <w:spacing w:before="120" w:after="120"/>
        <w:ind w:left="360"/>
      </w:pPr>
      <w:r>
        <w:rPr>
          <w:rFonts w:ascii="Arial" w:cs="Arial" w:eastAsia="Arial" w:hAnsi="Arial"/>
          <w:b/>
          <w:bCs/>
          <w:color w:val="2E5984"/>
          <w:sz w:val="22"/>
          <w:szCs w:val="22"/>
        </w:rPr>
        <w:t xml:space="preserve">3.1 </w:t>
      </w:r>
      <w:r>
        <w:rPr>
          <w:rFonts w:ascii="Arial" w:cs="Arial" w:eastAsia="Arial" w:hAnsi="Arial"/>
          <w:b/>
          <w:bCs/>
          <w:color w:val="333333"/>
          <w:sz w:val="22"/>
          <w:szCs w:val="22"/>
        </w:rPr>
        <w:t xml:space="preserve">Base Salary. </w:t>
      </w:r>
      <w:r>
        <w:rPr>
          <w:rFonts w:ascii="Arial" w:cs="Arial" w:eastAsia="Arial" w:hAnsi="Arial"/>
          <w:color w:val="333333"/>
          <w:sz w:val="22"/>
          <w:szCs w:val="22"/>
        </w:rPr>
        <w:t xml:space="preserve">During the Employment Term, the Company shall pay the Executive an annual base salary of $625,000 (</w:t>
      </w:r>
      <w:r>
        <w:rPr>
          <w:rFonts w:ascii="Arial" w:cs="Arial" w:eastAsia="Arial" w:hAnsi="Arial"/>
          <w:b/>
          <w:bCs/>
          <w:i/>
          <w:iCs/>
          <w:color w:val="333333"/>
          <w:sz w:val="22"/>
          <w:szCs w:val="22"/>
        </w:rPr>
        <w:t xml:space="preserve">“Base Salary”</w:t>
      </w:r>
      <w:r>
        <w:rPr>
          <w:rFonts w:ascii="Arial" w:cs="Arial" w:eastAsia="Arial" w:hAnsi="Arial"/>
          <w:color w:val="333333"/>
          <w:sz w:val="22"/>
          <w:szCs w:val="22"/>
        </w:rPr>
        <w:t xml:space="preserve">), payable in accordance with the Company’s customary payroll practices. The Base Salary shall be reviewed annually by the Board or its Compensation Committee and may be increased (but not decreased without the Executive’s written consent) in the sole discretion of the Board or its Compensation Committee.</w:t>
      </w:r>
    </w:p>
    <w:p>
      <w:pPr>
        <w:spacing w:before="120" w:after="120"/>
        <w:ind w:left="360"/>
      </w:pPr>
      <w:r>
        <w:rPr>
          <w:rFonts w:ascii="Arial" w:cs="Arial" w:eastAsia="Arial" w:hAnsi="Arial"/>
          <w:b/>
          <w:bCs/>
          <w:color w:val="2E5984"/>
          <w:sz w:val="22"/>
          <w:szCs w:val="22"/>
        </w:rPr>
        <w:t xml:space="preserve">3.2 </w:t>
      </w:r>
      <w:r>
        <w:rPr>
          <w:rFonts w:ascii="Arial" w:cs="Arial" w:eastAsia="Arial" w:hAnsi="Arial"/>
          <w:b/>
          <w:bCs/>
          <w:color w:val="333333"/>
          <w:sz w:val="22"/>
          <w:szCs w:val="22"/>
        </w:rPr>
        <w:t xml:space="preserve">Annual Bonus. </w:t>
      </w:r>
      <w:r>
        <w:rPr>
          <w:rFonts w:ascii="Arial" w:cs="Arial" w:eastAsia="Arial" w:hAnsi="Arial"/>
          <w:color w:val="333333"/>
          <w:sz w:val="22"/>
          <w:szCs w:val="22"/>
        </w:rPr>
        <w:t xml:space="preserve">For each fiscal year during the Employment Term, the Executive shall be eligible to receive an annual performance bonus (the </w:t>
      </w:r>
      <w:r>
        <w:rPr>
          <w:rFonts w:ascii="Arial" w:cs="Arial" w:eastAsia="Arial" w:hAnsi="Arial"/>
          <w:b/>
          <w:bCs/>
          <w:i/>
          <w:iCs/>
          <w:color w:val="333333"/>
          <w:sz w:val="22"/>
          <w:szCs w:val="22"/>
        </w:rPr>
        <w:t xml:space="preserve">“Annual Bonus”</w:t>
      </w:r>
      <w:r>
        <w:rPr>
          <w:rFonts w:ascii="Arial" w:cs="Arial" w:eastAsia="Arial" w:hAnsi="Arial"/>
          <w:color w:val="333333"/>
          <w:sz w:val="22"/>
          <w:szCs w:val="22"/>
        </w:rPr>
        <w:t xml:space="preserve">) with a target amount equal to 100% of the Base Salary (the </w:t>
      </w:r>
      <w:r>
        <w:rPr>
          <w:rFonts w:ascii="Arial" w:cs="Arial" w:eastAsia="Arial" w:hAnsi="Arial"/>
          <w:b/>
          <w:bCs/>
          <w:i/>
          <w:iCs/>
          <w:color w:val="333333"/>
          <w:sz w:val="22"/>
          <w:szCs w:val="22"/>
        </w:rPr>
        <w:t xml:space="preserve">“Target Bonus”</w:t>
      </w:r>
      <w:r>
        <w:rPr>
          <w:rFonts w:ascii="Arial" w:cs="Arial" w:eastAsia="Arial" w:hAnsi="Arial"/>
          <w:color w:val="333333"/>
          <w:sz w:val="22"/>
          <w:szCs w:val="22"/>
        </w:rPr>
        <w:t xml:space="preserve">), with a maximum annual bonus opportunity of 200% of Base Salary. The Annual Bonus shall be based on the achievement of performance objectives established annually by the Board or its Compensation Committee in consultation with the Executive. The Annual Bonus, if any, shall be paid within seventy-five (75) days following the end of the applicable fiscal year.</w:t>
      </w:r>
    </w:p>
    <w:p>
      <w:pPr>
        <w:spacing w:before="120" w:after="120"/>
        <w:ind w:left="360"/>
      </w:pPr>
      <w:r>
        <w:rPr>
          <w:rFonts w:ascii="Arial" w:cs="Arial" w:eastAsia="Arial" w:hAnsi="Arial"/>
          <w:b/>
          <w:bCs/>
          <w:color w:val="2E5984"/>
          <w:sz w:val="22"/>
          <w:szCs w:val="22"/>
        </w:rPr>
        <w:t xml:space="preserve">3.3 </w:t>
      </w:r>
      <w:r>
        <w:rPr>
          <w:rFonts w:ascii="Arial" w:cs="Arial" w:eastAsia="Arial" w:hAnsi="Arial"/>
          <w:b/>
          <w:bCs/>
          <w:color w:val="333333"/>
          <w:sz w:val="22"/>
          <w:szCs w:val="22"/>
        </w:rPr>
        <w:t xml:space="preserve">Equity Compensation. </w:t>
      </w:r>
      <w:r>
        <w:rPr>
          <w:rFonts w:ascii="Arial" w:cs="Arial" w:eastAsia="Arial" w:hAnsi="Arial"/>
          <w:color w:val="333333"/>
          <w:sz w:val="22"/>
          <w:szCs w:val="22"/>
        </w:rPr>
        <w:t xml:space="preserve">Subject to approval by the Board, the Executive shall be granted the following equity awards under the Company’s Equity Incentive Plan:</w:t>
      </w:r>
    </w:p>
    <w:p>
      <w:pPr>
        <w:spacing w:before="60" w:after="60"/>
        <w:ind w:left="720"/>
      </w:pPr>
      <w:r>
        <w:rPr>
          <w:rFonts w:ascii="Arial" w:cs="Arial" w:eastAsia="Arial" w:hAnsi="Arial"/>
          <w:color w:val="333333"/>
          <w:sz w:val="22"/>
          <w:szCs w:val="22"/>
        </w:rPr>
        <w:t xml:space="preserve">(a) An initial grant of 150,000 restricted stock units (“RSUs”), vesting in equal annual installments over four (4) years from the date of grant, subject to the Executive’s continued employment through each applicable vesting date;</w:t>
      </w:r>
    </w:p>
    <w:p>
      <w:pPr>
        <w:spacing w:before="60" w:after="60"/>
        <w:ind w:left="720"/>
      </w:pPr>
      <w:r>
        <w:rPr>
          <w:rFonts w:ascii="Arial" w:cs="Arial" w:eastAsia="Arial" w:hAnsi="Arial"/>
          <w:color w:val="333333"/>
          <w:sz w:val="22"/>
          <w:szCs w:val="22"/>
        </w:rPr>
        <w:t xml:space="preserve">(b) An initial grant of stock options to purchase 200,000 shares of common stock at an exercise price equal to the fair market value on the date of grant, vesting in equal annual installments over four (4) years; and</w:t>
      </w:r>
    </w:p>
    <w:p>
      <w:pPr>
        <w:spacing w:before="60" w:after="60"/>
        <w:ind w:left="720"/>
      </w:pPr>
      <w:r>
        <w:rPr>
          <w:rFonts w:ascii="Arial" w:cs="Arial" w:eastAsia="Arial" w:hAnsi="Arial"/>
          <w:color w:val="333333"/>
          <w:sz w:val="22"/>
          <w:szCs w:val="22"/>
        </w:rPr>
        <w:t xml:space="preserve">(c) Eligibility for additional annual equity grants as determined by the Board or its Compensation Committee in its sole discretion.</w:t>
      </w:r>
    </w:p>
    <w:p>
      <w:pPr>
        <w:spacing w:before="120" w:after="120"/>
        <w:ind w:left="360"/>
      </w:pPr>
      <w:r>
        <w:rPr>
          <w:rFonts w:ascii="Arial" w:cs="Arial" w:eastAsia="Arial" w:hAnsi="Arial"/>
          <w:b/>
          <w:bCs/>
          <w:color w:val="2E5984"/>
          <w:sz w:val="22"/>
          <w:szCs w:val="22"/>
        </w:rPr>
        <w:t xml:space="preserve">3.4 </w:t>
      </w:r>
      <w:r>
        <w:rPr>
          <w:rFonts w:ascii="Arial" w:cs="Arial" w:eastAsia="Arial" w:hAnsi="Arial"/>
          <w:b/>
          <w:bCs/>
          <w:color w:val="333333"/>
          <w:sz w:val="22"/>
          <w:szCs w:val="22"/>
        </w:rPr>
        <w:t xml:space="preserve">Benefits. </w:t>
      </w:r>
      <w:r>
        <w:rPr>
          <w:rFonts w:ascii="Arial" w:cs="Arial" w:eastAsia="Arial" w:hAnsi="Arial"/>
          <w:color w:val="333333"/>
          <w:sz w:val="22"/>
          <w:szCs w:val="22"/>
        </w:rPr>
        <w:t xml:space="preserve">During the Employment Term, the Executive shall be entitled to participate in all employee benefit plans, programs, and arrangements generally made available to senior executives of the Company, including without limitation health insurance, dental insurance, vision insurance, life insurance, disability insurance, and retirement plans, subject to the terms and conditions of such plans.</w:t>
      </w:r>
    </w:p>
    <w:p>
      <w:pPr>
        <w:spacing w:before="120" w:after="120"/>
        <w:ind w:left="360"/>
      </w:pPr>
      <w:r>
        <w:rPr>
          <w:rFonts w:ascii="Arial" w:cs="Arial" w:eastAsia="Arial" w:hAnsi="Arial"/>
          <w:b/>
          <w:bCs/>
          <w:color w:val="2E5984"/>
          <w:sz w:val="22"/>
          <w:szCs w:val="22"/>
        </w:rPr>
        <w:t xml:space="preserve">3.5 </w:t>
      </w:r>
      <w:r>
        <w:rPr>
          <w:rFonts w:ascii="Arial" w:cs="Arial" w:eastAsia="Arial" w:hAnsi="Arial"/>
          <w:b/>
          <w:bCs/>
          <w:color w:val="333333"/>
          <w:sz w:val="22"/>
          <w:szCs w:val="22"/>
        </w:rPr>
        <w:t xml:space="preserve">Vacation. </w:t>
      </w:r>
      <w:r>
        <w:rPr>
          <w:rFonts w:ascii="Arial" w:cs="Arial" w:eastAsia="Arial" w:hAnsi="Arial"/>
          <w:color w:val="333333"/>
          <w:sz w:val="22"/>
          <w:szCs w:val="22"/>
        </w:rPr>
        <w:t xml:space="preserve">The Executive shall be entitled to five (5) weeks of paid vacation per year in accordance with the Company’s vacation policy, as may be amended from time to time.</w:t>
      </w:r>
    </w:p>
    <w:p>
      <w:pPr>
        <w:spacing w:before="120" w:after="120"/>
        <w:ind w:left="360"/>
      </w:pPr>
      <w:r>
        <w:rPr>
          <w:rFonts w:ascii="Arial" w:cs="Arial" w:eastAsia="Arial" w:hAnsi="Arial"/>
          <w:b/>
          <w:bCs/>
          <w:color w:val="2E5984"/>
          <w:sz w:val="22"/>
          <w:szCs w:val="22"/>
        </w:rPr>
        <w:t xml:space="preserve">3.6 </w:t>
      </w:r>
      <w:r>
        <w:rPr>
          <w:rFonts w:ascii="Arial" w:cs="Arial" w:eastAsia="Arial" w:hAnsi="Arial"/>
          <w:b/>
          <w:bCs/>
          <w:color w:val="333333"/>
          <w:sz w:val="22"/>
          <w:szCs w:val="22"/>
        </w:rPr>
        <w:t xml:space="preserve">Expense Reimbursement. </w:t>
      </w:r>
      <w:r>
        <w:rPr>
          <w:rFonts w:ascii="Arial" w:cs="Arial" w:eastAsia="Arial" w:hAnsi="Arial"/>
          <w:color w:val="333333"/>
          <w:sz w:val="22"/>
          <w:szCs w:val="22"/>
        </w:rPr>
        <w:t xml:space="preserve">The Company shall reimburse the Executive for all reasonable and documented business expenses incurred in the performance of the Executive’s duties, in accordance with the Company’s expense reimbursement policies.</w:t>
      </w:r>
    </w:p>
    <w:p>
      <w:pPr>
        <w:spacing w:before="360" w:after="200"/>
      </w:pPr>
      <w:r>
        <w:rPr>
          <w:rFonts w:ascii="Arial" w:cs="Arial" w:eastAsia="Arial" w:hAnsi="Arial"/>
          <w:b/>
          <w:bCs/>
          <w:color w:val="1B3A5C"/>
          <w:sz w:val="26"/>
          <w:szCs w:val="26"/>
        </w:rPr>
        <w:t xml:space="preserve">4. RESTRICTIVE COVENANTS</w:t>
      </w:r>
    </w:p>
    <w:p>
      <w:pPr>
        <w:spacing w:before="120" w:after="120"/>
        <w:ind w:left="360"/>
      </w:pPr>
      <w:r>
        <w:rPr>
          <w:rFonts w:ascii="Arial" w:cs="Arial" w:eastAsia="Arial" w:hAnsi="Arial"/>
          <w:b/>
          <w:bCs/>
          <w:color w:val="2E5984"/>
          <w:sz w:val="22"/>
          <w:szCs w:val="22"/>
        </w:rPr>
        <w:t xml:space="preserve">4.1 </w:t>
      </w:r>
      <w:r>
        <w:rPr>
          <w:rFonts w:ascii="Arial" w:cs="Arial" w:eastAsia="Arial" w:hAnsi="Arial"/>
          <w:b/>
          <w:bCs/>
          <w:color w:val="333333"/>
          <w:sz w:val="22"/>
          <w:szCs w:val="22"/>
        </w:rPr>
        <w:t xml:space="preserve">Non-Competition. </w:t>
      </w:r>
      <w:r>
        <w:rPr>
          <w:rFonts w:ascii="Arial" w:cs="Arial" w:eastAsia="Arial" w:hAnsi="Arial"/>
          <w:color w:val="333333"/>
          <w:sz w:val="22"/>
          <w:szCs w:val="22"/>
        </w:rPr>
        <w:t xml:space="preserve">During the Employment Term and for a period of twenty-four (24) months following the termination of the Executive’s employment for any reason (the </w:t>
      </w:r>
      <w:r>
        <w:rPr>
          <w:rFonts w:ascii="Arial" w:cs="Arial" w:eastAsia="Arial" w:hAnsi="Arial"/>
          <w:b/>
          <w:bCs/>
          <w:i/>
          <w:iCs/>
          <w:color w:val="333333"/>
          <w:sz w:val="22"/>
          <w:szCs w:val="22"/>
        </w:rPr>
        <w:t xml:space="preserve">“Restricted Period”</w:t>
      </w:r>
      <w:r>
        <w:rPr>
          <w:rFonts w:ascii="Arial" w:cs="Arial" w:eastAsia="Arial" w:hAnsi="Arial"/>
          <w:color w:val="333333"/>
          <w:sz w:val="22"/>
          <w:szCs w:val="22"/>
        </w:rPr>
        <w:t xml:space="preserve">), the Executive shall not, directly or indirectly, engage in, own, manage, operate, control, or participate in any business that competes with the Company’s business within the geographic areas in which the Company operates.</w:t>
      </w:r>
    </w:p>
    <w:p>
      <w:pPr>
        <w:spacing w:before="120" w:after="120"/>
        <w:ind w:left="360"/>
      </w:pPr>
      <w:r>
        <w:rPr>
          <w:rFonts w:ascii="Arial" w:cs="Arial" w:eastAsia="Arial" w:hAnsi="Arial"/>
          <w:b/>
          <w:bCs/>
          <w:color w:val="2E5984"/>
          <w:sz w:val="22"/>
          <w:szCs w:val="22"/>
        </w:rPr>
        <w:t xml:space="preserve">4.2 </w:t>
      </w:r>
      <w:r>
        <w:rPr>
          <w:rFonts w:ascii="Arial" w:cs="Arial" w:eastAsia="Arial" w:hAnsi="Arial"/>
          <w:b/>
          <w:bCs/>
          <w:color w:val="333333"/>
          <w:sz w:val="22"/>
          <w:szCs w:val="22"/>
        </w:rPr>
        <w:t xml:space="preserve">Non-Solicitation. </w:t>
      </w:r>
      <w:r>
        <w:rPr>
          <w:rFonts w:ascii="Arial" w:cs="Arial" w:eastAsia="Arial" w:hAnsi="Arial"/>
          <w:color w:val="333333"/>
          <w:sz w:val="22"/>
          <w:szCs w:val="22"/>
        </w:rPr>
        <w:t xml:space="preserve">During the Restricted Period, the Executive shall not, directly or indirectly, (a) solicit, recruit, or attempt to solicit or recruit any employee, consultant, or independent contractor of the Company to terminate their relationship with the Company, or (b) solicit, divert, or attempt to solicit or divert any customer, client, supplier, or vendor of the Company.</w:t>
      </w:r>
    </w:p>
    <w:p>
      <w:pPr>
        <w:spacing w:before="120" w:after="120"/>
        <w:ind w:left="360"/>
      </w:pPr>
      <w:r>
        <w:rPr>
          <w:rFonts w:ascii="Arial" w:cs="Arial" w:eastAsia="Arial" w:hAnsi="Arial"/>
          <w:b/>
          <w:bCs/>
          <w:color w:val="2E5984"/>
          <w:sz w:val="22"/>
          <w:szCs w:val="22"/>
        </w:rPr>
        <w:t xml:space="preserve">4.3 </w:t>
      </w:r>
      <w:r>
        <w:rPr>
          <w:rFonts w:ascii="Arial" w:cs="Arial" w:eastAsia="Arial" w:hAnsi="Arial"/>
          <w:b/>
          <w:bCs/>
          <w:color w:val="333333"/>
          <w:sz w:val="22"/>
          <w:szCs w:val="22"/>
        </w:rPr>
        <w:t xml:space="preserve">Confidentiality. </w:t>
      </w:r>
      <w:r>
        <w:rPr>
          <w:rFonts w:ascii="Arial" w:cs="Arial" w:eastAsia="Arial" w:hAnsi="Arial"/>
          <w:color w:val="333333"/>
          <w:sz w:val="22"/>
          <w:szCs w:val="22"/>
        </w:rPr>
        <w:t xml:space="preserve">The Executive acknowledges that during the course of employment, the Executive will have access to Confidential Information (as defined in the Company’s Confidential Information and Invention Assignment Agreement). The Executive agrees to maintain the confidentiality of all Confidential Information during and after the Employment Term in accordance with the terms of such agreement.</w:t>
      </w:r>
    </w:p>
    <w:p>
      <w:pPr>
        <w:spacing w:before="120" w:after="120"/>
        <w:ind w:left="360"/>
      </w:pPr>
      <w:r>
        <w:rPr>
          <w:rFonts w:ascii="Arial" w:cs="Arial" w:eastAsia="Arial" w:hAnsi="Arial"/>
          <w:b/>
          <w:bCs/>
          <w:color w:val="2E5984"/>
          <w:sz w:val="22"/>
          <w:szCs w:val="22"/>
        </w:rPr>
        <w:t xml:space="preserve">4.4 </w:t>
      </w:r>
      <w:r>
        <w:rPr>
          <w:rFonts w:ascii="Arial" w:cs="Arial" w:eastAsia="Arial" w:hAnsi="Arial"/>
          <w:b/>
          <w:bCs/>
          <w:color w:val="333333"/>
          <w:sz w:val="22"/>
          <w:szCs w:val="22"/>
        </w:rPr>
        <w:t xml:space="preserve">Non-Disparagement. </w:t>
      </w:r>
      <w:r>
        <w:rPr>
          <w:rFonts w:ascii="Arial" w:cs="Arial" w:eastAsia="Arial" w:hAnsi="Arial"/>
          <w:color w:val="333333"/>
          <w:sz w:val="22"/>
          <w:szCs w:val="22"/>
        </w:rPr>
        <w:t xml:space="preserve">During the Employment Term and at all times thereafter, neither the Executive nor the Company (through its officers and directors) shall make any public statements that disparage the other party, or the other party’s respective affiliates, officers, directors, employees, products, or services.</w:t>
      </w:r>
    </w:p>
    <w:p>
      <w:pPr>
        <w:spacing w:before="360" w:after="200"/>
      </w:pPr>
      <w:r>
        <w:rPr>
          <w:rFonts w:ascii="Arial" w:cs="Arial" w:eastAsia="Arial" w:hAnsi="Arial"/>
          <w:b/>
          <w:bCs/>
          <w:color w:val="1B3A5C"/>
          <w:sz w:val="26"/>
          <w:szCs w:val="26"/>
        </w:rPr>
        <w:t xml:space="preserve">5. TERMINATION OF EMPLOYMENT</w:t>
      </w:r>
    </w:p>
    <w:p>
      <w:pPr>
        <w:spacing w:before="120" w:after="120"/>
        <w:ind w:left="360"/>
      </w:pPr>
      <w:r>
        <w:rPr>
          <w:rFonts w:ascii="Arial" w:cs="Arial" w:eastAsia="Arial" w:hAnsi="Arial"/>
          <w:b/>
          <w:bCs/>
          <w:color w:val="2E5984"/>
          <w:sz w:val="22"/>
          <w:szCs w:val="22"/>
        </w:rPr>
        <w:t xml:space="preserve">5.1 </w:t>
      </w:r>
      <w:r>
        <w:rPr>
          <w:rFonts w:ascii="Arial" w:cs="Arial" w:eastAsia="Arial" w:hAnsi="Arial"/>
          <w:b/>
          <w:bCs/>
          <w:color w:val="333333"/>
          <w:sz w:val="22"/>
          <w:szCs w:val="22"/>
        </w:rPr>
        <w:t xml:space="preserve">Termination for Cause. </w:t>
      </w:r>
      <w:r>
        <w:rPr>
          <w:rFonts w:ascii="Arial" w:cs="Arial" w:eastAsia="Arial" w:hAnsi="Arial"/>
          <w:color w:val="333333"/>
          <w:sz w:val="22"/>
          <w:szCs w:val="22"/>
        </w:rPr>
        <w:t xml:space="preserve">The Company may terminate the Executive’s employment for “Cause” at any time upon written notice. For purposes of this Agreement, “Cause” shall mean: (a) the Executive’s willful and material breach of this Agreement; (b) the Executive’s conviction of, or plea of guilty or nolo contendere to, a felony; (c) the Executive’s fraud, embezzlement, or misappropriation; (d) the Executive’s willful misconduct that materially and demonstrably injures the Company; or (e) the Executive’s continued failure to substantially perform the Executive’s duties after written notice and a thirty (30)-day cure period.</w:t>
      </w:r>
    </w:p>
    <w:p>
      <w:pPr>
        <w:spacing w:before="120" w:after="120"/>
        <w:ind w:left="360"/>
      </w:pPr>
      <w:r>
        <w:rPr>
          <w:rFonts w:ascii="Arial" w:cs="Arial" w:eastAsia="Arial" w:hAnsi="Arial"/>
          <w:b/>
          <w:bCs/>
          <w:color w:val="2E5984"/>
          <w:sz w:val="22"/>
          <w:szCs w:val="22"/>
        </w:rPr>
        <w:t xml:space="preserve">5.2 </w:t>
      </w:r>
      <w:r>
        <w:rPr>
          <w:rFonts w:ascii="Arial" w:cs="Arial" w:eastAsia="Arial" w:hAnsi="Arial"/>
          <w:b/>
          <w:bCs/>
          <w:color w:val="333333"/>
          <w:sz w:val="22"/>
          <w:szCs w:val="22"/>
        </w:rPr>
        <w:t xml:space="preserve">Termination Without Cause or for Good Reason. </w:t>
      </w:r>
      <w:r>
        <w:rPr>
          <w:rFonts w:ascii="Arial" w:cs="Arial" w:eastAsia="Arial" w:hAnsi="Arial"/>
          <w:color w:val="333333"/>
          <w:sz w:val="22"/>
          <w:szCs w:val="22"/>
        </w:rPr>
        <w:t xml:space="preserve">If the Executive’s employment is terminated by the Company without Cause or by the Executive for Good Reason, the Executive shall be entitled to: (a) any accrued but unpaid Base Salary through the date of termination; (b) continued payment of Base Salary for twenty-four (24) months; (c) a pro-rata portion of the Annual Bonus for the year of termination; (d) accelerated vesting of 100% of unvested equity awards; and (e) continuation of health benefits at the Company’s expense for twenty-four (24) months.</w:t>
      </w:r>
    </w:p>
    <w:p>
      <w:pPr>
        <w:spacing w:before="120" w:after="120"/>
        <w:ind w:left="360"/>
      </w:pPr>
      <w:r>
        <w:rPr>
          <w:rFonts w:ascii="Arial" w:cs="Arial" w:eastAsia="Arial" w:hAnsi="Arial"/>
          <w:b/>
          <w:bCs/>
          <w:color w:val="2E5984"/>
          <w:sz w:val="22"/>
          <w:szCs w:val="22"/>
        </w:rPr>
        <w:t xml:space="preserve">5.3 </w:t>
      </w:r>
      <w:r>
        <w:rPr>
          <w:rFonts w:ascii="Arial" w:cs="Arial" w:eastAsia="Arial" w:hAnsi="Arial"/>
          <w:b/>
          <w:bCs/>
          <w:color w:val="333333"/>
          <w:sz w:val="22"/>
          <w:szCs w:val="22"/>
        </w:rPr>
        <w:t xml:space="preserve">Change of Control. </w:t>
      </w:r>
      <w:r>
        <w:rPr>
          <w:rFonts w:ascii="Arial" w:cs="Arial" w:eastAsia="Arial" w:hAnsi="Arial"/>
          <w:color w:val="333333"/>
          <w:sz w:val="22"/>
          <w:szCs w:val="22"/>
        </w:rPr>
        <w:t xml:space="preserve">In the event of a Change of Control (as defined herein), if the Executive’s employment is terminated without Cause or the Executive resigns for Good Reason within twelve (12) months following such Change of Control, the Executive shall receive: (a) a lump sum payment equal to 3.0 times the sum of the Executive’s Base Salary and Target Bonus; (b) 100% accelerated vesting of all outstanding equity awards; and (c) continued health benefits for twenty-four (24) months.</w:t>
      </w:r>
    </w:p>
    <w:p>
      <w:pPr>
        <w:spacing w:before="360" w:after="200"/>
      </w:pPr>
      <w:r>
        <w:rPr>
          <w:rFonts w:ascii="Arial" w:cs="Arial" w:eastAsia="Arial" w:hAnsi="Arial"/>
          <w:b/>
          <w:bCs/>
          <w:color w:val="1B3A5C"/>
          <w:sz w:val="26"/>
          <w:szCs w:val="26"/>
        </w:rPr>
        <w:t xml:space="preserve">6. GENERAL PROVISIONS</w:t>
      </w:r>
    </w:p>
    <w:p>
      <w:pPr>
        <w:spacing w:before="120" w:after="120"/>
        <w:ind w:left="360"/>
      </w:pPr>
      <w:r>
        <w:rPr>
          <w:rFonts w:ascii="Arial" w:cs="Arial" w:eastAsia="Arial" w:hAnsi="Arial"/>
          <w:b/>
          <w:bCs/>
          <w:color w:val="2E5984"/>
          <w:sz w:val="22"/>
          <w:szCs w:val="22"/>
        </w:rPr>
        <w:t xml:space="preserve">6.1 </w:t>
      </w:r>
      <w:r>
        <w:rPr>
          <w:rFonts w:ascii="Arial" w:cs="Arial" w:eastAsia="Arial" w:hAnsi="Arial"/>
          <w:b/>
          <w:bCs/>
          <w:color w:val="333333"/>
          <w:sz w:val="22"/>
          <w:szCs w:val="22"/>
        </w:rPr>
        <w:t xml:space="preserve">Governing Law. </w:t>
      </w:r>
      <w:r>
        <w:rPr>
          <w:rFonts w:ascii="Arial" w:cs="Arial" w:eastAsia="Arial" w:hAnsi="Arial"/>
          <w:color w:val="333333"/>
          <w:sz w:val="22"/>
          <w:szCs w:val="22"/>
        </w:rPr>
        <w:t xml:space="preserve">This Agreement shall be governed by and construed in accordance with the laws of the State of Delaware, without giving effect to any choice of law or conflict of law provisions.</w:t>
      </w:r>
    </w:p>
    <w:p>
      <w:pPr>
        <w:spacing w:before="120" w:after="120"/>
        <w:ind w:left="360"/>
      </w:pPr>
      <w:r>
        <w:rPr>
          <w:rFonts w:ascii="Arial" w:cs="Arial" w:eastAsia="Arial" w:hAnsi="Arial"/>
          <w:b/>
          <w:bCs/>
          <w:color w:val="2E5984"/>
          <w:sz w:val="22"/>
          <w:szCs w:val="22"/>
        </w:rPr>
        <w:t xml:space="preserve">6.2 </w:t>
      </w:r>
      <w:r>
        <w:rPr>
          <w:rFonts w:ascii="Arial" w:cs="Arial" w:eastAsia="Arial" w:hAnsi="Arial"/>
          <w:b/>
          <w:bCs/>
          <w:color w:val="333333"/>
          <w:sz w:val="22"/>
          <w:szCs w:val="22"/>
        </w:rPr>
        <w:t xml:space="preserve">Entire Agreement. </w:t>
      </w:r>
      <w:r>
        <w:rPr>
          <w:rFonts w:ascii="Arial" w:cs="Arial" w:eastAsia="Arial" w:hAnsi="Arial"/>
          <w:color w:val="333333"/>
          <w:sz w:val="22"/>
          <w:szCs w:val="22"/>
        </w:rPr>
        <w:t xml:space="preserve">This Agreement constitutes the entire agreement between the parties with respect to the subject matter hereof and supersedes all prior and contemporaneous agreements, representations, and understandings, whether written or oral.</w:t>
      </w:r>
    </w:p>
    <w:p>
      <w:pPr>
        <w:spacing w:before="120" w:after="120"/>
        <w:ind w:left="360"/>
      </w:pPr>
      <w:r>
        <w:rPr>
          <w:rFonts w:ascii="Arial" w:cs="Arial" w:eastAsia="Arial" w:hAnsi="Arial"/>
          <w:b/>
          <w:bCs/>
          <w:color w:val="2E5984"/>
          <w:sz w:val="22"/>
          <w:szCs w:val="22"/>
        </w:rPr>
        <w:t xml:space="preserve">6.3 </w:t>
      </w:r>
      <w:r>
        <w:rPr>
          <w:rFonts w:ascii="Arial" w:cs="Arial" w:eastAsia="Arial" w:hAnsi="Arial"/>
          <w:b/>
          <w:bCs/>
          <w:color w:val="333333"/>
          <w:sz w:val="22"/>
          <w:szCs w:val="22"/>
        </w:rPr>
        <w:t xml:space="preserve">Amendment. </w:t>
      </w:r>
      <w:r>
        <w:rPr>
          <w:rFonts w:ascii="Arial" w:cs="Arial" w:eastAsia="Arial" w:hAnsi="Arial"/>
          <w:color w:val="333333"/>
          <w:sz w:val="22"/>
          <w:szCs w:val="22"/>
        </w:rPr>
        <w:t xml:space="preserve">This Agreement may not be amended or modified except by a written instrument executed by both parties hereto.</w:t>
      </w:r>
    </w:p>
    <w:p>
      <w:pPr>
        <w:spacing w:before="120" w:after="120"/>
        <w:ind w:left="360"/>
      </w:pPr>
      <w:r>
        <w:rPr>
          <w:rFonts w:ascii="Arial" w:cs="Arial" w:eastAsia="Arial" w:hAnsi="Arial"/>
          <w:b/>
          <w:bCs/>
          <w:color w:val="2E5984"/>
          <w:sz w:val="22"/>
          <w:szCs w:val="22"/>
        </w:rPr>
        <w:t xml:space="preserve">6.4 </w:t>
      </w:r>
      <w:r>
        <w:rPr>
          <w:rFonts w:ascii="Arial" w:cs="Arial" w:eastAsia="Arial" w:hAnsi="Arial"/>
          <w:b/>
          <w:bCs/>
          <w:color w:val="333333"/>
          <w:sz w:val="22"/>
          <w:szCs w:val="22"/>
        </w:rPr>
        <w:t xml:space="preserve">Severability. </w:t>
      </w:r>
      <w:r>
        <w:rPr>
          <w:rFonts w:ascii="Arial" w:cs="Arial" w:eastAsia="Arial" w:hAnsi="Arial"/>
          <w:color w:val="333333"/>
          <w:sz w:val="22"/>
          <w:szCs w:val="22"/>
        </w:rPr>
        <w:t xml:space="preserve">If any provision of this Agreement is held to be invalid or unenforceable, the remaining provisions shall continue in full force and effect.</w:t>
      </w:r>
    </w:p>
    <w:p>
      <w:pPr>
        <w:spacing w:before="120" w:after="120"/>
        <w:ind w:left="360"/>
      </w:pPr>
      <w:r>
        <w:rPr>
          <w:rFonts w:ascii="Arial" w:cs="Arial" w:eastAsia="Arial" w:hAnsi="Arial"/>
          <w:b/>
          <w:bCs/>
          <w:color w:val="2E5984"/>
          <w:sz w:val="22"/>
          <w:szCs w:val="22"/>
        </w:rPr>
        <w:t xml:space="preserve">6.5 </w:t>
      </w:r>
      <w:r>
        <w:rPr>
          <w:rFonts w:ascii="Arial" w:cs="Arial" w:eastAsia="Arial" w:hAnsi="Arial"/>
          <w:b/>
          <w:bCs/>
          <w:color w:val="333333"/>
          <w:sz w:val="22"/>
          <w:szCs w:val="22"/>
        </w:rPr>
        <w:t xml:space="preserve">Notices. </w:t>
      </w:r>
      <w:r>
        <w:rPr>
          <w:rFonts w:ascii="Arial" w:cs="Arial" w:eastAsia="Arial" w:hAnsi="Arial"/>
          <w:color w:val="333333"/>
          <w:sz w:val="22"/>
          <w:szCs w:val="22"/>
        </w:rPr>
        <w:t xml:space="preserve">All notices required or permitted under this Agreement shall be in writing and shall be deemed given when delivered personally, sent by confirmed facsimile, or sent by certified or registered mail, postage prepaid, to the addresses set forth on the signature page hereto.</w:t>
      </w:r>
    </w:p>
    <w:p>
      <w:pPr>
        <w:spacing w:before="120" w:after="120"/>
        <w:ind w:left="360"/>
      </w:pPr>
      <w:r>
        <w:rPr>
          <w:rFonts w:ascii="Arial" w:cs="Arial" w:eastAsia="Arial" w:hAnsi="Arial"/>
          <w:b/>
          <w:bCs/>
          <w:color w:val="2E5984"/>
          <w:sz w:val="22"/>
          <w:szCs w:val="22"/>
        </w:rPr>
        <w:t xml:space="preserve">6.6 </w:t>
      </w:r>
      <w:r>
        <w:rPr>
          <w:rFonts w:ascii="Arial" w:cs="Arial" w:eastAsia="Arial" w:hAnsi="Arial"/>
          <w:b/>
          <w:bCs/>
          <w:color w:val="333333"/>
          <w:sz w:val="22"/>
          <w:szCs w:val="22"/>
        </w:rPr>
        <w:t xml:space="preserve">Section 409A Compliance. </w:t>
      </w:r>
      <w:r>
        <w:rPr>
          <w:rFonts w:ascii="Arial" w:cs="Arial" w:eastAsia="Arial" w:hAnsi="Arial"/>
          <w:color w:val="333333"/>
          <w:sz w:val="22"/>
          <w:szCs w:val="22"/>
        </w:rPr>
        <w:t xml:space="preserve">This Agreement is intended to comply with, or be exempt from, the requirements of Section 409A of the Internal Revenue Code of 1986, as amended (“Section 409A”), and shall be interpreted and administered accordingly.</w:t>
      </w:r>
    </w:p>
    <w:p>
      <w:pPr>
        <w:spacing w:after="200" w:before="400"/>
      </w:pPr>
      <w:r>
        <w:rPr>
          <w:rFonts w:ascii="Arial" w:cs="Arial" w:eastAsia="Arial" w:hAnsi="Arial"/>
          <w:b/>
          <w:bCs/>
          <w:color w:val="333333"/>
          <w:sz w:val="22"/>
          <w:szCs w:val="22"/>
        </w:rPr>
        <w:t xml:space="preserve">IN WITNESS WHEREOF</w:t>
      </w:r>
      <w:r>
        <w:rPr>
          <w:rFonts w:ascii="Arial" w:cs="Arial" w:eastAsia="Arial" w:hAnsi="Arial"/>
          <w:color w:val="333333"/>
          <w:sz w:val="22"/>
          <w:szCs w:val="22"/>
        </w:rPr>
        <w:t xml:space="preserve">, the parties have executed this Agreement as of the date first written above.</w:t>
      </w:r>
    </w:p>
    <w:p>
      <w:pPr>
        <w:spacing w:before="600" w:after="200"/>
      </w:pPr>
    </w:p>
    <w:p>
      <w:pPr>
        <w:spacing w:after="200"/>
      </w:pPr>
      <w:r>
        <w:rPr>
          <w:rFonts w:ascii="Arial" w:cs="Arial" w:eastAsia="Arial" w:hAnsi="Arial"/>
          <w:b/>
          <w:bCs/>
          <w:color w:val="333333"/>
          <w:sz w:val="22"/>
          <w:szCs w:val="22"/>
        </w:rPr>
        <w:t xml:space="preserve">MERIDIAN TECHNOLOGIES, INC.</w:t>
      </w:r>
    </w:p>
    <w:p>
      <w:pPr>
        <w:spacing w:after="80"/>
      </w:pPr>
    </w:p>
    <w:p>
      <w:pPr>
        <w:spacing w:after="200"/>
      </w:pPr>
      <w:r>
        <w:rPr>
          <w:rFonts w:ascii="Arial" w:cs="Arial" w:eastAsia="Arial" w:hAnsi="Arial"/>
          <w:color w:val="333333"/>
          <w:sz w:val="22"/>
          <w:szCs w:val="22"/>
        </w:rPr>
        <w:t xml:space="preserve">By: _______________________________</w:t>
      </w:r>
    </w:p>
    <w:p>
      <w:pPr>
        <w:spacing w:after="40"/>
      </w:pPr>
    </w:p>
    <w:p>
      <w:pPr>
        <w:spacing w:after="200"/>
      </w:pPr>
      <w:r>
        <w:rPr>
          <w:rFonts w:ascii="Arial" w:cs="Arial" w:eastAsia="Arial" w:hAnsi="Arial"/>
          <w:color w:val="333333"/>
          <w:sz w:val="22"/>
          <w:szCs w:val="22"/>
        </w:rPr>
        <w:t xml:space="preserve">Name: Patricia L. Chen</w:t>
      </w:r>
    </w:p>
    <w:p>
      <w:pPr>
        <w:spacing w:after="200"/>
      </w:pPr>
      <w:r>
        <w:rPr>
          <w:rFonts w:ascii="Arial" w:cs="Arial" w:eastAsia="Arial" w:hAnsi="Arial"/>
          <w:color w:val="333333"/>
          <w:sz w:val="22"/>
          <w:szCs w:val="22"/>
        </w:rPr>
        <w:t xml:space="preserve">Title: Chairperson of the Board</w:t>
      </w:r>
    </w:p>
    <w:p>
      <w:pPr>
        <w:spacing w:after="200"/>
      </w:pPr>
      <w:r>
        <w:rPr>
          <w:rFonts w:ascii="Arial" w:cs="Arial" w:eastAsia="Arial" w:hAnsi="Arial"/>
          <w:color w:val="333333"/>
          <w:sz w:val="22"/>
          <w:szCs w:val="22"/>
        </w:rPr>
        <w:t xml:space="preserve">Date: _______________________________</w:t>
      </w:r>
    </w:p>
    <w:p>
      <w:pPr>
        <w:spacing w:before="400" w:after="200"/>
      </w:pPr>
    </w:p>
    <w:p>
      <w:pPr>
        <w:spacing w:after="200"/>
      </w:pPr>
      <w:r>
        <w:rPr>
          <w:rFonts w:ascii="Arial" w:cs="Arial" w:eastAsia="Arial" w:hAnsi="Arial"/>
          <w:b/>
          <w:bCs/>
          <w:color w:val="333333"/>
          <w:sz w:val="22"/>
          <w:szCs w:val="22"/>
        </w:rPr>
        <w:t xml:space="preserve">EXECUTIVE</w:t>
      </w:r>
    </w:p>
    <w:p>
      <w:pPr>
        <w:spacing w:after="80"/>
      </w:pPr>
    </w:p>
    <w:p>
      <w:pPr>
        <w:spacing w:after="200"/>
      </w:pPr>
      <w:r>
        <w:rPr>
          <w:rFonts w:ascii="Arial" w:cs="Arial" w:eastAsia="Arial" w:hAnsi="Arial"/>
          <w:color w:val="333333"/>
          <w:sz w:val="22"/>
          <w:szCs w:val="22"/>
        </w:rPr>
        <w:t xml:space="preserve">_______________________________</w:t>
      </w:r>
    </w:p>
    <w:p>
      <w:pPr>
        <w:spacing w:after="200"/>
      </w:pPr>
      <w:r>
        <w:rPr>
          <w:rFonts w:ascii="Arial" w:cs="Arial" w:eastAsia="Arial" w:hAnsi="Arial"/>
          <w:color w:val="333333"/>
          <w:sz w:val="22"/>
          <w:szCs w:val="22"/>
        </w:rPr>
        <w:t xml:space="preserve">James R. Harrison</w:t>
      </w:r>
    </w:p>
    <w:p>
      <w:pPr>
        <w:spacing w:after="200"/>
      </w:pPr>
      <w:r>
        <w:rPr>
          <w:rFonts w:ascii="Arial" w:cs="Arial" w:eastAsia="Arial" w:hAnsi="Arial"/>
          <w:color w:val="333333"/>
          <w:sz w:val="22"/>
          <w:szCs w:val="22"/>
        </w:rPr>
        <w:t xml:space="preserve">Date: _______________________________</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before="100"/>
      <w:jc w:val="center"/>
    </w:pPr>
    <w:r>
      <w:rPr>
        <w:rFonts w:ascii="Arial" w:cs="Arial" w:eastAsia="Arial" w:hAnsi="Arial"/>
        <w:i/>
        <w:iCs/>
        <w:color w:val="999999"/>
        <w:sz w:val="16"/>
        <w:szCs w:val="16"/>
      </w:rPr>
      <w:t xml:space="preserve">Confidential</w:t>
    </w:r>
  </w:p>
  <w:p>
    <w:pPr>
      <w:jc w:val="center"/>
    </w:pPr>
    <w:r>
      <w:rPr>
        <w:rFonts w:ascii="Arial" w:cs="Arial" w:eastAsia="Arial" w:hAnsi="Arial"/>
        <w:color w:val="999999"/>
        <w:sz w:val="16"/>
        <w:szCs w:val="16"/>
      </w:rPr>
      <w:t xml:space="preserve">© 2025 BlueFlame AI. All rights reserved.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047750" cy="285750"/>
          <wp:effectExtent t="0" r="0" b="0" l="0"/>
          <wp:docPr id="1" name="Logo" descr="BlueFlame AI Logo" title="BlueFlam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2857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edfe41c80c896fdea9bb510b3a8f893722f40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2026-02-18T08:13:39.081Z</dcterms:created>
  <dcterms:modified xsi:type="dcterms:W3CDTF">2026-02-18T08:13:39.082Z</dcterms:modified>
</cp:coreProperties>
</file>

<file path=docProps/custom.xml><?xml version="1.0" encoding="utf-8"?>
<Properties xmlns="http://schemas.openxmlformats.org/officeDocument/2006/custom-properties" xmlns:vt="http://schemas.openxmlformats.org/officeDocument/2006/docPropsVTypes"/>
</file>