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EXECUTIVE EMPLOYMENT AGREEMENT</w:t>
      </w:r>
    </w:p>
    <w:p>
      <w:pPr>
        <w:pBdr>
          <w:bottom w:val="single" w:color="2E5984" w:sz="2" w:space="8"/>
        </w:pBdr>
        <w:spacing w:after="200"/>
        <w:jc w:val="center"/>
      </w:pPr>
      <w:r>
        <w:rPr>
          <w:rFonts w:ascii="Arial" w:cs="Arial" w:eastAsia="Arial" w:hAnsi="Arial"/>
          <w:i/>
          <w:iCs/>
          <w:color w:val="2E5984"/>
          <w:sz w:val="26"/>
          <w:szCs w:val="26"/>
        </w:rPr>
        <w:t xml:space="preserve">Chief Operating Officer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THIS EXECUTIVE EMPLOYMENT AGREEMENT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(this </w:t>
      </w: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“Agreement”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is entered into as of September 10, 2024, by and between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Meridian Technologies, Inc.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a Delaware corporation (the </w:t>
      </w: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“Company”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), and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David A. Thornton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(the </w:t>
      </w: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“Executive”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WHEREAS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the Company desires to employ the Executive as its Chief Operating Officer, and the Executive desires to accept such employment, subject to the terms and conditions set forth herein;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NOW, THEREFORE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in consideration of the mutual covenants and agreements contained herein, the parties agree as follows: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 POSITION AND DUTIES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1.1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Position.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Executive is hereby employed as Chief Operating Officer (“COO”), reporting to the Chief Executive Officer. The Executive shall oversee day-to-day operations, including manufacturing, supply chain, quality assurance, and operational strategy.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1.2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Full-Time Employment.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Executive shall devote substantially all business time and effort to Company operations during the Employment Term.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1.3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Principal Place of Employment.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Executive’s primary office shall be at the Company’s operational headquarters in Denver, Colorado.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 TERM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2.1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initial term shall be three (3) years from the Effective Date of October 1, 2024, with automatic one-year renewals unless ninety (90) days’ written notice of non-renewal is provided.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 COMPENSATION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3.1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 Salary.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$450,000 per annum, subject to annual review.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3.2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Annual Bonus.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Target bonus of 70% of Base Salary, maximum 140%, based on operational and financial performance metrics.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3.3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Equity Awards.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Initial grant of 65,000 RSUs vesting over four (4) years and 90,000 stock options vesting over four (4) years, plus eligibility for annual equity grants.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3.4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Relocation Assistance.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Company shall provide relocation assistance of up to $85,000 in connection with the Executive’s relocation to Denver, Colorado, subject to repayment if the Executive voluntarily terminates within twelve (12) months.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3.5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Benefits and Perquisites.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Full participation in executive benefit programs, four (4) weeks paid vacation, and Company expense reimbursement.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 RESTRICTIVE COVENANTS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4.1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Non-competition for eighteen (18) months post-termination. Non-solicitation of employees and clients for eighteen (18) months post-termination. Perpetual confidentiality obligations regarding proprietary information. Mutual non-disparagement obligations.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 TERMINATION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5.1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Termination for Cause.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Standard Cause provisions including material breach, felony conviction, fraud, and willful misconduct.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5.2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Without Cause / Good Reason.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Severance of eighteen (18) months Base Salary, pro-rata bonus, 75% accelerated equity vesting, and eighteen (18) months health benefit continuation.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5.3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Change of Control.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2.0x Base Salary and Target Bonus, full equity acceleration, and eighteen (18) months benefit continuation.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 GENERAL PROVISIONS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2E5984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Governing law: Delaware. Entire agreement. Amendment requires written consent. Severability. Section 409A compliance.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 WITNESS WHEREOF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the parties have executed this Agreement as of the date first written above.</w:t>
      </w:r>
    </w:p>
    <w:p>
      <w:pPr>
        <w:spacing w:before="600"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MERIDIAN TECHNOLOGIES, INC.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By: _______________________________</w:t>
      </w:r>
    </w:p>
    <w:p>
      <w:pPr>
        <w:spacing w:after="40"/>
      </w:pP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Name: Patricia L. Chen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Title: Chairperson of the Board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 _______________________________</w:t>
      </w:r>
    </w:p>
    <w:p>
      <w:pPr>
        <w:spacing w:before="400"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EXECUTIVE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_______________________________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David A. Thornton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 _______________________________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spacing w:before="100"/>
      <w:jc w:val="center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</w:t>
    </w:r>
  </w:p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© 2025 BlueFlame AI. All rights reserved.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047750" cy="285750"/>
          <wp:effectExtent t="0" r="0" b="0" l="0"/>
          <wp:docPr id="1" name="Logo" descr="BlueFlame AI Logo" title="BlueFlame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edfe41c80c896fdea9bb510b3a8f893722f40b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2026-02-18T08:13:39.181Z</dcterms:created>
  <dcterms:modified xsi:type="dcterms:W3CDTF">2026-02-18T08:13:39.181Z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