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36"/>
          <w:szCs w:val="36"/>
        </w:rPr>
        <w:t xml:space="preserve">EXECUTIVE EMPLOYMENT AGREEMENT</w:t>
      </w:r>
    </w:p>
    <w:p>
      <w:pPr>
        <w:pBdr>
          <w:bottom w:val="single" w:color="2E5984" w:sz="2" w:space="8"/>
        </w:pBdr>
        <w:spacing w:after="200"/>
        <w:jc w:val="center"/>
      </w:pPr>
      <w:r>
        <w:rPr>
          <w:rFonts w:ascii="Arial" w:cs="Arial" w:eastAsia="Arial" w:hAnsi="Arial"/>
          <w:i/>
          <w:iCs/>
          <w:color w:val="2E5984"/>
          <w:sz w:val="26"/>
          <w:szCs w:val="26"/>
        </w:rPr>
        <w:t xml:space="preserve">Chief Technology Officer</w:t>
      </w:r>
    </w:p>
    <w:p>
      <w:pPr>
        <w:spacing w:after="100"/>
      </w:pPr>
    </w:p>
    <w:p>
      <w:pPr>
        <w:spacing w:after="200"/>
      </w:pPr>
      <w:r>
        <w:rPr>
          <w:rFonts w:ascii="Arial" w:cs="Arial" w:eastAsia="Arial" w:hAnsi="Arial"/>
          <w:b/>
          <w:bCs/>
          <w:color w:val="333333"/>
          <w:sz w:val="22"/>
          <w:szCs w:val="22"/>
        </w:rPr>
        <w:t xml:space="preserve">THIS EXECUTIVE EMPLOYMENT AGREEMENT</w:t>
      </w:r>
      <w:r>
        <w:rPr>
          <w:rFonts w:ascii="Arial" w:cs="Arial" w:eastAsia="Arial" w:hAnsi="Arial"/>
          <w:color w:val="333333"/>
          <w:sz w:val="22"/>
          <w:szCs w:val="22"/>
        </w:rPr>
        <w:t xml:space="preserve"> (this </w:t>
      </w:r>
      <w:r>
        <w:rPr>
          <w:rFonts w:ascii="Arial" w:cs="Arial" w:eastAsia="Arial" w:hAnsi="Arial"/>
          <w:b/>
          <w:bCs/>
          <w:i/>
          <w:iCs/>
          <w:color w:val="333333"/>
          <w:sz w:val="22"/>
          <w:szCs w:val="22"/>
        </w:rPr>
        <w:t xml:space="preserve">“Agreement”</w:t>
      </w:r>
      <w:r>
        <w:rPr>
          <w:rFonts w:ascii="Arial" w:cs="Arial" w:eastAsia="Arial" w:hAnsi="Arial"/>
          <w:color w:val="333333"/>
          <w:sz w:val="22"/>
          <w:szCs w:val="22"/>
        </w:rPr>
        <w:t xml:space="preserve">) is entered into as of May 20, 2024, by and between </w:t>
      </w:r>
      <w:r>
        <w:rPr>
          <w:rFonts w:ascii="Arial" w:cs="Arial" w:eastAsia="Arial" w:hAnsi="Arial"/>
          <w:b/>
          <w:bCs/>
          <w:color w:val="333333"/>
          <w:sz w:val="22"/>
          <w:szCs w:val="22"/>
        </w:rPr>
        <w:t xml:space="preserve">Meridian Technologies, Inc.</w:t>
      </w:r>
      <w:r>
        <w:rPr>
          <w:rFonts w:ascii="Arial" w:cs="Arial" w:eastAsia="Arial" w:hAnsi="Arial"/>
          <w:color w:val="333333"/>
          <w:sz w:val="22"/>
          <w:szCs w:val="22"/>
        </w:rPr>
        <w:t xml:space="preserve">, a Delaware corporation (the </w:t>
      </w:r>
      <w:r>
        <w:rPr>
          <w:rFonts w:ascii="Arial" w:cs="Arial" w:eastAsia="Arial" w:hAnsi="Arial"/>
          <w:b/>
          <w:bCs/>
          <w:i/>
          <w:iCs/>
          <w:color w:val="333333"/>
          <w:sz w:val="22"/>
          <w:szCs w:val="22"/>
        </w:rPr>
        <w:t xml:space="preserve">“Company”</w:t>
      </w:r>
      <w:r>
        <w:rPr>
          <w:rFonts w:ascii="Arial" w:cs="Arial" w:eastAsia="Arial" w:hAnsi="Arial"/>
          <w:color w:val="333333"/>
          <w:sz w:val="22"/>
          <w:szCs w:val="22"/>
        </w:rPr>
        <w:t xml:space="preserve">), and </w:t>
      </w:r>
      <w:r>
        <w:rPr>
          <w:rFonts w:ascii="Arial" w:cs="Arial" w:eastAsia="Arial" w:hAnsi="Arial"/>
          <w:b/>
          <w:bCs/>
          <w:color w:val="333333"/>
          <w:sz w:val="22"/>
          <w:szCs w:val="22"/>
        </w:rPr>
        <w:t xml:space="preserve">Raj K. Patel</w:t>
      </w:r>
      <w:r>
        <w:rPr>
          <w:rFonts w:ascii="Arial" w:cs="Arial" w:eastAsia="Arial" w:hAnsi="Arial"/>
          <w:color w:val="333333"/>
          <w:sz w:val="22"/>
          <w:szCs w:val="22"/>
        </w:rPr>
        <w:t xml:space="preserve"> (the </w:t>
      </w:r>
      <w:r>
        <w:rPr>
          <w:rFonts w:ascii="Arial" w:cs="Arial" w:eastAsia="Arial" w:hAnsi="Arial"/>
          <w:b/>
          <w:bCs/>
          <w:i/>
          <w:iCs/>
          <w:color w:val="333333"/>
          <w:sz w:val="22"/>
          <w:szCs w:val="22"/>
        </w:rPr>
        <w:t xml:space="preserve">“Executive”</w:t>
      </w:r>
      <w:r>
        <w:rPr>
          <w:rFonts w:ascii="Arial" w:cs="Arial" w:eastAsia="Arial" w:hAnsi="Arial"/>
          <w:color w:val="333333"/>
          <w:sz w:val="22"/>
          <w:szCs w:val="22"/>
        </w:rPr>
        <w:t xml:space="preserve">).</w:t>
      </w:r>
    </w:p>
    <w:p>
      <w:pPr>
        <w:spacing w:after="200"/>
      </w:pPr>
      <w:r>
        <w:rPr>
          <w:rFonts w:ascii="Arial" w:cs="Arial" w:eastAsia="Arial" w:hAnsi="Arial"/>
          <w:b/>
          <w:bCs/>
          <w:color w:val="333333"/>
          <w:sz w:val="22"/>
          <w:szCs w:val="22"/>
        </w:rPr>
        <w:t xml:space="preserve">WHEREAS</w:t>
      </w:r>
      <w:r>
        <w:rPr>
          <w:rFonts w:ascii="Arial" w:cs="Arial" w:eastAsia="Arial" w:hAnsi="Arial"/>
          <w:color w:val="333333"/>
          <w:sz w:val="22"/>
          <w:szCs w:val="22"/>
        </w:rPr>
        <w:t xml:space="preserve">, the Company desires to employ the Executive as its Chief Technology Officer, and the Executive desires to accept such employment, subject to the terms and conditions set forth herein;</w:t>
      </w:r>
    </w:p>
    <w:p>
      <w:pPr>
        <w:spacing w:after="200"/>
      </w:pPr>
      <w:r>
        <w:rPr>
          <w:rFonts w:ascii="Arial" w:cs="Arial" w:eastAsia="Arial" w:hAnsi="Arial"/>
          <w:b/>
          <w:bCs/>
          <w:color w:val="333333"/>
          <w:sz w:val="22"/>
          <w:szCs w:val="22"/>
        </w:rPr>
        <w:t xml:space="preserve">NOW, THEREFORE</w:t>
      </w:r>
      <w:r>
        <w:rPr>
          <w:rFonts w:ascii="Arial" w:cs="Arial" w:eastAsia="Arial" w:hAnsi="Arial"/>
          <w:color w:val="333333"/>
          <w:sz w:val="22"/>
          <w:szCs w:val="22"/>
        </w:rPr>
        <w:t xml:space="preserve">, in consideration of the mutual covenants and agreements contained herein, the parties agree as follows:</w:t>
      </w:r>
    </w:p>
    <w:p>
      <w:pPr>
        <w:spacing w:before="360" w:after="200"/>
      </w:pPr>
      <w:r>
        <w:rPr>
          <w:rFonts w:ascii="Arial" w:cs="Arial" w:eastAsia="Arial" w:hAnsi="Arial"/>
          <w:b/>
          <w:bCs/>
          <w:color w:val="1B3A5C"/>
          <w:sz w:val="26"/>
          <w:szCs w:val="26"/>
        </w:rPr>
        <w:t xml:space="preserve">1. POSITION AND DUTIES</w:t>
      </w:r>
    </w:p>
    <w:p>
      <w:pPr>
        <w:spacing w:before="120" w:after="120"/>
        <w:ind w:left="360"/>
      </w:pPr>
      <w:r>
        <w:rPr>
          <w:rFonts w:ascii="Arial" w:cs="Arial" w:eastAsia="Arial" w:hAnsi="Arial"/>
          <w:b/>
          <w:bCs/>
          <w:color w:val="2E5984"/>
          <w:sz w:val="22"/>
          <w:szCs w:val="22"/>
        </w:rPr>
        <w:t xml:space="preserve">1.1 </w:t>
      </w:r>
      <w:r>
        <w:rPr>
          <w:rFonts w:ascii="Arial" w:cs="Arial" w:eastAsia="Arial" w:hAnsi="Arial"/>
          <w:b/>
          <w:bCs/>
          <w:color w:val="333333"/>
          <w:sz w:val="22"/>
          <w:szCs w:val="22"/>
        </w:rPr>
        <w:t xml:space="preserve">Position. </w:t>
      </w:r>
      <w:r>
        <w:rPr>
          <w:rFonts w:ascii="Arial" w:cs="Arial" w:eastAsia="Arial" w:hAnsi="Arial"/>
          <w:color w:val="333333"/>
          <w:sz w:val="22"/>
          <w:szCs w:val="22"/>
        </w:rPr>
        <w:t xml:space="preserve">The Executive is hereby employed as Chief Technology Officer (“CTO”), reporting to the Chief Executive Officer. The Executive shall have responsibility for the Company’s technology strategy, product development, engineering operations, information security, and technology infrastructure.</w:t>
      </w:r>
    </w:p>
    <w:p>
      <w:pPr>
        <w:spacing w:before="120" w:after="120"/>
        <w:ind w:left="360"/>
      </w:pPr>
      <w:r>
        <w:rPr>
          <w:rFonts w:ascii="Arial" w:cs="Arial" w:eastAsia="Arial" w:hAnsi="Arial"/>
          <w:b/>
          <w:bCs/>
          <w:color w:val="2E5984"/>
          <w:sz w:val="22"/>
          <w:szCs w:val="22"/>
        </w:rPr>
        <w:t xml:space="preserve">1.2 </w:t>
      </w:r>
      <w:r>
        <w:rPr>
          <w:rFonts w:ascii="Arial" w:cs="Arial" w:eastAsia="Arial" w:hAnsi="Arial"/>
          <w:b/>
          <w:bCs/>
          <w:color w:val="333333"/>
          <w:sz w:val="22"/>
          <w:szCs w:val="22"/>
        </w:rPr>
        <w:t xml:space="preserve">Full-Time Employment. </w:t>
      </w:r>
      <w:r>
        <w:rPr>
          <w:rFonts w:ascii="Arial" w:cs="Arial" w:eastAsia="Arial" w:hAnsi="Arial"/>
          <w:color w:val="333333"/>
          <w:sz w:val="22"/>
          <w:szCs w:val="22"/>
        </w:rPr>
        <w:t xml:space="preserve">The Executive shall devote substantially all business time to the Company. The Executive may engage in advisory roles with non-competing technology companies with prior Board approval.</w:t>
      </w:r>
    </w:p>
    <w:p>
      <w:pPr>
        <w:spacing w:before="120" w:after="120"/>
        <w:ind w:left="360"/>
      </w:pPr>
      <w:r>
        <w:rPr>
          <w:rFonts w:ascii="Arial" w:cs="Arial" w:eastAsia="Arial" w:hAnsi="Arial"/>
          <w:b/>
          <w:bCs/>
          <w:color w:val="2E5984"/>
          <w:sz w:val="22"/>
          <w:szCs w:val="22"/>
        </w:rPr>
        <w:t xml:space="preserve">1.3 </w:t>
      </w:r>
      <w:r>
        <w:rPr>
          <w:rFonts w:ascii="Arial" w:cs="Arial" w:eastAsia="Arial" w:hAnsi="Arial"/>
          <w:b/>
          <w:bCs/>
          <w:color w:val="333333"/>
          <w:sz w:val="22"/>
          <w:szCs w:val="22"/>
        </w:rPr>
        <w:t xml:space="preserve">Principal Place of Employment. </w:t>
      </w:r>
      <w:r>
        <w:rPr>
          <w:rFonts w:ascii="Arial" w:cs="Arial" w:eastAsia="Arial" w:hAnsi="Arial"/>
          <w:color w:val="333333"/>
          <w:sz w:val="22"/>
          <w:szCs w:val="22"/>
        </w:rPr>
        <w:t xml:space="preserve">The Executive’s primary office shall be at Company headquarters in Austin, Texas, with the option for two (2) days per week of remote work.</w:t>
      </w:r>
    </w:p>
    <w:p>
      <w:pPr>
        <w:spacing w:before="360" w:after="200"/>
      </w:pPr>
      <w:r>
        <w:rPr>
          <w:rFonts w:ascii="Arial" w:cs="Arial" w:eastAsia="Arial" w:hAnsi="Arial"/>
          <w:b/>
          <w:bCs/>
          <w:color w:val="1B3A5C"/>
          <w:sz w:val="26"/>
          <w:szCs w:val="26"/>
        </w:rPr>
        <w:t xml:space="preserve">2. TERM</w:t>
      </w:r>
    </w:p>
    <w:p>
      <w:pPr>
        <w:spacing w:before="120" w:after="120"/>
        <w:ind w:left="360"/>
      </w:pPr>
      <w:r>
        <w:rPr>
          <w:rFonts w:ascii="Arial" w:cs="Arial" w:eastAsia="Arial" w:hAnsi="Arial"/>
          <w:b/>
          <w:bCs/>
          <w:color w:val="2E5984"/>
          <w:sz w:val="22"/>
          <w:szCs w:val="22"/>
        </w:rPr>
        <w:t xml:space="preserve"> </w:t>
      </w:r>
      <w:r>
        <w:rPr>
          <w:rFonts w:ascii="Arial" w:cs="Arial" w:eastAsia="Arial" w:hAnsi="Arial"/>
          <w:b/>
          <w:bCs/>
          <w:color w:val="333333"/>
          <w:sz w:val="22"/>
          <w:szCs w:val="22"/>
        </w:rPr>
        <w:t xml:space="preserve"> </w:t>
      </w:r>
      <w:r>
        <w:rPr>
          <w:rFonts w:ascii="Arial" w:cs="Arial" w:eastAsia="Arial" w:hAnsi="Arial"/>
          <w:color w:val="333333"/>
          <w:sz w:val="22"/>
          <w:szCs w:val="22"/>
        </w:rPr>
        <w:t xml:space="preserve">The initial term shall be three (3) years from June 15, 2024, with automatic annual renewals unless sixty (60) days’ prior written notice is given.</w:t>
      </w:r>
    </w:p>
    <w:p>
      <w:pPr>
        <w:spacing w:before="360" w:after="200"/>
      </w:pPr>
      <w:r>
        <w:rPr>
          <w:rFonts w:ascii="Arial" w:cs="Arial" w:eastAsia="Arial" w:hAnsi="Arial"/>
          <w:b/>
          <w:bCs/>
          <w:color w:val="1B3A5C"/>
          <w:sz w:val="26"/>
          <w:szCs w:val="26"/>
        </w:rPr>
        <w:t xml:space="preserve">3. COMPENSATION</w:t>
      </w:r>
    </w:p>
    <w:p>
      <w:pPr>
        <w:spacing w:before="120" w:after="120"/>
        <w:ind w:left="360"/>
      </w:pPr>
      <w:r>
        <w:rPr>
          <w:rFonts w:ascii="Arial" w:cs="Arial" w:eastAsia="Arial" w:hAnsi="Arial"/>
          <w:b/>
          <w:bCs/>
          <w:color w:val="2E5984"/>
          <w:sz w:val="22"/>
          <w:szCs w:val="22"/>
        </w:rPr>
        <w:t xml:space="preserve">3.1 </w:t>
      </w:r>
      <w:r>
        <w:rPr>
          <w:rFonts w:ascii="Arial" w:cs="Arial" w:eastAsia="Arial" w:hAnsi="Arial"/>
          <w:b/>
          <w:bCs/>
          <w:color w:val="333333"/>
          <w:sz w:val="22"/>
          <w:szCs w:val="22"/>
        </w:rPr>
        <w:t xml:space="preserve">Base Salary. </w:t>
      </w:r>
      <w:r>
        <w:rPr>
          <w:rFonts w:ascii="Arial" w:cs="Arial" w:eastAsia="Arial" w:hAnsi="Arial"/>
          <w:color w:val="333333"/>
          <w:sz w:val="22"/>
          <w:szCs w:val="22"/>
        </w:rPr>
        <w:t xml:space="preserve">$490,000 per annum, subject to annual review.</w:t>
      </w:r>
    </w:p>
    <w:p>
      <w:pPr>
        <w:spacing w:before="120" w:after="120"/>
        <w:ind w:left="360"/>
      </w:pPr>
      <w:r>
        <w:rPr>
          <w:rFonts w:ascii="Arial" w:cs="Arial" w:eastAsia="Arial" w:hAnsi="Arial"/>
          <w:b/>
          <w:bCs/>
          <w:color w:val="2E5984"/>
          <w:sz w:val="22"/>
          <w:szCs w:val="22"/>
        </w:rPr>
        <w:t xml:space="preserve">3.2 </w:t>
      </w:r>
      <w:r>
        <w:rPr>
          <w:rFonts w:ascii="Arial" w:cs="Arial" w:eastAsia="Arial" w:hAnsi="Arial"/>
          <w:b/>
          <w:bCs/>
          <w:color w:val="333333"/>
          <w:sz w:val="22"/>
          <w:szCs w:val="22"/>
        </w:rPr>
        <w:t xml:space="preserve">Annual Bonus. </w:t>
      </w:r>
      <w:r>
        <w:rPr>
          <w:rFonts w:ascii="Arial" w:cs="Arial" w:eastAsia="Arial" w:hAnsi="Arial"/>
          <w:color w:val="333333"/>
          <w:sz w:val="22"/>
          <w:szCs w:val="22"/>
        </w:rPr>
        <w:t xml:space="preserve">Target bonus of 75% of Base Salary, maximum 150%, based on technology milestones, product delivery, and Company performance.</w:t>
      </w:r>
    </w:p>
    <w:p>
      <w:pPr>
        <w:spacing w:before="120" w:after="120"/>
        <w:ind w:left="360"/>
      </w:pPr>
      <w:r>
        <w:rPr>
          <w:rFonts w:ascii="Arial" w:cs="Arial" w:eastAsia="Arial" w:hAnsi="Arial"/>
          <w:b/>
          <w:bCs/>
          <w:color w:val="2E5984"/>
          <w:sz w:val="22"/>
          <w:szCs w:val="22"/>
        </w:rPr>
        <w:t xml:space="preserve">3.3 </w:t>
      </w:r>
      <w:r>
        <w:rPr>
          <w:rFonts w:ascii="Arial" w:cs="Arial" w:eastAsia="Arial" w:hAnsi="Arial"/>
          <w:b/>
          <w:bCs/>
          <w:color w:val="333333"/>
          <w:sz w:val="22"/>
          <w:szCs w:val="22"/>
        </w:rPr>
        <w:t xml:space="preserve">Equity Compensation. </w:t>
      </w:r>
      <w:r>
        <w:rPr>
          <w:rFonts w:ascii="Arial" w:cs="Arial" w:eastAsia="Arial" w:hAnsi="Arial"/>
          <w:color w:val="333333"/>
          <w:sz w:val="22"/>
          <w:szCs w:val="22"/>
        </w:rPr>
        <w:t xml:space="preserve">Initial RSU grant of 100,000 shares vesting over four (4) years; stock options for 140,000 shares at FMV, vesting over four (4) years; annual refresh grants at Compensation Committee discretion.</w:t>
      </w:r>
    </w:p>
    <w:p>
      <w:pPr>
        <w:spacing w:before="120" w:after="120"/>
        <w:ind w:left="360"/>
      </w:pPr>
      <w:r>
        <w:rPr>
          <w:rFonts w:ascii="Arial" w:cs="Arial" w:eastAsia="Arial" w:hAnsi="Arial"/>
          <w:b/>
          <w:bCs/>
          <w:color w:val="2E5984"/>
          <w:sz w:val="22"/>
          <w:szCs w:val="22"/>
        </w:rPr>
        <w:t xml:space="preserve">3.4 </w:t>
      </w:r>
      <w:r>
        <w:rPr>
          <w:rFonts w:ascii="Arial" w:cs="Arial" w:eastAsia="Arial" w:hAnsi="Arial"/>
          <w:b/>
          <w:bCs/>
          <w:color w:val="333333"/>
          <w:sz w:val="22"/>
          <w:szCs w:val="22"/>
        </w:rPr>
        <w:t xml:space="preserve">Technology Allowance. </w:t>
      </w:r>
      <w:r>
        <w:rPr>
          <w:rFonts w:ascii="Arial" w:cs="Arial" w:eastAsia="Arial" w:hAnsi="Arial"/>
          <w:color w:val="333333"/>
          <w:sz w:val="22"/>
          <w:szCs w:val="22"/>
        </w:rPr>
        <w:t xml:space="preserve">Annual technology and equipment allowance of $15,000 for personal computing equipment, software licenses, and professional development in emerging technologies.</w:t>
      </w:r>
    </w:p>
    <w:p>
      <w:pPr>
        <w:spacing w:before="120" w:after="120"/>
        <w:ind w:left="360"/>
      </w:pPr>
      <w:r>
        <w:rPr>
          <w:rFonts w:ascii="Arial" w:cs="Arial" w:eastAsia="Arial" w:hAnsi="Arial"/>
          <w:b/>
          <w:bCs/>
          <w:color w:val="2E5984"/>
          <w:sz w:val="22"/>
          <w:szCs w:val="22"/>
        </w:rPr>
        <w:t xml:space="preserve">3.5 </w:t>
      </w:r>
      <w:r>
        <w:rPr>
          <w:rFonts w:ascii="Arial" w:cs="Arial" w:eastAsia="Arial" w:hAnsi="Arial"/>
          <w:b/>
          <w:bCs/>
          <w:color w:val="333333"/>
          <w:sz w:val="22"/>
          <w:szCs w:val="22"/>
        </w:rPr>
        <w:t xml:space="preserve">Benefits. </w:t>
      </w:r>
      <w:r>
        <w:rPr>
          <w:rFonts w:ascii="Arial" w:cs="Arial" w:eastAsia="Arial" w:hAnsi="Arial"/>
          <w:color w:val="333333"/>
          <w:sz w:val="22"/>
          <w:szCs w:val="22"/>
        </w:rPr>
        <w:t xml:space="preserve">Full executive benefit participation, four (4) weeks paid vacation, and business expense reimbursement.</w:t>
      </w:r>
    </w:p>
    <w:p>
      <w:pPr>
        <w:spacing w:before="360" w:after="200"/>
      </w:pPr>
      <w:r>
        <w:rPr>
          <w:rFonts w:ascii="Arial" w:cs="Arial" w:eastAsia="Arial" w:hAnsi="Arial"/>
          <w:b/>
          <w:bCs/>
          <w:color w:val="1B3A5C"/>
          <w:sz w:val="26"/>
          <w:szCs w:val="26"/>
        </w:rPr>
        <w:t xml:space="preserve">4. INTELLECTUAL PROPERTY AND RESTRICTIVE COVENANTS</w:t>
      </w:r>
    </w:p>
    <w:p>
      <w:pPr>
        <w:spacing w:before="120" w:after="120"/>
        <w:ind w:left="360"/>
      </w:pPr>
      <w:r>
        <w:rPr>
          <w:rFonts w:ascii="Arial" w:cs="Arial" w:eastAsia="Arial" w:hAnsi="Arial"/>
          <w:b/>
          <w:bCs/>
          <w:color w:val="2E5984"/>
          <w:sz w:val="22"/>
          <w:szCs w:val="22"/>
        </w:rPr>
        <w:t xml:space="preserve">4.1 </w:t>
      </w:r>
      <w:r>
        <w:rPr>
          <w:rFonts w:ascii="Arial" w:cs="Arial" w:eastAsia="Arial" w:hAnsi="Arial"/>
          <w:b/>
          <w:bCs/>
          <w:color w:val="333333"/>
          <w:sz w:val="22"/>
          <w:szCs w:val="22"/>
        </w:rPr>
        <w:t xml:space="preserve">Intellectual Property Assignment. </w:t>
      </w:r>
      <w:r>
        <w:rPr>
          <w:rFonts w:ascii="Arial" w:cs="Arial" w:eastAsia="Arial" w:hAnsi="Arial"/>
          <w:color w:val="333333"/>
          <w:sz w:val="22"/>
          <w:szCs w:val="22"/>
        </w:rPr>
        <w:t xml:space="preserve">All inventions, discoveries, improvements, software, and other intellectual property conceived or developed by the Executive during employment shall be the sole and exclusive property of the Company. The Executive agrees to execute all documents necessary to perfect the Company’s ownership.</w:t>
      </w:r>
    </w:p>
    <w:p>
      <w:pPr>
        <w:spacing w:before="120" w:after="120"/>
        <w:ind w:left="360"/>
      </w:pPr>
      <w:r>
        <w:rPr>
          <w:rFonts w:ascii="Arial" w:cs="Arial" w:eastAsia="Arial" w:hAnsi="Arial"/>
          <w:b/>
          <w:bCs/>
          <w:color w:val="2E5984"/>
          <w:sz w:val="22"/>
          <w:szCs w:val="22"/>
        </w:rPr>
        <w:t xml:space="preserve">4.2 </w:t>
      </w:r>
      <w:r>
        <w:rPr>
          <w:rFonts w:ascii="Arial" w:cs="Arial" w:eastAsia="Arial" w:hAnsi="Arial"/>
          <w:b/>
          <w:bCs/>
          <w:color w:val="333333"/>
          <w:sz w:val="22"/>
          <w:szCs w:val="22"/>
        </w:rPr>
        <w:t xml:space="preserve">Prior Inventions. </w:t>
      </w:r>
      <w:r>
        <w:rPr>
          <w:rFonts w:ascii="Arial" w:cs="Arial" w:eastAsia="Arial" w:hAnsi="Arial"/>
          <w:color w:val="333333"/>
          <w:sz w:val="22"/>
          <w:szCs w:val="22"/>
        </w:rPr>
        <w:t xml:space="preserve">The Executive has disclosed on Exhibit A all prior inventions that the Executive wishes to exclude from the assignment provision above.</w:t>
      </w:r>
    </w:p>
    <w:p>
      <w:pPr>
        <w:spacing w:before="120" w:after="120"/>
        <w:ind w:left="360"/>
      </w:pPr>
      <w:r>
        <w:rPr>
          <w:rFonts w:ascii="Arial" w:cs="Arial" w:eastAsia="Arial" w:hAnsi="Arial"/>
          <w:b/>
          <w:bCs/>
          <w:color w:val="2E5984"/>
          <w:sz w:val="22"/>
          <w:szCs w:val="22"/>
        </w:rPr>
        <w:t xml:space="preserve">4.3 </w:t>
      </w:r>
      <w:r>
        <w:rPr>
          <w:rFonts w:ascii="Arial" w:cs="Arial" w:eastAsia="Arial" w:hAnsi="Arial"/>
          <w:b/>
          <w:bCs/>
          <w:color w:val="333333"/>
          <w:sz w:val="22"/>
          <w:szCs w:val="22"/>
        </w:rPr>
        <w:t xml:space="preserve">Non-Competition. </w:t>
      </w:r>
      <w:r>
        <w:rPr>
          <w:rFonts w:ascii="Arial" w:cs="Arial" w:eastAsia="Arial" w:hAnsi="Arial"/>
          <w:color w:val="333333"/>
          <w:sz w:val="22"/>
          <w:szCs w:val="22"/>
        </w:rPr>
        <w:t xml:space="preserve">Eighteen (18) months post-termination restriction. Non-solicitation of twenty-four (24) months. Perpetual confidentiality for trade secrets and proprietary technology.</w:t>
      </w:r>
    </w:p>
    <w:p>
      <w:pPr>
        <w:spacing w:before="360" w:after="200"/>
      </w:pPr>
      <w:r>
        <w:rPr>
          <w:rFonts w:ascii="Arial" w:cs="Arial" w:eastAsia="Arial" w:hAnsi="Arial"/>
          <w:b/>
          <w:bCs/>
          <w:color w:val="1B3A5C"/>
          <w:sz w:val="26"/>
          <w:szCs w:val="26"/>
        </w:rPr>
        <w:t xml:space="preserve">5. TERMINATION</w:t>
      </w:r>
    </w:p>
    <w:p>
      <w:pPr>
        <w:spacing w:before="120" w:after="120"/>
        <w:ind w:left="360"/>
      </w:pPr>
      <w:r>
        <w:rPr>
          <w:rFonts w:ascii="Arial" w:cs="Arial" w:eastAsia="Arial" w:hAnsi="Arial"/>
          <w:b/>
          <w:bCs/>
          <w:color w:val="2E5984"/>
          <w:sz w:val="22"/>
          <w:szCs w:val="22"/>
        </w:rPr>
        <w:t xml:space="preserve">5.1 </w:t>
      </w:r>
      <w:r>
        <w:rPr>
          <w:rFonts w:ascii="Arial" w:cs="Arial" w:eastAsia="Arial" w:hAnsi="Arial"/>
          <w:b/>
          <w:bCs/>
          <w:color w:val="333333"/>
          <w:sz w:val="22"/>
          <w:szCs w:val="22"/>
        </w:rPr>
        <w:t xml:space="preserve">Termination for Cause. </w:t>
      </w:r>
      <w:r>
        <w:rPr>
          <w:rFonts w:ascii="Arial" w:cs="Arial" w:eastAsia="Arial" w:hAnsi="Arial"/>
          <w:color w:val="333333"/>
          <w:sz w:val="22"/>
          <w:szCs w:val="22"/>
        </w:rPr>
        <w:t xml:space="preserve">Standard Cause provisions including breach, conviction, misconduct, and failure to perform.</w:t>
      </w:r>
    </w:p>
    <w:p>
      <w:pPr>
        <w:spacing w:before="120" w:after="120"/>
        <w:ind w:left="360"/>
      </w:pPr>
      <w:r>
        <w:rPr>
          <w:rFonts w:ascii="Arial" w:cs="Arial" w:eastAsia="Arial" w:hAnsi="Arial"/>
          <w:b/>
          <w:bCs/>
          <w:color w:val="2E5984"/>
          <w:sz w:val="22"/>
          <w:szCs w:val="22"/>
        </w:rPr>
        <w:t xml:space="preserve">5.2 </w:t>
      </w:r>
      <w:r>
        <w:rPr>
          <w:rFonts w:ascii="Arial" w:cs="Arial" w:eastAsia="Arial" w:hAnsi="Arial"/>
          <w:b/>
          <w:bCs/>
          <w:color w:val="333333"/>
          <w:sz w:val="22"/>
          <w:szCs w:val="22"/>
        </w:rPr>
        <w:t xml:space="preserve">Without Cause / Good Reason. </w:t>
      </w:r>
      <w:r>
        <w:rPr>
          <w:rFonts w:ascii="Arial" w:cs="Arial" w:eastAsia="Arial" w:hAnsi="Arial"/>
          <w:color w:val="333333"/>
          <w:sz w:val="22"/>
          <w:szCs w:val="22"/>
        </w:rPr>
        <w:t xml:space="preserve">Eighteen (18) months Base Salary, pro-rata bonus, 100% accelerated vesting, eighteen (18) months health benefits.</w:t>
      </w:r>
    </w:p>
    <w:p>
      <w:pPr>
        <w:spacing w:before="120" w:after="120"/>
        <w:ind w:left="360"/>
      </w:pPr>
      <w:r>
        <w:rPr>
          <w:rFonts w:ascii="Arial" w:cs="Arial" w:eastAsia="Arial" w:hAnsi="Arial"/>
          <w:b/>
          <w:bCs/>
          <w:color w:val="2E5984"/>
          <w:sz w:val="22"/>
          <w:szCs w:val="22"/>
        </w:rPr>
        <w:t xml:space="preserve">5.3 </w:t>
      </w:r>
      <w:r>
        <w:rPr>
          <w:rFonts w:ascii="Arial" w:cs="Arial" w:eastAsia="Arial" w:hAnsi="Arial"/>
          <w:b/>
          <w:bCs/>
          <w:color w:val="333333"/>
          <w:sz w:val="22"/>
          <w:szCs w:val="22"/>
        </w:rPr>
        <w:t xml:space="preserve">Change of Control. </w:t>
      </w:r>
      <w:r>
        <w:rPr>
          <w:rFonts w:ascii="Arial" w:cs="Arial" w:eastAsia="Arial" w:hAnsi="Arial"/>
          <w:color w:val="333333"/>
          <w:sz w:val="22"/>
          <w:szCs w:val="22"/>
        </w:rPr>
        <w:t xml:space="preserve">2.5x Base Salary plus Target Bonus, 100% equity acceleration, twenty-four (24) months benefit continuation.</w:t>
      </w:r>
    </w:p>
    <w:p>
      <w:pPr>
        <w:spacing w:before="360" w:after="200"/>
      </w:pPr>
      <w:r>
        <w:rPr>
          <w:rFonts w:ascii="Arial" w:cs="Arial" w:eastAsia="Arial" w:hAnsi="Arial"/>
          <w:b/>
          <w:bCs/>
          <w:color w:val="1B3A5C"/>
          <w:sz w:val="26"/>
          <w:szCs w:val="26"/>
        </w:rPr>
        <w:t xml:space="preserve">6. GENERAL PROVISIONS</w:t>
      </w:r>
    </w:p>
    <w:p>
      <w:pPr>
        <w:spacing w:before="120" w:after="120"/>
        <w:ind w:left="360"/>
      </w:pPr>
      <w:r>
        <w:rPr>
          <w:rFonts w:ascii="Arial" w:cs="Arial" w:eastAsia="Arial" w:hAnsi="Arial"/>
          <w:b/>
          <w:bCs/>
          <w:color w:val="2E5984"/>
          <w:sz w:val="22"/>
          <w:szCs w:val="22"/>
        </w:rPr>
        <w:t xml:space="preserve"> </w:t>
      </w:r>
      <w:r>
        <w:rPr>
          <w:rFonts w:ascii="Arial" w:cs="Arial" w:eastAsia="Arial" w:hAnsi="Arial"/>
          <w:b/>
          <w:bCs/>
          <w:color w:val="333333"/>
          <w:sz w:val="22"/>
          <w:szCs w:val="22"/>
        </w:rPr>
        <w:t xml:space="preserve"> </w:t>
      </w:r>
      <w:r>
        <w:rPr>
          <w:rFonts w:ascii="Arial" w:cs="Arial" w:eastAsia="Arial" w:hAnsi="Arial"/>
          <w:color w:val="333333"/>
          <w:sz w:val="22"/>
          <w:szCs w:val="22"/>
        </w:rPr>
        <w:t xml:space="preserve">Governing law: Delaware. Entire agreement. Written amendment only. Severability. Section 409A compliance. Return of Company property and data upon termination.</w:t>
      </w:r>
    </w:p>
    <w:p>
      <w:pPr>
        <w:spacing w:after="200" w:before="400"/>
      </w:pPr>
      <w:r>
        <w:rPr>
          <w:rFonts w:ascii="Arial" w:cs="Arial" w:eastAsia="Arial" w:hAnsi="Arial"/>
          <w:b/>
          <w:bCs/>
          <w:color w:val="333333"/>
          <w:sz w:val="22"/>
          <w:szCs w:val="22"/>
        </w:rPr>
        <w:t xml:space="preserve">IN WITNESS WHEREOF</w:t>
      </w:r>
      <w:r>
        <w:rPr>
          <w:rFonts w:ascii="Arial" w:cs="Arial" w:eastAsia="Arial" w:hAnsi="Arial"/>
          <w:color w:val="333333"/>
          <w:sz w:val="22"/>
          <w:szCs w:val="22"/>
        </w:rPr>
        <w:t xml:space="preserve">, the parties have executed this Agreement as of the date first written above.</w:t>
      </w:r>
    </w:p>
    <w:p>
      <w:pPr>
        <w:spacing w:before="600" w:after="200"/>
      </w:pPr>
    </w:p>
    <w:p>
      <w:pPr>
        <w:spacing w:after="200"/>
      </w:pPr>
      <w:r>
        <w:rPr>
          <w:rFonts w:ascii="Arial" w:cs="Arial" w:eastAsia="Arial" w:hAnsi="Arial"/>
          <w:b/>
          <w:bCs/>
          <w:color w:val="333333"/>
          <w:sz w:val="22"/>
          <w:szCs w:val="22"/>
        </w:rPr>
        <w:t xml:space="preserve">MERIDIAN TECHNOLOGIES, INC.</w:t>
      </w:r>
    </w:p>
    <w:p>
      <w:pPr>
        <w:spacing w:after="80"/>
      </w:pPr>
    </w:p>
    <w:p>
      <w:pPr>
        <w:spacing w:after="200"/>
      </w:pPr>
      <w:r>
        <w:rPr>
          <w:rFonts w:ascii="Arial" w:cs="Arial" w:eastAsia="Arial" w:hAnsi="Arial"/>
          <w:color w:val="333333"/>
          <w:sz w:val="22"/>
          <w:szCs w:val="22"/>
        </w:rPr>
        <w:t xml:space="preserve">By: _______________________________</w:t>
      </w:r>
    </w:p>
    <w:p>
      <w:pPr>
        <w:spacing w:after="40"/>
      </w:pPr>
    </w:p>
    <w:p>
      <w:pPr>
        <w:spacing w:after="200"/>
      </w:pPr>
      <w:r>
        <w:rPr>
          <w:rFonts w:ascii="Arial" w:cs="Arial" w:eastAsia="Arial" w:hAnsi="Arial"/>
          <w:color w:val="333333"/>
          <w:sz w:val="22"/>
          <w:szCs w:val="22"/>
        </w:rPr>
        <w:t xml:space="preserve">Name: Patricia L. Chen</w:t>
      </w:r>
    </w:p>
    <w:p>
      <w:pPr>
        <w:spacing w:after="200"/>
      </w:pPr>
      <w:r>
        <w:rPr>
          <w:rFonts w:ascii="Arial" w:cs="Arial" w:eastAsia="Arial" w:hAnsi="Arial"/>
          <w:color w:val="333333"/>
          <w:sz w:val="22"/>
          <w:szCs w:val="22"/>
        </w:rPr>
        <w:t xml:space="preserve">Title: Chairperson of the Board</w:t>
      </w:r>
    </w:p>
    <w:p>
      <w:pPr>
        <w:spacing w:after="200"/>
      </w:pPr>
      <w:r>
        <w:rPr>
          <w:rFonts w:ascii="Arial" w:cs="Arial" w:eastAsia="Arial" w:hAnsi="Arial"/>
          <w:color w:val="333333"/>
          <w:sz w:val="22"/>
          <w:szCs w:val="22"/>
        </w:rPr>
        <w:t xml:space="preserve">Date: _______________________________</w:t>
      </w:r>
    </w:p>
    <w:p>
      <w:pPr>
        <w:spacing w:before="400" w:after="200"/>
      </w:pPr>
    </w:p>
    <w:p>
      <w:pPr>
        <w:spacing w:after="200"/>
      </w:pPr>
      <w:r>
        <w:rPr>
          <w:rFonts w:ascii="Arial" w:cs="Arial" w:eastAsia="Arial" w:hAnsi="Arial"/>
          <w:b/>
          <w:bCs/>
          <w:color w:val="333333"/>
          <w:sz w:val="22"/>
          <w:szCs w:val="22"/>
        </w:rPr>
        <w:t xml:space="preserve">EXECUTIVE</w:t>
      </w:r>
    </w:p>
    <w:p>
      <w:pPr>
        <w:spacing w:after="80"/>
      </w:pPr>
    </w:p>
    <w:p>
      <w:pPr>
        <w:spacing w:after="200"/>
      </w:pPr>
      <w:r>
        <w:rPr>
          <w:rFonts w:ascii="Arial" w:cs="Arial" w:eastAsia="Arial" w:hAnsi="Arial"/>
          <w:color w:val="333333"/>
          <w:sz w:val="22"/>
          <w:szCs w:val="22"/>
        </w:rPr>
        <w:t xml:space="preserve">_______________________________</w:t>
      </w:r>
    </w:p>
    <w:p>
      <w:pPr>
        <w:spacing w:after="200"/>
      </w:pPr>
      <w:r>
        <w:rPr>
          <w:rFonts w:ascii="Arial" w:cs="Arial" w:eastAsia="Arial" w:hAnsi="Arial"/>
          <w:color w:val="333333"/>
          <w:sz w:val="22"/>
          <w:szCs w:val="22"/>
        </w:rPr>
        <w:t xml:space="preserve">Raj K. Patel</w:t>
      </w:r>
    </w:p>
    <w:p>
      <w:pPr>
        <w:spacing w:after="200"/>
      </w:pPr>
      <w:r>
        <w:rPr>
          <w:rFonts w:ascii="Arial" w:cs="Arial" w:eastAsia="Arial" w:hAnsi="Arial"/>
          <w:color w:val="333333"/>
          <w:sz w:val="22"/>
          <w:szCs w:val="22"/>
        </w:rPr>
        <w:t xml:space="preserve">Date: _______________________________</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00"/>
      <w:jc w:val="center"/>
    </w:pPr>
    <w:r>
      <w:rPr>
        <w:rFonts w:ascii="Arial" w:cs="Arial" w:eastAsia="Arial" w:hAnsi="Arial"/>
        <w:i/>
        <w:iCs/>
        <w:color w:val="999999"/>
        <w:sz w:val="16"/>
        <w:szCs w:val="16"/>
      </w:rPr>
      <w:t xml:space="preserve">Confidential</w:t>
    </w:r>
  </w:p>
  <w:p>
    <w:pPr>
      <w:jc w:val="center"/>
    </w:pPr>
    <w:r>
      <w:rPr>
        <w:rFonts w:ascii="Arial" w:cs="Arial" w:eastAsia="Arial" w:hAnsi="Arial"/>
        <w:color w:val="999999"/>
        <w:sz w:val="16"/>
        <w:szCs w:val="16"/>
      </w:rPr>
      <w:t xml:space="preserve">© 2025 BlueFlame AI. All rights reserved.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047750" cy="285750"/>
          <wp:effectExtent t="0" r="0" b="0" l="0"/>
          <wp:docPr id="1" name="Logo" descr="BlueFlame AI Logo" title="BlueFlam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285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edfe41c80c896fdea9bb510b3a8f893722f40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2026-02-18T08:13:39.200Z</dcterms:created>
  <dcterms:modified xsi:type="dcterms:W3CDTF">2026-02-18T08:13:39.200Z</dcterms:modified>
</cp:coreProperties>
</file>

<file path=docProps/custom.xml><?xml version="1.0" encoding="utf-8"?>
<Properties xmlns="http://schemas.openxmlformats.org/officeDocument/2006/custom-properties" xmlns:vt="http://schemas.openxmlformats.org/officeDocument/2006/docPropsVTypes"/>
</file>