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EXECUTIVE EMPLOYMENT AGREEMENT</w:t>
      </w:r>
    </w:p>
    <w:p>
      <w:pPr>
        <w:pBdr>
          <w:bottom w:val="single" w:color="2E5984" w:sz="2" w:space="8"/>
        </w:pBdr>
        <w:spacing w:after="200"/>
        <w:jc w:val="center"/>
      </w:pPr>
      <w:r>
        <w:rPr>
          <w:rFonts w:ascii="Arial" w:cs="Arial" w:eastAsia="Arial" w:hAnsi="Arial"/>
          <w:i/>
          <w:iCs/>
          <w:color w:val="2E5984"/>
          <w:sz w:val="26"/>
          <w:szCs w:val="26"/>
        </w:rPr>
        <w:t xml:space="preserve">General Counsel and Corporate Secretary</w:t>
      </w:r>
    </w:p>
    <w:p>
      <w:pPr>
        <w:spacing w:after="100"/>
      </w:pPr>
    </w:p>
    <w:p>
      <w:pPr>
        <w:spacing w:after="200"/>
      </w:pPr>
      <w:r>
        <w:rPr>
          <w:rFonts w:ascii="Arial" w:cs="Arial" w:eastAsia="Arial" w:hAnsi="Arial"/>
          <w:b/>
          <w:bCs/>
          <w:color w:val="333333"/>
          <w:sz w:val="22"/>
          <w:szCs w:val="22"/>
        </w:rPr>
        <w:t xml:space="preserve">THIS EXECUTIVE EMPLOYMENT AGREEMENT</w:t>
      </w:r>
      <w:r>
        <w:rPr>
          <w:rFonts w:ascii="Arial" w:cs="Arial" w:eastAsia="Arial" w:hAnsi="Arial"/>
          <w:color w:val="333333"/>
          <w:sz w:val="22"/>
          <w:szCs w:val="22"/>
        </w:rPr>
        <w:t xml:space="preserve"> (this </w:t>
      </w:r>
      <w:r>
        <w:rPr>
          <w:rFonts w:ascii="Arial" w:cs="Arial" w:eastAsia="Arial" w:hAnsi="Arial"/>
          <w:b/>
          <w:bCs/>
          <w:i/>
          <w:iCs/>
          <w:color w:val="333333"/>
          <w:sz w:val="22"/>
          <w:szCs w:val="22"/>
        </w:rPr>
        <w:t xml:space="preserve">“Agreement”</w:t>
      </w:r>
      <w:r>
        <w:rPr>
          <w:rFonts w:ascii="Arial" w:cs="Arial" w:eastAsia="Arial" w:hAnsi="Arial"/>
          <w:color w:val="333333"/>
          <w:sz w:val="22"/>
          <w:szCs w:val="22"/>
        </w:rPr>
        <w:t xml:space="preserve">) is entered into as of August 5, 2024, by and between </w:t>
      </w:r>
      <w:r>
        <w:rPr>
          <w:rFonts w:ascii="Arial" w:cs="Arial" w:eastAsia="Arial" w:hAnsi="Arial"/>
          <w:b/>
          <w:bCs/>
          <w:color w:val="333333"/>
          <w:sz w:val="22"/>
          <w:szCs w:val="22"/>
        </w:rPr>
        <w:t xml:space="preserve">Meridian Technologies, Inc.</w:t>
      </w:r>
      <w:r>
        <w:rPr>
          <w:rFonts w:ascii="Arial" w:cs="Arial" w:eastAsia="Arial" w:hAnsi="Arial"/>
          <w:color w:val="333333"/>
          <w:sz w:val="22"/>
          <w:szCs w:val="22"/>
        </w:rPr>
        <w:t xml:space="preserve">, a Delaware corporation (the </w:t>
      </w:r>
      <w:r>
        <w:rPr>
          <w:rFonts w:ascii="Arial" w:cs="Arial" w:eastAsia="Arial" w:hAnsi="Arial"/>
          <w:b/>
          <w:bCs/>
          <w:i/>
          <w:iCs/>
          <w:color w:val="333333"/>
          <w:sz w:val="22"/>
          <w:szCs w:val="22"/>
        </w:rPr>
        <w:t xml:space="preserve">“Company”</w:t>
      </w:r>
      <w:r>
        <w:rPr>
          <w:rFonts w:ascii="Arial" w:cs="Arial" w:eastAsia="Arial" w:hAnsi="Arial"/>
          <w:color w:val="333333"/>
          <w:sz w:val="22"/>
          <w:szCs w:val="22"/>
        </w:rPr>
        <w:t xml:space="preserve">), and </w:t>
      </w:r>
      <w:r>
        <w:rPr>
          <w:rFonts w:ascii="Arial" w:cs="Arial" w:eastAsia="Arial" w:hAnsi="Arial"/>
          <w:b/>
          <w:bCs/>
          <w:color w:val="333333"/>
          <w:sz w:val="22"/>
          <w:szCs w:val="22"/>
        </w:rPr>
        <w:t xml:space="preserve">Catherine E. Brooks</w:t>
      </w:r>
      <w:r>
        <w:rPr>
          <w:rFonts w:ascii="Arial" w:cs="Arial" w:eastAsia="Arial" w:hAnsi="Arial"/>
          <w:color w:val="333333"/>
          <w:sz w:val="22"/>
          <w:szCs w:val="22"/>
        </w:rPr>
        <w:t xml:space="preserve"> (the </w:t>
      </w:r>
      <w:r>
        <w:rPr>
          <w:rFonts w:ascii="Arial" w:cs="Arial" w:eastAsia="Arial" w:hAnsi="Arial"/>
          <w:b/>
          <w:bCs/>
          <w:i/>
          <w:iCs/>
          <w:color w:val="333333"/>
          <w:sz w:val="22"/>
          <w:szCs w:val="22"/>
        </w:rPr>
        <w:t xml:space="preserve">“Executive”</w:t>
      </w:r>
      <w:r>
        <w:rPr>
          <w:rFonts w:ascii="Arial" w:cs="Arial" w:eastAsia="Arial" w:hAnsi="Arial"/>
          <w:color w:val="333333"/>
          <w:sz w:val="22"/>
          <w:szCs w:val="22"/>
        </w:rPr>
        <w:t xml:space="preserve">).</w:t>
      </w:r>
    </w:p>
    <w:p>
      <w:pPr>
        <w:spacing w:after="200"/>
      </w:pPr>
      <w:r>
        <w:rPr>
          <w:rFonts w:ascii="Arial" w:cs="Arial" w:eastAsia="Arial" w:hAnsi="Arial"/>
          <w:b/>
          <w:bCs/>
          <w:color w:val="333333"/>
          <w:sz w:val="22"/>
          <w:szCs w:val="22"/>
        </w:rPr>
        <w:t xml:space="preserve">WHEREAS</w:t>
      </w:r>
      <w:r>
        <w:rPr>
          <w:rFonts w:ascii="Arial" w:cs="Arial" w:eastAsia="Arial" w:hAnsi="Arial"/>
          <w:color w:val="333333"/>
          <w:sz w:val="22"/>
          <w:szCs w:val="22"/>
        </w:rPr>
        <w:t xml:space="preserve">, the Company desires to employ the Executive as its General Counsel and Corporate Secretary, and the Executive desires to accept such employment, subject to the terms and conditions set forth herein;</w:t>
      </w:r>
    </w:p>
    <w:p>
      <w:pPr>
        <w:spacing w:after="200"/>
      </w:pPr>
      <w:r>
        <w:rPr>
          <w:rFonts w:ascii="Arial" w:cs="Arial" w:eastAsia="Arial" w:hAnsi="Arial"/>
          <w:b/>
          <w:bCs/>
          <w:color w:val="333333"/>
          <w:sz w:val="22"/>
          <w:szCs w:val="22"/>
        </w:rPr>
        <w:t xml:space="preserve">NOW, THEREFORE</w:t>
      </w:r>
      <w:r>
        <w:rPr>
          <w:rFonts w:ascii="Arial" w:cs="Arial" w:eastAsia="Arial" w:hAnsi="Arial"/>
          <w:color w:val="333333"/>
          <w:sz w:val="22"/>
          <w:szCs w:val="22"/>
        </w:rPr>
        <w:t xml:space="preserve">, in consideration of the mutual covenants and agreements contained herein, the parties agree as follows:</w:t>
      </w:r>
    </w:p>
    <w:p>
      <w:pPr>
        <w:spacing w:before="360" w:after="200"/>
      </w:pPr>
      <w:r>
        <w:rPr>
          <w:rFonts w:ascii="Arial" w:cs="Arial" w:eastAsia="Arial" w:hAnsi="Arial"/>
          <w:b/>
          <w:bCs/>
          <w:color w:val="1B3A5C"/>
          <w:sz w:val="26"/>
          <w:szCs w:val="26"/>
        </w:rPr>
        <w:t xml:space="preserve">1. POSITION AND DUTIES</w:t>
      </w:r>
    </w:p>
    <w:p>
      <w:pPr>
        <w:spacing w:before="120" w:after="120"/>
        <w:ind w:left="360"/>
      </w:pPr>
      <w:r>
        <w:rPr>
          <w:rFonts w:ascii="Arial" w:cs="Arial" w:eastAsia="Arial" w:hAnsi="Arial"/>
          <w:b/>
          <w:bCs/>
          <w:color w:val="2E5984"/>
          <w:sz w:val="22"/>
          <w:szCs w:val="22"/>
        </w:rPr>
        <w:t xml:space="preserve">1.1 </w:t>
      </w:r>
      <w:r>
        <w:rPr>
          <w:rFonts w:ascii="Arial" w:cs="Arial" w:eastAsia="Arial" w:hAnsi="Arial"/>
          <w:b/>
          <w:bCs/>
          <w:color w:val="333333"/>
          <w:sz w:val="22"/>
          <w:szCs w:val="22"/>
        </w:rPr>
        <w:t xml:space="preserve">Position. </w:t>
      </w:r>
      <w:r>
        <w:rPr>
          <w:rFonts w:ascii="Arial" w:cs="Arial" w:eastAsia="Arial" w:hAnsi="Arial"/>
          <w:color w:val="333333"/>
          <w:sz w:val="22"/>
          <w:szCs w:val="22"/>
        </w:rPr>
        <w:t xml:space="preserve">The Executive is hereby employed as General Counsel and Corporate Secretary, reporting to the Chief Executive Officer. The Executive shall oversee all legal affairs of the Company, including litigation management, regulatory compliance, corporate governance, intellectual property, and transactional matters. The Executive shall also serve as Corporate Secretary, responsible for Board meeting administration and corporate records.</w:t>
      </w:r>
    </w:p>
    <w:p>
      <w:pPr>
        <w:spacing w:before="120" w:after="120"/>
        <w:ind w:left="360"/>
      </w:pPr>
      <w:r>
        <w:rPr>
          <w:rFonts w:ascii="Arial" w:cs="Arial" w:eastAsia="Arial" w:hAnsi="Arial"/>
          <w:b/>
          <w:bCs/>
          <w:color w:val="2E5984"/>
          <w:sz w:val="22"/>
          <w:szCs w:val="22"/>
        </w:rPr>
        <w:t xml:space="preserve">1.2 </w:t>
      </w:r>
      <w:r>
        <w:rPr>
          <w:rFonts w:ascii="Arial" w:cs="Arial" w:eastAsia="Arial" w:hAnsi="Arial"/>
          <w:b/>
          <w:bCs/>
          <w:color w:val="333333"/>
          <w:sz w:val="22"/>
          <w:szCs w:val="22"/>
        </w:rPr>
        <w:t xml:space="preserve">Full-Time Employment. </w:t>
      </w:r>
      <w:r>
        <w:rPr>
          <w:rFonts w:ascii="Arial" w:cs="Arial" w:eastAsia="Arial" w:hAnsi="Arial"/>
          <w:color w:val="333333"/>
          <w:sz w:val="22"/>
          <w:szCs w:val="22"/>
        </w:rPr>
        <w:t xml:space="preserve">The Executive shall devote substantially all business time and effort to Company matters. The Executive shall maintain all necessary bar admissions and professional licenses.</w:t>
      </w:r>
    </w:p>
    <w:p>
      <w:pPr>
        <w:spacing w:before="120" w:after="120"/>
        <w:ind w:left="360"/>
      </w:pPr>
      <w:r>
        <w:rPr>
          <w:rFonts w:ascii="Arial" w:cs="Arial" w:eastAsia="Arial" w:hAnsi="Arial"/>
          <w:b/>
          <w:bCs/>
          <w:color w:val="2E5984"/>
          <w:sz w:val="22"/>
          <w:szCs w:val="22"/>
        </w:rPr>
        <w:t xml:space="preserve">1.3 </w:t>
      </w:r>
      <w:r>
        <w:rPr>
          <w:rFonts w:ascii="Arial" w:cs="Arial" w:eastAsia="Arial" w:hAnsi="Arial"/>
          <w:b/>
          <w:bCs/>
          <w:color w:val="333333"/>
          <w:sz w:val="22"/>
          <w:szCs w:val="22"/>
        </w:rPr>
        <w:t xml:space="preserve">Principal Place of Employment. </w:t>
      </w:r>
      <w:r>
        <w:rPr>
          <w:rFonts w:ascii="Arial" w:cs="Arial" w:eastAsia="Arial" w:hAnsi="Arial"/>
          <w:color w:val="333333"/>
          <w:sz w:val="22"/>
          <w:szCs w:val="22"/>
        </w:rPr>
        <w:t xml:space="preserve">The Executive’s primary office shall be at Company headquarters in Austin, Texas.</w:t>
      </w:r>
    </w:p>
    <w:p>
      <w:pPr>
        <w:spacing w:before="360" w:after="200"/>
      </w:pPr>
      <w:r>
        <w:rPr>
          <w:rFonts w:ascii="Arial" w:cs="Arial" w:eastAsia="Arial" w:hAnsi="Arial"/>
          <w:b/>
          <w:bCs/>
          <w:color w:val="1B3A5C"/>
          <w:sz w:val="26"/>
          <w:szCs w:val="26"/>
        </w:rPr>
        <w:t xml:space="preserve">2. TERM</w:t>
      </w:r>
    </w:p>
    <w:p>
      <w:pPr>
        <w:spacing w:before="120" w:after="120"/>
        <w:ind w:left="360"/>
      </w:pPr>
      <w:r>
        <w:rPr>
          <w:rFonts w:ascii="Arial" w:cs="Arial" w:eastAsia="Arial" w:hAnsi="Arial"/>
          <w:b/>
          <w:bCs/>
          <w:color w:val="2E5984"/>
          <w:sz w:val="22"/>
          <w:szCs w:val="22"/>
        </w:rPr>
        <w:t xml:space="preserve"> </w:t>
      </w:r>
      <w:r>
        <w:rPr>
          <w:rFonts w:ascii="Arial" w:cs="Arial" w:eastAsia="Arial" w:hAnsi="Arial"/>
          <w:b/>
          <w:bCs/>
          <w:color w:val="333333"/>
          <w:sz w:val="22"/>
          <w:szCs w:val="22"/>
        </w:rPr>
        <w:t xml:space="preserve"> </w:t>
      </w:r>
      <w:r>
        <w:rPr>
          <w:rFonts w:ascii="Arial" w:cs="Arial" w:eastAsia="Arial" w:hAnsi="Arial"/>
          <w:color w:val="333333"/>
          <w:sz w:val="22"/>
          <w:szCs w:val="22"/>
        </w:rPr>
        <w:t xml:space="preserve">The initial term shall be three (3) years from September 1, 2024, with automatic annual renewals unless sixty (60) days’ prior written notice is given.</w:t>
      </w:r>
    </w:p>
    <w:p>
      <w:pPr>
        <w:spacing w:before="360" w:after="200"/>
      </w:pPr>
      <w:r>
        <w:rPr>
          <w:rFonts w:ascii="Arial" w:cs="Arial" w:eastAsia="Arial" w:hAnsi="Arial"/>
          <w:b/>
          <w:bCs/>
          <w:color w:val="1B3A5C"/>
          <w:sz w:val="26"/>
          <w:szCs w:val="26"/>
        </w:rPr>
        <w:t xml:space="preserve">3. COMPENSATION</w:t>
      </w:r>
    </w:p>
    <w:p>
      <w:pPr>
        <w:spacing w:before="120" w:after="120"/>
        <w:ind w:left="360"/>
      </w:pPr>
      <w:r>
        <w:rPr>
          <w:rFonts w:ascii="Arial" w:cs="Arial" w:eastAsia="Arial" w:hAnsi="Arial"/>
          <w:b/>
          <w:bCs/>
          <w:color w:val="2E5984"/>
          <w:sz w:val="22"/>
          <w:szCs w:val="22"/>
        </w:rPr>
        <w:t xml:space="preserve">3.1 </w:t>
      </w:r>
      <w:r>
        <w:rPr>
          <w:rFonts w:ascii="Arial" w:cs="Arial" w:eastAsia="Arial" w:hAnsi="Arial"/>
          <w:b/>
          <w:bCs/>
          <w:color w:val="333333"/>
          <w:sz w:val="22"/>
          <w:szCs w:val="22"/>
        </w:rPr>
        <w:t xml:space="preserve">Base Salary. </w:t>
      </w:r>
      <w:r>
        <w:rPr>
          <w:rFonts w:ascii="Arial" w:cs="Arial" w:eastAsia="Arial" w:hAnsi="Arial"/>
          <w:color w:val="333333"/>
          <w:sz w:val="22"/>
          <w:szCs w:val="22"/>
        </w:rPr>
        <w:t xml:space="preserve">$430,000 per annum, subject to annual review by the Compensation Committee.</w:t>
      </w:r>
    </w:p>
    <w:p>
      <w:pPr>
        <w:spacing w:before="120" w:after="120"/>
        <w:ind w:left="360"/>
      </w:pPr>
      <w:r>
        <w:rPr>
          <w:rFonts w:ascii="Arial" w:cs="Arial" w:eastAsia="Arial" w:hAnsi="Arial"/>
          <w:b/>
          <w:bCs/>
          <w:color w:val="2E5984"/>
          <w:sz w:val="22"/>
          <w:szCs w:val="22"/>
        </w:rPr>
        <w:t xml:space="preserve">3.2 </w:t>
      </w:r>
      <w:r>
        <w:rPr>
          <w:rFonts w:ascii="Arial" w:cs="Arial" w:eastAsia="Arial" w:hAnsi="Arial"/>
          <w:b/>
          <w:bCs/>
          <w:color w:val="333333"/>
          <w:sz w:val="22"/>
          <w:szCs w:val="22"/>
        </w:rPr>
        <w:t xml:space="preserve">Annual Bonus. </w:t>
      </w:r>
      <w:r>
        <w:rPr>
          <w:rFonts w:ascii="Arial" w:cs="Arial" w:eastAsia="Arial" w:hAnsi="Arial"/>
          <w:color w:val="333333"/>
          <w:sz w:val="22"/>
          <w:szCs w:val="22"/>
        </w:rPr>
        <w:t xml:space="preserve">Target bonus of 60% of Base Salary, maximum 120%, based on individual and Company performance.</w:t>
      </w:r>
    </w:p>
    <w:p>
      <w:pPr>
        <w:spacing w:before="120" w:after="120"/>
        <w:ind w:left="360"/>
      </w:pPr>
      <w:r>
        <w:rPr>
          <w:rFonts w:ascii="Arial" w:cs="Arial" w:eastAsia="Arial" w:hAnsi="Arial"/>
          <w:b/>
          <w:bCs/>
          <w:color w:val="2E5984"/>
          <w:sz w:val="22"/>
          <w:szCs w:val="22"/>
        </w:rPr>
        <w:t xml:space="preserve">3.3 </w:t>
      </w:r>
      <w:r>
        <w:rPr>
          <w:rFonts w:ascii="Arial" w:cs="Arial" w:eastAsia="Arial" w:hAnsi="Arial"/>
          <w:b/>
          <w:bCs/>
          <w:color w:val="333333"/>
          <w:sz w:val="22"/>
          <w:szCs w:val="22"/>
        </w:rPr>
        <w:t xml:space="preserve">Equity Compensation. </w:t>
      </w:r>
      <w:r>
        <w:rPr>
          <w:rFonts w:ascii="Arial" w:cs="Arial" w:eastAsia="Arial" w:hAnsi="Arial"/>
          <w:color w:val="333333"/>
          <w:sz w:val="22"/>
          <w:szCs w:val="22"/>
        </w:rPr>
        <w:t xml:space="preserve">Initial RSU grant of 55,000 shares vesting over four (4) years; stock options for 75,000 shares vesting over four (4) years; annual equity grant eligibility.</w:t>
      </w:r>
    </w:p>
    <w:p>
      <w:pPr>
        <w:spacing w:before="120" w:after="120"/>
        <w:ind w:left="360"/>
      </w:pPr>
      <w:r>
        <w:rPr>
          <w:rFonts w:ascii="Arial" w:cs="Arial" w:eastAsia="Arial" w:hAnsi="Arial"/>
          <w:b/>
          <w:bCs/>
          <w:color w:val="2E5984"/>
          <w:sz w:val="22"/>
          <w:szCs w:val="22"/>
        </w:rPr>
        <w:t xml:space="preserve">3.4 </w:t>
      </w:r>
      <w:r>
        <w:rPr>
          <w:rFonts w:ascii="Arial" w:cs="Arial" w:eastAsia="Arial" w:hAnsi="Arial"/>
          <w:b/>
          <w:bCs/>
          <w:color w:val="333333"/>
          <w:sz w:val="22"/>
          <w:szCs w:val="22"/>
        </w:rPr>
        <w:t xml:space="preserve">Bar Dues and Professional Development. </w:t>
      </w:r>
      <w:r>
        <w:rPr>
          <w:rFonts w:ascii="Arial" w:cs="Arial" w:eastAsia="Arial" w:hAnsi="Arial"/>
          <w:color w:val="333333"/>
          <w:sz w:val="22"/>
          <w:szCs w:val="22"/>
        </w:rPr>
        <w:t xml:space="preserve">The Company shall reimburse all bar dues, CLE requirements, and professional association memberships.</w:t>
      </w:r>
    </w:p>
    <w:p>
      <w:pPr>
        <w:spacing w:before="120" w:after="120"/>
        <w:ind w:left="360"/>
      </w:pPr>
      <w:r>
        <w:rPr>
          <w:rFonts w:ascii="Arial" w:cs="Arial" w:eastAsia="Arial" w:hAnsi="Arial"/>
          <w:b/>
          <w:bCs/>
          <w:color w:val="2E5984"/>
          <w:sz w:val="22"/>
          <w:szCs w:val="22"/>
        </w:rPr>
        <w:t xml:space="preserve">3.5 </w:t>
      </w:r>
      <w:r>
        <w:rPr>
          <w:rFonts w:ascii="Arial" w:cs="Arial" w:eastAsia="Arial" w:hAnsi="Arial"/>
          <w:b/>
          <w:bCs/>
          <w:color w:val="333333"/>
          <w:sz w:val="22"/>
          <w:szCs w:val="22"/>
        </w:rPr>
        <w:t xml:space="preserve">Benefits. </w:t>
      </w:r>
      <w:r>
        <w:rPr>
          <w:rFonts w:ascii="Arial" w:cs="Arial" w:eastAsia="Arial" w:hAnsi="Arial"/>
          <w:color w:val="333333"/>
          <w:sz w:val="22"/>
          <w:szCs w:val="22"/>
        </w:rPr>
        <w:t xml:space="preserve">Full participation in executive benefit programs, four (4) weeks paid vacation, and expense reimbursement per Company policy.</w:t>
      </w:r>
    </w:p>
    <w:p>
      <w:pPr>
        <w:spacing w:before="360" w:after="200"/>
      </w:pPr>
      <w:r>
        <w:rPr>
          <w:rFonts w:ascii="Arial" w:cs="Arial" w:eastAsia="Arial" w:hAnsi="Arial"/>
          <w:b/>
          <w:bCs/>
          <w:color w:val="1B3A5C"/>
          <w:sz w:val="26"/>
          <w:szCs w:val="26"/>
        </w:rPr>
        <w:t xml:space="preserve">4. RESTRICTIVE COVENANTS</w:t>
      </w:r>
    </w:p>
    <w:p>
      <w:pPr>
        <w:spacing w:before="120" w:after="120"/>
        <w:ind w:left="360"/>
      </w:pPr>
      <w:r>
        <w:rPr>
          <w:rFonts w:ascii="Arial" w:cs="Arial" w:eastAsia="Arial" w:hAnsi="Arial"/>
          <w:b/>
          <w:bCs/>
          <w:color w:val="2E5984"/>
          <w:sz w:val="22"/>
          <w:szCs w:val="22"/>
        </w:rPr>
        <w:t xml:space="preserve"> </w:t>
      </w:r>
      <w:r>
        <w:rPr>
          <w:rFonts w:ascii="Arial" w:cs="Arial" w:eastAsia="Arial" w:hAnsi="Arial"/>
          <w:b/>
          <w:bCs/>
          <w:color w:val="333333"/>
          <w:sz w:val="22"/>
          <w:szCs w:val="22"/>
        </w:rPr>
        <w:t xml:space="preserve"> </w:t>
      </w:r>
      <w:r>
        <w:rPr>
          <w:rFonts w:ascii="Arial" w:cs="Arial" w:eastAsia="Arial" w:hAnsi="Arial"/>
          <w:color w:val="333333"/>
          <w:sz w:val="22"/>
          <w:szCs w:val="22"/>
        </w:rPr>
        <w:t xml:space="preserve">Non-competition for twelve (12) months post-termination. Non-solicitation of employees and clients for eighteen (18) months. Perpetual confidentiality obligations and attorney-client privilege protections. Mutual non-disparagement.</w:t>
      </w:r>
    </w:p>
    <w:p>
      <w:pPr>
        <w:spacing w:before="360" w:after="200"/>
      </w:pPr>
      <w:r>
        <w:rPr>
          <w:rFonts w:ascii="Arial" w:cs="Arial" w:eastAsia="Arial" w:hAnsi="Arial"/>
          <w:b/>
          <w:bCs/>
          <w:color w:val="1B3A5C"/>
          <w:sz w:val="26"/>
          <w:szCs w:val="26"/>
        </w:rPr>
        <w:t xml:space="preserve">5. TERMINATION</w:t>
      </w:r>
    </w:p>
    <w:p>
      <w:pPr>
        <w:spacing w:before="120" w:after="120"/>
        <w:ind w:left="360"/>
      </w:pPr>
      <w:r>
        <w:rPr>
          <w:rFonts w:ascii="Arial" w:cs="Arial" w:eastAsia="Arial" w:hAnsi="Arial"/>
          <w:b/>
          <w:bCs/>
          <w:color w:val="2E5984"/>
          <w:sz w:val="22"/>
          <w:szCs w:val="22"/>
        </w:rPr>
        <w:t xml:space="preserve">5.1 </w:t>
      </w:r>
      <w:r>
        <w:rPr>
          <w:rFonts w:ascii="Arial" w:cs="Arial" w:eastAsia="Arial" w:hAnsi="Arial"/>
          <w:b/>
          <w:bCs/>
          <w:color w:val="333333"/>
          <w:sz w:val="22"/>
          <w:szCs w:val="22"/>
        </w:rPr>
        <w:t xml:space="preserve">Termination for Cause. </w:t>
      </w:r>
      <w:r>
        <w:rPr>
          <w:rFonts w:ascii="Arial" w:cs="Arial" w:eastAsia="Arial" w:hAnsi="Arial"/>
          <w:color w:val="333333"/>
          <w:sz w:val="22"/>
          <w:szCs w:val="22"/>
        </w:rPr>
        <w:t xml:space="preserve">Standard Cause provisions. Additional cause includes loss of law license or bar admission.</w:t>
      </w:r>
    </w:p>
    <w:p>
      <w:pPr>
        <w:spacing w:before="120" w:after="120"/>
        <w:ind w:left="360"/>
      </w:pPr>
      <w:r>
        <w:rPr>
          <w:rFonts w:ascii="Arial" w:cs="Arial" w:eastAsia="Arial" w:hAnsi="Arial"/>
          <w:b/>
          <w:bCs/>
          <w:color w:val="2E5984"/>
          <w:sz w:val="22"/>
          <w:szCs w:val="22"/>
        </w:rPr>
        <w:t xml:space="preserve">5.2 </w:t>
      </w:r>
      <w:r>
        <w:rPr>
          <w:rFonts w:ascii="Arial" w:cs="Arial" w:eastAsia="Arial" w:hAnsi="Arial"/>
          <w:b/>
          <w:bCs/>
          <w:color w:val="333333"/>
          <w:sz w:val="22"/>
          <w:szCs w:val="22"/>
        </w:rPr>
        <w:t xml:space="preserve">Without Cause / Good Reason. </w:t>
      </w:r>
      <w:r>
        <w:rPr>
          <w:rFonts w:ascii="Arial" w:cs="Arial" w:eastAsia="Arial" w:hAnsi="Arial"/>
          <w:color w:val="333333"/>
          <w:sz w:val="22"/>
          <w:szCs w:val="22"/>
        </w:rPr>
        <w:t xml:space="preserve">Fifteen (15) months Base Salary continuation, pro-rata bonus, 75% equity acceleration, fifteen (15) months health benefits.</w:t>
      </w:r>
    </w:p>
    <w:p>
      <w:pPr>
        <w:spacing w:before="120" w:after="120"/>
        <w:ind w:left="360"/>
      </w:pPr>
      <w:r>
        <w:rPr>
          <w:rFonts w:ascii="Arial" w:cs="Arial" w:eastAsia="Arial" w:hAnsi="Arial"/>
          <w:b/>
          <w:bCs/>
          <w:color w:val="2E5984"/>
          <w:sz w:val="22"/>
          <w:szCs w:val="22"/>
        </w:rPr>
        <w:t xml:space="preserve">5.3 </w:t>
      </w:r>
      <w:r>
        <w:rPr>
          <w:rFonts w:ascii="Arial" w:cs="Arial" w:eastAsia="Arial" w:hAnsi="Arial"/>
          <w:b/>
          <w:bCs/>
          <w:color w:val="333333"/>
          <w:sz w:val="22"/>
          <w:szCs w:val="22"/>
        </w:rPr>
        <w:t xml:space="preserve">Change of Control. </w:t>
      </w:r>
      <w:r>
        <w:rPr>
          <w:rFonts w:ascii="Arial" w:cs="Arial" w:eastAsia="Arial" w:hAnsi="Arial"/>
          <w:color w:val="333333"/>
          <w:sz w:val="22"/>
          <w:szCs w:val="22"/>
        </w:rPr>
        <w:t xml:space="preserve">2.0x Base Salary and Target Bonus, full equity acceleration, eighteen (18) months benefit continuation.</w:t>
      </w:r>
    </w:p>
    <w:p>
      <w:pPr>
        <w:spacing w:before="360" w:after="200"/>
      </w:pPr>
      <w:r>
        <w:rPr>
          <w:rFonts w:ascii="Arial" w:cs="Arial" w:eastAsia="Arial" w:hAnsi="Arial"/>
          <w:b/>
          <w:bCs/>
          <w:color w:val="1B3A5C"/>
          <w:sz w:val="26"/>
          <w:szCs w:val="26"/>
        </w:rPr>
        <w:t xml:space="preserve">6. GENERAL PROVISIONS</w:t>
      </w:r>
    </w:p>
    <w:p>
      <w:pPr>
        <w:spacing w:before="120" w:after="120"/>
        <w:ind w:left="360"/>
      </w:pPr>
      <w:r>
        <w:rPr>
          <w:rFonts w:ascii="Arial" w:cs="Arial" w:eastAsia="Arial" w:hAnsi="Arial"/>
          <w:b/>
          <w:bCs/>
          <w:color w:val="2E5984"/>
          <w:sz w:val="22"/>
          <w:szCs w:val="22"/>
        </w:rPr>
        <w:t xml:space="preserve"> </w:t>
      </w:r>
      <w:r>
        <w:rPr>
          <w:rFonts w:ascii="Arial" w:cs="Arial" w:eastAsia="Arial" w:hAnsi="Arial"/>
          <w:b/>
          <w:bCs/>
          <w:color w:val="333333"/>
          <w:sz w:val="22"/>
          <w:szCs w:val="22"/>
        </w:rPr>
        <w:t xml:space="preserve"> </w:t>
      </w:r>
      <w:r>
        <w:rPr>
          <w:rFonts w:ascii="Arial" w:cs="Arial" w:eastAsia="Arial" w:hAnsi="Arial"/>
          <w:color w:val="333333"/>
          <w:sz w:val="22"/>
          <w:szCs w:val="22"/>
        </w:rPr>
        <w:t xml:space="preserve">Governing law: Delaware. Entire agreement. Amendment by written consent only. Severability. Section 409A compliance. Attorney-client privilege survival.</w:t>
      </w:r>
    </w:p>
    <w:p>
      <w:pPr>
        <w:spacing w:after="200" w:before="400"/>
      </w:pPr>
      <w:r>
        <w:rPr>
          <w:rFonts w:ascii="Arial" w:cs="Arial" w:eastAsia="Arial" w:hAnsi="Arial"/>
          <w:b/>
          <w:bCs/>
          <w:color w:val="333333"/>
          <w:sz w:val="22"/>
          <w:szCs w:val="22"/>
        </w:rPr>
        <w:t xml:space="preserve">IN WITNESS WHEREOF</w:t>
      </w:r>
      <w:r>
        <w:rPr>
          <w:rFonts w:ascii="Arial" w:cs="Arial" w:eastAsia="Arial" w:hAnsi="Arial"/>
          <w:color w:val="333333"/>
          <w:sz w:val="22"/>
          <w:szCs w:val="22"/>
        </w:rPr>
        <w:t xml:space="preserve">, the parties have executed this Agreement as of the date first written above.</w:t>
      </w:r>
    </w:p>
    <w:p>
      <w:pPr>
        <w:spacing w:before="600" w:after="200"/>
      </w:pPr>
    </w:p>
    <w:p>
      <w:pPr>
        <w:spacing w:after="200"/>
      </w:pPr>
      <w:r>
        <w:rPr>
          <w:rFonts w:ascii="Arial" w:cs="Arial" w:eastAsia="Arial" w:hAnsi="Arial"/>
          <w:b/>
          <w:bCs/>
          <w:color w:val="333333"/>
          <w:sz w:val="22"/>
          <w:szCs w:val="22"/>
        </w:rPr>
        <w:t xml:space="preserve">MERIDIAN TECHNOLOGIES, INC.</w:t>
      </w:r>
    </w:p>
    <w:p>
      <w:pPr>
        <w:spacing w:after="80"/>
      </w:pPr>
    </w:p>
    <w:p>
      <w:pPr>
        <w:spacing w:after="200"/>
      </w:pPr>
      <w:r>
        <w:rPr>
          <w:rFonts w:ascii="Arial" w:cs="Arial" w:eastAsia="Arial" w:hAnsi="Arial"/>
          <w:color w:val="333333"/>
          <w:sz w:val="22"/>
          <w:szCs w:val="22"/>
        </w:rPr>
        <w:t xml:space="preserve">By: _______________________________</w:t>
      </w:r>
    </w:p>
    <w:p>
      <w:pPr>
        <w:spacing w:after="40"/>
      </w:pPr>
    </w:p>
    <w:p>
      <w:pPr>
        <w:spacing w:after="200"/>
      </w:pPr>
      <w:r>
        <w:rPr>
          <w:rFonts w:ascii="Arial" w:cs="Arial" w:eastAsia="Arial" w:hAnsi="Arial"/>
          <w:color w:val="333333"/>
          <w:sz w:val="22"/>
          <w:szCs w:val="22"/>
        </w:rPr>
        <w:t xml:space="preserve">Name: Patricia L. Chen</w:t>
      </w:r>
    </w:p>
    <w:p>
      <w:pPr>
        <w:spacing w:after="200"/>
      </w:pPr>
      <w:r>
        <w:rPr>
          <w:rFonts w:ascii="Arial" w:cs="Arial" w:eastAsia="Arial" w:hAnsi="Arial"/>
          <w:color w:val="333333"/>
          <w:sz w:val="22"/>
          <w:szCs w:val="22"/>
        </w:rPr>
        <w:t xml:space="preserve">Title: Chairperson of the Board</w:t>
      </w:r>
    </w:p>
    <w:p>
      <w:pPr>
        <w:spacing w:after="200"/>
      </w:pPr>
      <w:r>
        <w:rPr>
          <w:rFonts w:ascii="Arial" w:cs="Arial" w:eastAsia="Arial" w:hAnsi="Arial"/>
          <w:color w:val="333333"/>
          <w:sz w:val="22"/>
          <w:szCs w:val="22"/>
        </w:rPr>
        <w:t xml:space="preserve">Date: _______________________________</w:t>
      </w:r>
    </w:p>
    <w:p>
      <w:pPr>
        <w:spacing w:before="400" w:after="200"/>
      </w:pPr>
    </w:p>
    <w:p>
      <w:pPr>
        <w:spacing w:after="200"/>
      </w:pPr>
      <w:r>
        <w:rPr>
          <w:rFonts w:ascii="Arial" w:cs="Arial" w:eastAsia="Arial" w:hAnsi="Arial"/>
          <w:b/>
          <w:bCs/>
          <w:color w:val="333333"/>
          <w:sz w:val="22"/>
          <w:szCs w:val="22"/>
        </w:rPr>
        <w:t xml:space="preserve">EXECUTIVE</w:t>
      </w:r>
    </w:p>
    <w:p>
      <w:pPr>
        <w:spacing w:after="80"/>
      </w:pPr>
    </w:p>
    <w:p>
      <w:pPr>
        <w:spacing w:after="200"/>
      </w:pPr>
      <w:r>
        <w:rPr>
          <w:rFonts w:ascii="Arial" w:cs="Arial" w:eastAsia="Arial" w:hAnsi="Arial"/>
          <w:color w:val="333333"/>
          <w:sz w:val="22"/>
          <w:szCs w:val="22"/>
        </w:rPr>
        <w:t xml:space="preserve">_______________________________</w:t>
      </w:r>
    </w:p>
    <w:p>
      <w:pPr>
        <w:spacing w:after="200"/>
      </w:pPr>
      <w:r>
        <w:rPr>
          <w:rFonts w:ascii="Arial" w:cs="Arial" w:eastAsia="Arial" w:hAnsi="Arial"/>
          <w:color w:val="333333"/>
          <w:sz w:val="22"/>
          <w:szCs w:val="22"/>
        </w:rPr>
        <w:t xml:space="preserve">Catherine E. Brooks</w:t>
      </w:r>
    </w:p>
    <w:p>
      <w:pPr>
        <w:spacing w:after="200"/>
      </w:pPr>
      <w:r>
        <w:rPr>
          <w:rFonts w:ascii="Arial" w:cs="Arial" w:eastAsia="Arial" w:hAnsi="Arial"/>
          <w:color w:val="333333"/>
          <w:sz w:val="22"/>
          <w:szCs w:val="22"/>
        </w:rPr>
        <w:t xml:space="preserve">Date: 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Arial" w:cs="Arial" w:eastAsia="Arial" w:hAnsi="Arial"/>
        <w:i/>
        <w:iCs/>
        <w:color w:val="999999"/>
        <w:sz w:val="16"/>
        <w:szCs w:val="16"/>
      </w:rPr>
      <w:t xml:space="preserve">Confidential</w:t>
    </w:r>
  </w:p>
  <w:p>
    <w:pPr>
      <w:jc w:val="center"/>
    </w:pPr>
    <w:r>
      <w:rPr>
        <w:rFonts w:ascii="Arial" w:cs="Arial" w:eastAsia="Arial" w:hAnsi="Arial"/>
        <w:color w:val="999999"/>
        <w:sz w:val="16"/>
        <w:szCs w:val="16"/>
      </w:rPr>
      <w:t xml:space="preserve">© 2025 BlueFlame AI. All rights reserved.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47750" cy="285750"/>
          <wp:effectExtent t="0" r="0" b="0" l="0"/>
          <wp:docPr id="1" name="Logo" descr="BlueFlame AI Logo" title="BlueFlam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dfe41c80c896fdea9bb510b3a8f893722f40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2026-02-18T08:13:39.221Z</dcterms:created>
  <dcterms:modified xsi:type="dcterms:W3CDTF">2026-02-18T08:13:39.221Z</dcterms:modified>
</cp:coreProperties>
</file>

<file path=docProps/custom.xml><?xml version="1.0" encoding="utf-8"?>
<Properties xmlns="http://schemas.openxmlformats.org/officeDocument/2006/custom-properties" xmlns:vt="http://schemas.openxmlformats.org/officeDocument/2006/docPropsVTypes"/>
</file>