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color w:val="B98413"/>
          <w:sz w:val="28"/>
          <w:szCs w:val="28"/>
        </w:rPr>
        <w:t xml:space="preserve">ARYP · MANUAL PENGGUNA STAGING</w:t>
      </w:r>
    </w:p>
    <w:p>
      <w:pPr>
        <w:spacing w:after="180" w:line="276"/>
      </w:pPr>
      <w:r>
        <w:rPr>
          <w:rFonts w:ascii="Arial" w:cs="Arial" w:eastAsia="Arial" w:hAnsi="Arial"/>
          <w:b/>
          <w:bCs/>
          <w:i w:val="false"/>
          <w:iCs w:val="false"/>
          <w:color w:val="211D16"/>
          <w:sz w:val="30"/>
          <w:szCs w:val="30"/>
        </w:rPr>
        <w:t xml:space="preserve">Sistem Transaksi Gadaian Ar Rahnu YaPEIM Premier</w:t>
      </w:r>
    </w:p>
    <w:p>
      <w:pPr>
        <w:spacing w:after="2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16957"/>
          <w:sz w:val="23"/>
          <w:szCs w:val="23"/>
        </w:rPr>
        <w:t xml:space="preserve">Panduan client untuk mencuba, menguji dan memahami keseluruhan demo staging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6E7B6" w:val="clear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1D16"/>
                <w:sz w:val="20"/>
                <w:szCs w:val="20"/>
              </w:rPr>
              <w:t xml:space="preserve">SULIT · SIMULASI · DATA SINTETIK</w:t>
            </w:r>
          </w:p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Manual ini menerangkan environment staging untuk demonstrasi dan UAT awal. Semua pelanggan, nombor, harga, wang, dokumen dan keputusan pada skrin adalah data sintetik. Tiada transaksi sebenar berlaku.</w:t>
            </w:r>
          </w:p>
        </w:tc>
      </w:tr>
    </w:tbl>
    <w:p>
      <w:pPr>
        <w:spacing w:after="2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/>
      </w:r>
    </w:p>
    <w:tbl>
      <w:tblPr>
        <w:tblW w:type="pct" w:w="100%"/>
        <w:tblBorders>
          <w:top w:val="single" w:color="DED6C7" w:sz="4"/>
          <w:left w:val="single" w:color="DED6C7" w:sz="4"/>
          <w:bottom w:val="single" w:color="DED6C7" w:sz="4"/>
          <w:right w:val="single" w:color="DED6C7" w:sz="4"/>
          <w:insideH w:val="single" w:color="DED6C7" w:sz="2"/>
          <w:insideV w:val="single" w:color="DED6C7" w:sz="2"/>
        </w:tblBorders>
      </w:tblPr>
      <w:tblGrid>
        <w:gridCol w:w="2600"/>
        <w:gridCol w:w="6800"/>
      </w:tblGrid>
      <w:tr>
        <w:tc>
          <w:tcPr>
            <w:tcW w:type="dxa" w:w="2600"/>
            <w:shd w:fill="211D16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Maklumat</w:t>
            </w:r>
          </w:p>
        </w:tc>
        <w:tc>
          <w:tcPr>
            <w:tcW w:type="dxa" w:w="6800"/>
            <w:shd w:fill="211D16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26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68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Staging demo ARYP</w:t>
            </w:r>
          </w:p>
        </w:tc>
      </w:tr>
      <w:tr>
        <w:tc>
          <w:tcPr>
            <w:tcW w:type="dxa" w:w="26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URL</w:t>
            </w:r>
          </w:p>
        </w:tc>
        <w:tc>
          <w:tcPr>
            <w:tcW w:type="dxa" w:w="68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https://aryp-staging.rsshost.workers.dev</w:t>
            </w:r>
          </w:p>
        </w:tc>
      </w:tr>
      <w:tr>
        <w:tc>
          <w:tcPr>
            <w:tcW w:type="dxa" w:w="26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Dataset</w:t>
            </w:r>
          </w:p>
        </w:tc>
        <w:tc>
          <w:tcPr>
            <w:tcW w:type="dxa" w:w="68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ARYP-DEMO-SEED-001 · v0.1</w:t>
            </w:r>
          </w:p>
        </w:tc>
      </w:tr>
      <w:tr>
        <w:tc>
          <w:tcPr>
            <w:tcW w:type="dxa" w:w="26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Tarikh manual</w:t>
            </w:r>
          </w:p>
        </w:tc>
        <w:tc>
          <w:tcPr>
            <w:tcW w:type="dxa" w:w="68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17 Ogos 2026</w:t>
            </w:r>
          </w:p>
        </w:tc>
      </w:tr>
      <w:tr>
        <w:tc>
          <w:tcPr>
            <w:tcW w:type="dxa" w:w="26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Status</w:t>
            </w:r>
          </w:p>
        </w:tc>
        <w:tc>
          <w:tcPr>
            <w:tcW w:type="dxa" w:w="68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SYNTHETIC_ONLY · bukan production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8D1734"/>
          <w:sz w:val="20"/>
          <w:szCs w:val="20"/>
        </w:rPr>
        <w:t xml:space="preserve">Untuk perhatian client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18"/>
          <w:szCs w:val="18"/>
        </w:rPr>
        <w:t xml:space="preserve">Gunakan manual ini untuk walkthrough dan UAT berasaskan assumption. Jangan masukkan MyKad sebenar, PII sebenar, nombor akaun sebenar, wang sebenar atau rahsia organisasi. Keputusan polisi/regulatori yang dipaparkan masih perlu dimuktamadkan selepas kontrak dan discovery client.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Kandungan</w:t>
      </w:r>
    </w:p>
    <w:p>
      <w:pPr>
        <w:pStyle w:val="ListParagraph"/>
        <w:numPr>
          <w:ilvl w:val="0"/>
          <w:numId w:val="1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1. Tujuan dan skop manual</w:t>
      </w:r>
    </w:p>
    <w:p>
      <w:pPr>
        <w:pStyle w:val="ListParagraph"/>
        <w:numPr>
          <w:ilvl w:val="0"/>
          <w:numId w:val="1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2. Persediaan sebelum ujian</w:t>
      </w:r>
    </w:p>
    <w:p>
      <w:pPr>
        <w:pStyle w:val="ListParagraph"/>
        <w:numPr>
          <w:ilvl w:val="0"/>
          <w:numId w:val="1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3. Login dan role demo</w:t>
      </w:r>
    </w:p>
    <w:p>
      <w:pPr>
        <w:pStyle w:val="ListParagraph"/>
        <w:numPr>
          <w:ilvl w:val="0"/>
          <w:numId w:val="1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4. Peta modul dan status</w:t>
      </w:r>
    </w:p>
    <w:p>
      <w:pPr>
        <w:pStyle w:val="ListParagraph"/>
        <w:numPr>
          <w:ilvl w:val="0"/>
          <w:numId w:val="1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5. Flow 1 — Dashboard operasi</w:t>
      </w:r>
    </w:p>
    <w:p>
      <w:pPr>
        <w:pStyle w:val="ListParagraph"/>
        <w:numPr>
          <w:ilvl w:val="0"/>
          <w:numId w:val="1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6. Flow 2 — Pelanggan dan risk hold</w:t>
      </w:r>
    </w:p>
    <w:p>
      <w:pPr>
        <w:pStyle w:val="ListParagraph"/>
        <w:numPr>
          <w:ilvl w:val="0"/>
          <w:numId w:val="1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7. Flow 3 — Gadaian baharu dan maker-checker</w:t>
      </w:r>
    </w:p>
    <w:p>
      <w:pPr>
        <w:pStyle w:val="ListParagraph"/>
        <w:numPr>
          <w:ilvl w:val="0"/>
          <w:numId w:val="1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8. Flow 4 — Ansuran dan tebusan</w:t>
      </w:r>
    </w:p>
    <w:p>
      <w:pPr>
        <w:pStyle w:val="ListParagraph"/>
        <w:numPr>
          <w:ilvl w:val="0"/>
          <w:numId w:val="1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9. Flow 5 — Marhun, vault dan stocktake</w:t>
      </w:r>
    </w:p>
    <w:p>
      <w:pPr>
        <w:pStyle w:val="ListParagraph"/>
        <w:numPr>
          <w:ilvl w:val="0"/>
          <w:numId w:val="1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10. Flow 6 — Overdue dan lelongan</w:t>
      </w:r>
    </w:p>
    <w:p>
      <w:pPr>
        <w:pStyle w:val="ListParagraph"/>
        <w:numPr>
          <w:ilvl w:val="0"/>
          <w:numId w:val="1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11. Flow 7 — Teller dan tunai</w:t>
      </w:r>
    </w:p>
    <w:p>
      <w:pPr>
        <w:pStyle w:val="ListParagraph"/>
        <w:numPr>
          <w:ilvl w:val="0"/>
          <w:numId w:val="1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12. Flow 8 — Kelulusan</w:t>
      </w:r>
    </w:p>
    <w:p>
      <w:pPr>
        <w:pStyle w:val="ListParagraph"/>
        <w:numPr>
          <w:ilvl w:val="0"/>
          <w:numId w:val="1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13. Flow 9 — Notifikasi dan dokumen</w:t>
      </w:r>
    </w:p>
    <w:p>
      <w:pPr>
        <w:pStyle w:val="ListParagraph"/>
        <w:numPr>
          <w:ilvl w:val="0"/>
          <w:numId w:val="1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14. Flow 10 — Laporan</w:t>
      </w:r>
    </w:p>
    <w:p>
      <w:pPr>
        <w:pStyle w:val="ListParagraph"/>
        <w:numPr>
          <w:ilvl w:val="0"/>
          <w:numId w:val="1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15. Flow 11 — Pentadbiran dan audit</w:t>
      </w:r>
    </w:p>
    <w:p>
      <w:pPr>
        <w:pStyle w:val="ListParagraph"/>
        <w:numPr>
          <w:ilvl w:val="0"/>
          <w:numId w:val="1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16. Governance Console dan release gates</w:t>
      </w:r>
    </w:p>
    <w:p>
      <w:pPr>
        <w:pStyle w:val="ListParagraph"/>
        <w:numPr>
          <w:ilvl w:val="0"/>
          <w:numId w:val="1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17. Matriks ujian role</w:t>
      </w:r>
    </w:p>
    <w:p>
      <w:pPr>
        <w:pStyle w:val="ListParagraph"/>
        <w:numPr>
          <w:ilvl w:val="0"/>
          <w:numId w:val="1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18. Reset dan pengulangan ujian</w:t>
      </w:r>
    </w:p>
    <w:p>
      <w:pPr>
        <w:pStyle w:val="ListParagraph"/>
        <w:numPr>
          <w:ilvl w:val="0"/>
          <w:numId w:val="1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19. Troubleshooting</w:t>
      </w:r>
    </w:p>
    <w:p>
      <w:pPr>
        <w:pStyle w:val="ListParagraph"/>
        <w:numPr>
          <w:ilvl w:val="0"/>
          <w:numId w:val="1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20. Batasan staging dan borang maklum balas</w:t>
      </w:r>
    </w:p>
    <w:p>
      <w:r>
        <w:br w:type="page"/>
      </w:r>
    </w:p>
    <w:p>
      <w:pPr>
        <w:pStyle w:val="Heading1"/>
        <w:spacing w:after="120" w:before="260"/>
      </w:pPr>
      <w:r>
        <w:t xml:space="preserve">1. Tujuan dan skop manual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19"/>
          <w:szCs w:val="19"/>
        </w:rPr>
        <w:t xml:space="preserve">Manual ini membantu client menguji aliran operasi ARYP secara tersusun. Ia merangkumi login, dashboard, pelanggan, gadaian, valuation, maker-checker, bayaran simulasi, vault, lelongan, cash count, laporan, notifikasi, dokumen, waris, audit dan governance. Setiap flow mempunyai langkah, expected result dan cara reset.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9F4E7" w:val="clear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1D16"/>
                <w:sz w:val="20"/>
                <w:szCs w:val="20"/>
              </w:rPr>
              <w:t xml:space="preserve">Definisi “siap” dalam manual ini</w:t>
            </w:r>
          </w:p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Demo dianggap berjaya apabila langkah boleh dimainkan, status berubah, role yang salah ditolak dan audit event direkodkan. “Berjaya” di sini tidak bermaksud production approval, legal approval atau transaksi kewangan sebenar.</w:t>
            </w:r>
          </w:p>
        </w:tc>
      </w:tr>
    </w:tbl>
    <w:p>
      <w:pPr>
        <w:pStyle w:val="Heading1"/>
        <w:spacing w:after="120" w:before="260"/>
      </w:pPr>
      <w:r>
        <w:t xml:space="preserve">2. Persediaan sebelum ujian</w:t>
      </w:r>
    </w:p>
    <w:p>
      <w:pPr>
        <w:pStyle w:val="ListParagraph"/>
        <w:numPr>
          <w:ilvl w:val="0"/>
          <w:numId w:val="1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Gunakan laptop/desktop dengan Chrome, Edge atau Safari versi terkini.</w:t>
      </w:r>
    </w:p>
    <w:p>
      <w:pPr>
        <w:pStyle w:val="ListParagraph"/>
        <w:numPr>
          <w:ilvl w:val="0"/>
          <w:numId w:val="1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Buka URL staging: https://aryp-staging.rsshost.workers.dev.</w:t>
      </w:r>
    </w:p>
    <w:p>
      <w:pPr>
        <w:pStyle w:val="ListParagraph"/>
        <w:numPr>
          <w:ilvl w:val="0"/>
          <w:numId w:val="1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Pastikan popup/window baharu dibenarkan jika mahu membuka Governance Console.</w:t>
      </w:r>
    </w:p>
    <w:p>
      <w:pPr>
        <w:pStyle w:val="ListParagraph"/>
        <w:numPr>
          <w:ilvl w:val="0"/>
          <w:numId w:val="1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Gunakan hanya butang akaun demo pada login page; jangan masukkan data client sebenar.</w:t>
      </w:r>
    </w:p>
    <w:p>
      <w:pPr>
        <w:pStyle w:val="ListParagraph"/>
        <w:numPr>
          <w:ilvl w:val="0"/>
          <w:numId w:val="1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Sediakan 45–60 minit untuk walkthrough penuh dan 15 minit untuk regression selepas reset.</w:t>
      </w:r>
    </w:p>
    <w:p>
      <w:pPr>
        <w:pStyle w:val="ListParagraph"/>
        <w:numPr>
          <w:ilvl w:val="0"/>
          <w:numId w:val="1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Catat role, skrin, langkah, expected result dan actual result dalam borang maklum balas di akhir manual.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1C9" w:val="clear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1D16"/>
                <w:sz w:val="20"/>
                <w:szCs w:val="20"/>
              </w:rPr>
              <w:t xml:space="preserve">Prinsip utama ujian</w:t>
            </w:r>
          </w:p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Setiap flow boleh diulang. Jika state menjadi bercampur, pilih “Reset demo”, log keluar dan masuk semula dengan role yang diperlukan.</w:t>
            </w:r>
          </w:p>
        </w:tc>
      </w:tr>
    </w:tbl>
    <w:p>
      <w:pPr>
        <w:pStyle w:val="Heading1"/>
        <w:spacing w:after="120" w:before="260"/>
      </w:pPr>
      <w:r>
        <w:t xml:space="preserve">3. Login dan role demo</w:t>
      </w:r>
    </w:p>
    <w:p>
      <w:pPr>
        <w:spacing w:after="60" w:before="10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16957"/>
          <w:sz w:val="16"/>
          <w:szCs w:val="16"/>
        </w:rPr>
        <w:t xml:space="preserve">Rajah 1 — Login page staging dengan butang pantas enam role demo.</w:t>
      </w:r>
    </w:p>
    <w:tbl>
      <w:tblPr>
        <w:tblW w:type="pct" w:w="100%"/>
        <w:tblBorders>
          <w:top w:val="single" w:color="DED6C7" w:sz="4"/>
          <w:left w:val="single" w:color="DED6C7" w:sz="4"/>
          <w:bottom w:val="single" w:color="DED6C7" w:sz="4"/>
          <w:right w:val="single" w:color="DED6C7" w:sz="4"/>
          <w:insideH w:val="single" w:color="DED6C7" w:sz="2"/>
          <w:insideV w:val="single" w:color="DED6C7" w:sz="2"/>
        </w:tblBorders>
      </w:tblPr>
      <w:tblGrid>
        <w:gridCol w:w="2400"/>
        <w:gridCol w:w="3400"/>
        <w:gridCol w:w="4200"/>
      </w:tblGrid>
      <w:tr>
        <w:tc>
          <w:tcPr>
            <w:tcW w:type="dxa" w:w="2400"/>
            <w:shd w:fill="211D16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400"/>
            <w:shd w:fill="211D16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Digunakan untuk</w:t>
            </w:r>
          </w:p>
        </w:tc>
        <w:tc>
          <w:tcPr>
            <w:tcW w:type="dxa" w:w="4200"/>
            <w:shd w:fill="211D16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Contoh ujian</w:t>
            </w:r>
          </w:p>
        </w:tc>
      </w:tr>
      <w:tr>
        <w:tc>
          <w:tcPr>
            <w:tcW w:type="dxa" w:w="24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TELLER</w:t>
            </w:r>
          </w:p>
        </w:tc>
        <w:tc>
          <w:tcPr>
            <w:tcW w:type="dxa" w:w="34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Kaunter, pelanggan, cash count, bayaran</w:t>
            </w:r>
          </w:p>
        </w:tc>
        <w:tc>
          <w:tcPr>
            <w:tcW w:type="dxa" w:w="42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Load customer, cash count, redemption</w:t>
            </w:r>
          </w:p>
        </w:tc>
      </w:tr>
      <w:tr>
        <w:tc>
          <w:tcPr>
            <w:tcW w:type="dxa" w:w="24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BRANCH_MANAGER</w:t>
            </w:r>
          </w:p>
        </w:tc>
        <w:tc>
          <w:tcPr>
            <w:tcW w:type="dxa" w:w="34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Semakan, kelulusan, risk review, lelongan</w:t>
            </w:r>
          </w:p>
        </w:tc>
        <w:tc>
          <w:tcPr>
            <w:tcW w:type="dxa" w:w="42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Approve pledge, review risk, auction</w:t>
            </w:r>
          </w:p>
        </w:tc>
      </w:tr>
      <w:tr>
        <w:tc>
          <w:tcPr>
            <w:tcW w:type="dxa" w:w="24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VAULT_CUSTODIAN</w:t>
            </w:r>
          </w:p>
        </w:tc>
        <w:tc>
          <w:tcPr>
            <w:tcW w:type="dxa" w:w="34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Penerimaan dan kawalan vault</w:t>
            </w:r>
          </w:p>
        </w:tc>
        <w:tc>
          <w:tcPr>
            <w:tcW w:type="dxa" w:w="42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Vault accept, check-in, stocktake</w:t>
            </w:r>
          </w:p>
        </w:tc>
      </w:tr>
      <w:tr>
        <w:tc>
          <w:tcPr>
            <w:tcW w:type="dxa" w:w="24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FRANCHISOR_SUPERVISOR</w:t>
            </w:r>
          </w:p>
        </w:tc>
        <w:tc>
          <w:tcPr>
            <w:tcW w:type="dxa" w:w="34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Network/cawangan dan governance</w:t>
            </w:r>
          </w:p>
        </w:tc>
        <w:tc>
          <w:tcPr>
            <w:tcW w:type="dxa" w:w="42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Gate review, consolidated view</w:t>
            </w:r>
          </w:p>
        </w:tc>
      </w:tr>
      <w:tr>
        <w:tc>
          <w:tcPr>
            <w:tcW w:type="dxa" w:w="24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EXECUTIVE</w:t>
            </w:r>
          </w:p>
        </w:tc>
        <w:tc>
          <w:tcPr>
            <w:tcW w:type="dxa" w:w="34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Dashboard dan keputusan lebih tinggi</w:t>
            </w:r>
          </w:p>
        </w:tc>
        <w:tc>
          <w:tcPr>
            <w:tcW w:type="dxa" w:w="42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Gate review, report export</w:t>
            </w:r>
          </w:p>
        </w:tc>
      </w:tr>
      <w:tr>
        <w:tc>
          <w:tcPr>
            <w:tcW w:type="dxa" w:w="24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AUDITOR</w:t>
            </w:r>
          </w:p>
        </w:tc>
        <w:tc>
          <w:tcPr>
            <w:tcW w:type="dxa" w:w="34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Audit, evidence dan semakan network</w:t>
            </w:r>
          </w:p>
        </w:tc>
        <w:tc>
          <w:tcPr>
            <w:tcW w:type="dxa" w:w="42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Tenant probe, DSR, gate evidence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18"/>
          <w:szCs w:val="18"/>
        </w:rPr>
        <w:t xml:space="preserve">Selepas login, mockup mempunyai pilihan “Lihat sebagai” untuk menukar perspektif operasi. Untuk ujian API/authorization, logout dan pilih akaun role yang sepadan.</w:t>
      </w:r>
    </w:p>
    <w:p>
      <w:pPr>
        <w:pStyle w:val="Heading1"/>
        <w:spacing w:after="120" w:before="260"/>
      </w:pPr>
      <w:r>
        <w:t xml:space="preserve">4. Peta modul dan status</w:t>
      </w:r>
    </w:p>
    <w:tbl>
      <w:tblPr>
        <w:tblW w:type="pct" w:w="100%"/>
        <w:tblBorders>
          <w:top w:val="single" w:color="DED6C7" w:sz="4"/>
          <w:left w:val="single" w:color="DED6C7" w:sz="4"/>
          <w:bottom w:val="single" w:color="DED6C7" w:sz="4"/>
          <w:right w:val="single" w:color="DED6C7" w:sz="4"/>
          <w:insideH w:val="single" w:color="DED6C7" w:sz="2"/>
          <w:insideV w:val="single" w:color="DED6C7" w:sz="2"/>
        </w:tblBorders>
      </w:tblPr>
      <w:tblGrid>
        <w:gridCol w:w="2600"/>
        <w:gridCol w:w="2600"/>
        <w:gridCol w:w="4800"/>
      </w:tblGrid>
      <w:tr>
        <w:tc>
          <w:tcPr>
            <w:tcW w:type="dxa" w:w="2600"/>
            <w:shd w:fill="211D16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2600"/>
            <w:shd w:fill="211D16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staging</w:t>
            </w:r>
          </w:p>
        </w:tc>
        <w:tc>
          <w:tcPr>
            <w:tcW w:type="dxa" w:w="4800"/>
            <w:shd w:fill="211D16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Apa yang boleh diuji</w:t>
            </w:r>
          </w:p>
        </w:tc>
      </w:tr>
      <w:tr>
        <w:tc>
          <w:tcPr>
            <w:tcW w:type="dxa" w:w="26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Auth &amp; role</w:t>
            </w:r>
          </w:p>
        </w:tc>
        <w:tc>
          <w:tcPr>
            <w:tcW w:type="dxa" w:w="26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SIAP · sintetik</w:t>
            </w:r>
          </w:p>
        </w:tc>
        <w:tc>
          <w:tcPr>
            <w:tcW w:type="dxa" w:w="48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Login, logout, role switching</w:t>
            </w:r>
          </w:p>
        </w:tc>
      </w:tr>
      <w:tr>
        <w:tc>
          <w:tcPr>
            <w:tcW w:type="dxa" w:w="26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Multi-cawangan</w:t>
            </w:r>
          </w:p>
        </w:tc>
        <w:tc>
          <w:tcPr>
            <w:tcW w:type="dxa" w:w="26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SIAP · assumption</w:t>
            </w:r>
          </w:p>
        </w:tc>
        <w:tc>
          <w:tcPr>
            <w:tcW w:type="dxa" w:w="48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Branch scope dan network oversight</w:t>
            </w:r>
          </w:p>
        </w:tc>
      </w:tr>
      <w:tr>
        <w:tc>
          <w:tcPr>
            <w:tcW w:type="dxa" w:w="26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Pelanggan &amp; risk</w:t>
            </w:r>
          </w:p>
        </w:tc>
        <w:tc>
          <w:tcPr>
            <w:tcW w:type="dxa" w:w="26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SIAP · fixture</w:t>
            </w:r>
          </w:p>
        </w:tc>
        <w:tc>
          <w:tcPr>
            <w:tcW w:type="dxa" w:w="48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Repeat review, blacklist hold</w:t>
            </w:r>
          </w:p>
        </w:tc>
      </w:tr>
      <w:tr>
        <w:tc>
          <w:tcPr>
            <w:tcW w:type="dxa" w:w="26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Gadaian &amp; formula</w:t>
            </w:r>
          </w:p>
        </w:tc>
        <w:tc>
          <w:tcPr>
            <w:tcW w:type="dxa" w:w="26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SIAP · provisional</w:t>
            </w:r>
          </w:p>
        </w:tc>
        <w:tc>
          <w:tcPr>
            <w:tcW w:type="dxa" w:w="48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Valuation, quote, maker-checker</w:t>
            </w:r>
          </w:p>
        </w:tc>
      </w:tr>
      <w:tr>
        <w:tc>
          <w:tcPr>
            <w:tcW w:type="dxa" w:w="26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Bayaran &amp; cash</w:t>
            </w:r>
          </w:p>
        </w:tc>
        <w:tc>
          <w:tcPr>
            <w:tcW w:type="dxa" w:w="26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SIAP · simulasi</w:t>
            </w:r>
          </w:p>
        </w:tc>
        <w:tc>
          <w:tcPr>
            <w:tcW w:type="dxa" w:w="48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Cash-out, redemption, cash count, bank-in</w:t>
            </w:r>
          </w:p>
        </w:tc>
      </w:tr>
      <w:tr>
        <w:tc>
          <w:tcPr>
            <w:tcW w:type="dxa" w:w="26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Vault &amp; lelongan</w:t>
            </w:r>
          </w:p>
        </w:tc>
        <w:tc>
          <w:tcPr>
            <w:tcW w:type="dxa" w:w="26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SIAP · simulasi</w:t>
            </w:r>
          </w:p>
        </w:tc>
        <w:tc>
          <w:tcPr>
            <w:tcW w:type="dxa" w:w="48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Dual control, stocktake, overdue, auction</w:t>
            </w:r>
          </w:p>
        </w:tc>
      </w:tr>
      <w:tr>
        <w:tc>
          <w:tcPr>
            <w:tcW w:type="dxa" w:w="26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Notifikasi &amp; laporan</w:t>
            </w:r>
          </w:p>
        </w:tc>
        <w:tc>
          <w:tcPr>
            <w:tcW w:type="dxa" w:w="26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SIAP · mock provider</w:t>
            </w:r>
          </w:p>
        </w:tc>
        <w:tc>
          <w:tcPr>
            <w:tcW w:type="dxa" w:w="48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Queue, retry, export descriptor</w:t>
            </w:r>
          </w:p>
        </w:tc>
      </w:tr>
      <w:tr>
        <w:tc>
          <w:tcPr>
            <w:tcW w:type="dxa" w:w="26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Dokumen &amp; waris</w:t>
            </w:r>
          </w:p>
        </w:tc>
        <w:tc>
          <w:tcPr>
            <w:tcW w:type="dxa" w:w="26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SIAP · sintetik</w:t>
            </w:r>
          </w:p>
        </w:tc>
        <w:tc>
          <w:tcPr>
            <w:tcW w:type="dxa" w:w="48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Review evidence dan claim review</w:t>
            </w:r>
          </w:p>
        </w:tc>
      </w:tr>
      <w:tr>
        <w:tc>
          <w:tcPr>
            <w:tcW w:type="dxa" w:w="26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Governance &amp; gates</w:t>
            </w:r>
          </w:p>
        </w:tc>
        <w:tc>
          <w:tcPr>
            <w:tcW w:type="dxa" w:w="26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SIAP · pending client</w:t>
            </w:r>
          </w:p>
        </w:tc>
        <w:tc>
          <w:tcPr>
            <w:tcW w:type="dxa" w:w="48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Policy registry, G1–G12 review</w:t>
            </w:r>
          </w:p>
        </w:tc>
      </w:tr>
      <w:tr>
        <w:tc>
          <w:tcPr>
            <w:tcW w:type="dxa" w:w="26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Production release</w:t>
            </w:r>
          </w:p>
        </w:tc>
        <w:tc>
          <w:tcPr>
            <w:tcW w:type="dxa" w:w="26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BELUM DILULUSKAN</w:t>
            </w:r>
          </w:p>
        </w:tc>
        <w:tc>
          <w:tcPr>
            <w:tcW w:type="dxa" w:w="48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Perlu client decision, UAT, pilot dan sign-off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t xml:space="preserve">5. Flow 1 — Dashboard operasi</w:t>
      </w:r>
    </w:p>
    <w:p>
      <w:pPr>
        <w:spacing w:after="60" w:before="10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16957"/>
          <w:sz w:val="16"/>
          <w:szCs w:val="16"/>
        </w:rPr>
        <w:t xml:space="preserve">Rajah 2 — Ringkasan operasi selepas login.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211D16"/>
          <w:sz w:val="20"/>
          <w:szCs w:val="20"/>
        </w:rPr>
        <w:t xml:space="preserve">Langkah ujian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Login sebagai TELLER.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Pastikan dashboard memaparkan jumlah pelanggan, pledge, tunai simulasi dan dataset.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Semak “Tugas seterusnya”, status pledge, status vault dan status lelongan.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Klik menu lain kemudian kembali ke Ringkasan untuk memastikan navigasi berfungsi.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9F4E7" w:val="clear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1D16"/>
                <w:sz w:val="20"/>
                <w:szCs w:val="20"/>
              </w:rPr>
              <w:t xml:space="preserve">Expected result</w:t>
            </w:r>
          </w:p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Dashboard berjaya memaparkan data sintetik, label SYNTHETIC_ONLY/SIMULATION dan tiada error. Nilai RM pada skrin bukan wang sebenar.</w:t>
            </w:r>
          </w:p>
        </w:tc>
      </w:tr>
    </w:tbl>
    <w:p>
      <w:pPr>
        <w:pStyle w:val="Heading1"/>
        <w:spacing w:after="120" w:before="260"/>
      </w:pPr>
      <w:r>
        <w:t xml:space="preserve">6. Flow 2 — Pelanggan dan risk hold</w:t>
      </w:r>
    </w:p>
    <w:p>
      <w:pPr>
        <w:spacing w:after="60" w:before="10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16957"/>
          <w:sz w:val="16"/>
          <w:szCs w:val="16"/>
        </w:rPr>
        <w:t xml:space="preserve">Rajah 3 — Modul pelanggan, risk hold dan waris.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211D16"/>
          <w:sz w:val="20"/>
          <w:szCs w:val="20"/>
        </w:rPr>
        <w:t xml:space="preserve">Ujian A — pelanggan repeat review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Klik Pelanggan.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Klik “Muat CUS-003 · Repeat review”.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Semak sejarah transaksi dan label REPEAT_REVIEW.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Klik “Semak risk API” sebagai manager.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Expected result: semakan berjaya dan audit event direkodkan.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211D16"/>
          <w:sz w:val="20"/>
          <w:szCs w:val="20"/>
        </w:rPr>
        <w:t xml:space="preserve">Ujian B — blacklist hold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Klik “Muat CUS-005 · Blocked review”.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Klik “Semak risk API”.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Expected result: tindakan ditolak dengan status blacklist_hold; tiada bypass dibenarkan.</w:t>
      </w:r>
    </w:p>
    <w:p>
      <w:pPr>
        <w:pStyle w:val="Heading1"/>
        <w:spacing w:after="120" w:before="260"/>
      </w:pPr>
      <w:r>
        <w:t xml:space="preserve">7. Flow 3 — Gadaian baharu dan maker-checker</w:t>
      </w:r>
    </w:p>
    <w:p>
      <w:pPr>
        <w:spacing w:after="60" w:before="10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16957"/>
          <w:sz w:val="16"/>
          <w:szCs w:val="16"/>
        </w:rPr>
        <w:t xml:space="preserve">Rajah 4 — Flow gadaian baharu dan maker-checker.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Login sebagai TELLER dan buka Gadaian baharu.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Semak pelanggan, item marhun, purity, berat dan valuation fixture.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Semak quote financing dengan margin formula provisional.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Submit pledge sebagai maker.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Logout dan login sebagai BRANCH_MANAGER.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Approve pledge. Pastikan maker asal tidak sama dengan approver.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Logout dan login sebagai TELLER; lakukan cash-out simulasi.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Logout dan login sebagai VAULT_CUSTODIAN; lakukan vault check-in.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Kembali sebagai BRANCH_MANAGER dan lengkapkan pledge jika diperlukan.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9F4E7" w:val="clear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1D16"/>
                <w:sz w:val="20"/>
                <w:szCs w:val="20"/>
              </w:rPr>
              <w:t xml:space="preserve">Expected result</w:t>
            </w:r>
          </w:p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Pledge bergerak melalui PENDING_SIGNATURE → APPROVED → CASH_OUT_SIMULATED → PLEDGED_ACTIVE. Cubaan self-approval mesti ditolak dengan maker_cannot_self_approve.</w:t>
            </w:r>
          </w:p>
        </w:tc>
      </w:tr>
    </w:tbl>
    <w:p>
      <w:pPr>
        <w:pStyle w:val="Heading1"/>
        <w:spacing w:after="120" w:before="260"/>
      </w:pPr>
      <w:r>
        <w:t xml:space="preserve">8. Flow 4 — Ansuran dan tebusan</w:t>
      </w:r>
    </w:p>
    <w:p>
      <w:pPr>
        <w:spacing w:after="60" w:before="10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16957"/>
          <w:sz w:val="16"/>
          <w:szCs w:val="16"/>
        </w:rPr>
        <w:t xml:space="preserve">Rajah 5 — Modul ansuran dan tebusan simulasi.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Buka Ansuran &amp; tebusan.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Pilih rekod PLG-002 yang tersedia pada skrin.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Semak jumlah dan status dokumen.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Lakukan tebusan simulasi sebagai TELLER atau manager.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Jika legal hold aktif, expected result ialah tindakan redemption ditolak.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Ulang submit untuk mengesahkan flow idempotent/simulasi tidak menggandakan event operasi.</w:t>
      </w:r>
    </w:p>
    <w:p>
      <w:pPr>
        <w:pStyle w:val="Heading1"/>
        <w:spacing w:after="120" w:before="260"/>
      </w:pPr>
      <w:r>
        <w:t xml:space="preserve">9. Flow 5 — Marhun, vault dan stocktake</w:t>
      </w:r>
    </w:p>
    <w:p>
      <w:pPr>
        <w:spacing w:after="60" w:before="10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16957"/>
          <w:sz w:val="16"/>
          <w:szCs w:val="16"/>
        </w:rPr>
        <w:t xml:space="preserve">Rajah 6 — Modul marhun, vault, dual control dan stocktake.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Buka Marhun &amp; vault.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Klik penerimaan beg vault yang tersedia.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Klik “Jalankan stocktake fixture”.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Semak padanan 4/4 dan variance sifar.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Klik percubaan check-out tanpa dual control.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Expected result: tindakan ditolak dengan dual_control_required.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Ulang check-in dengan role VAULT_CUSTODIAN atau BRANCH_MANAGER yang sah.</w:t>
      </w:r>
    </w:p>
    <w:p>
      <w:pPr>
        <w:pStyle w:val="Heading1"/>
        <w:spacing w:after="120" w:before="260"/>
      </w:pPr>
      <w:r>
        <w:t xml:space="preserve">10. Flow 6 — Overdue dan lelongan</w:t>
      </w:r>
    </w:p>
    <w:p>
      <w:pPr>
        <w:spacing w:after="60" w:before="10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16957"/>
          <w:sz w:val="16"/>
          <w:szCs w:val="16"/>
        </w:rPr>
        <w:t xml:space="preserve">Rajah 7 — Overdue dan hasil lelong simulasi.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Buka Lelongan.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Majukan PLG-003 ke overdue simulasi.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Pilih hasil AUC-001 surplus. Semak label SURPLUS_SIMULATED.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Reset demo.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Ulang dan pilih AUC-002 shortfall. Semak label SHORTFALL_REVIEW_SIMULATED.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Pastikan tiada refund, kutipan atau settlement sebenar dibuat.</w:t>
      </w:r>
    </w:p>
    <w:p>
      <w:pPr>
        <w:pStyle w:val="Heading1"/>
        <w:spacing w:after="120" w:before="260"/>
      </w:pPr>
      <w:r>
        <w:t xml:space="preserve">11. Flow 7 — Teller dan tunai</w:t>
      </w:r>
    </w:p>
    <w:p>
      <w:pPr>
        <w:spacing w:after="60" w:before="10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16957"/>
          <w:sz w:val="16"/>
          <w:szCs w:val="16"/>
        </w:rPr>
        <w:t xml:space="preserve">Rajah 8 — Kiraan tunai dan tutup hari.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Buka Teller &amp; tunai.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Masukkan nilai cash count sama dengan expected balance dan semak variance RM0.00.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Masukkan nilai berbeza tanpa sebab. Expected result: cash_variance_reason_required.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Masukkan nilai berbeza dengan sebab. Expected result: VARIANCE_REVIEW_SIMULATED.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Lengkapkan checklist tutup hari dan gunakan variance sifar.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Expected result: day end bertukar CLOSED_SIMULATED.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Jika mahu uji bank-in, gunakan slip reference sintetik sahaja.</w:t>
      </w:r>
    </w:p>
    <w:p>
      <w:pPr>
        <w:pStyle w:val="Heading1"/>
        <w:spacing w:after="120" w:before="260"/>
      </w:pPr>
      <w:r>
        <w:t xml:space="preserve">12. Flow 8 — Kelulusan</w:t>
      </w:r>
    </w:p>
    <w:p>
      <w:pPr>
        <w:spacing w:after="60" w:before="10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16957"/>
          <w:sz w:val="16"/>
          <w:szCs w:val="16"/>
        </w:rPr>
        <w:t xml:space="preserve">Rajah 9 — Peti masuk kelulusan dan had kuasa.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Login sebagai BRANCH_MANAGER atau role governance yang sesuai.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Buka Kelulusan.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Semak item pledge, float, void dan variance.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Lulus atau tolak item yang disediakan.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Semak had kuasa dan separation of duties.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Ulang dengan TELLER untuk memastikan role yang salah ditolak.</w:t>
      </w:r>
    </w:p>
    <w:p>
      <w:pPr>
        <w:pStyle w:val="Heading1"/>
        <w:spacing w:after="120" w:before="260"/>
      </w:pPr>
      <w:r>
        <w:t xml:space="preserve">13. Flow 9 — Notifikasi dan dokumen</w:t>
      </w:r>
    </w:p>
    <w:p>
      <w:pPr>
        <w:spacing w:after="60" w:before="10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16957"/>
          <w:sz w:val="16"/>
          <w:szCs w:val="16"/>
        </w:rPr>
        <w:t xml:space="preserve">Rajah 10 — Notifikasi, dokumen sintetik dan bukti penghantaran.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Buka Notifikasi &amp; dokumen.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Semak status DELIVERED_SIMULATED, FAILED_SIMULATED dan QUEUED_SIMULATED.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Semak destination yang telah dimask.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Jika ada notifikasi gagal, gunakan retry sebagai manager/supervisor.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Semak dokumen DOC-001, DOC-002 dan DOC-003.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Klik Semak pada dokumen dan pilih APPROVED/REJECTED/REQUESTED.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Masukkan evidence sintetik. Expected result: review direkodkan.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Buka rekod waris dan cuba semakan tuntutan dengan rujukan DOC-002.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1C9" w:val="clear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1D16"/>
                <w:sz w:val="20"/>
                <w:szCs w:val="20"/>
              </w:rPr>
              <w:t xml:space="preserve">Nota dokumen</w:t>
            </w:r>
          </w:p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Tiada upload MyKad, e-signature atau dokumen undang-undang sebenar. Semua dokumen ditanda CONFIDENTIAL_SYNTHETIC dan DEMO—NOT PRODUCTION.</w:t>
            </w:r>
          </w:p>
        </w:tc>
      </w:tr>
    </w:tbl>
    <w:p>
      <w:pPr>
        <w:pStyle w:val="Heading1"/>
        <w:spacing w:after="120" w:before="260"/>
      </w:pPr>
      <w:r>
        <w:t xml:space="preserve">14. Flow 10 — Laporan</w:t>
      </w:r>
    </w:p>
    <w:p>
      <w:pPr>
        <w:spacing w:after="60" w:before="10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16957"/>
          <w:sz w:val="16"/>
          <w:szCs w:val="16"/>
        </w:rPr>
        <w:t xml:space="preserve">Rajah 11 — Laporan operasi dan drill-down.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Buka Laporan.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Buka FR-001, BR-001 dan PLG-001 melalui drill-down.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Semak scope NETWORK atau BRANCH_SCOPED mengikut role.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Semak metric pelanggan, pledge, financing dan cash simulasi.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Jika role dibenarkan, cuba export CSV/PDF/XLSX.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Expected result: sistem memulangkan descriptor READY_SIMULATED; fail sebenar tidak dimuat turun dalam demo.</w:t>
      </w:r>
    </w:p>
    <w:p>
      <w:pPr>
        <w:pStyle w:val="Heading1"/>
        <w:spacing w:after="120" w:before="260"/>
      </w:pPr>
      <w:r>
        <w:t xml:space="preserve">15. Flow 11 — Pentadbiran dan audit</w:t>
      </w:r>
    </w:p>
    <w:p>
      <w:pPr>
        <w:spacing w:after="60" w:before="10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16957"/>
          <w:sz w:val="16"/>
          <w:szCs w:val="16"/>
        </w:rPr>
        <w:t xml:space="preserve">Rajah 12 — Pentadbiran, polisi operasi dan tenant boundary.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Buka Pentadbiran.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Semak formula, kadar, fi, had kuasa, integrasi dan status operasi.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Klik “Cuba akses BR-999 dari BR-001”.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Expected result: tenant_boundary ditolak dan event DENIED direkodkan.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Semak audit terkini dan correlation ID.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Semak bahawa semua nilai dipaparkan sebagai sintetik/simulasi.</w:t>
      </w:r>
    </w:p>
    <w:p>
      <w:pPr>
        <w:pStyle w:val="Heading1"/>
        <w:spacing w:after="120" w:before="260"/>
      </w:pPr>
      <w:r>
        <w:t xml:space="preserve">16. Governance Console dan release gates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19"/>
          <w:szCs w:val="19"/>
        </w:rPr>
        <w:t xml:space="preserve">Selepas login, klik “Polisi &amp; gates” pada bar atas atau buka /governance.html secara terus. Console ini memaparkan formula, data lifecycle, privacy, hosting, regulatory registry, NFR, notifikasi, laporan, kes, valuation, finance, dokumen, waris dan G1–G12.</w:t>
      </w:r>
    </w:p>
    <w:tbl>
      <w:tblPr>
        <w:tblW w:type="pct" w:w="100%"/>
        <w:tblBorders>
          <w:top w:val="single" w:color="DED6C7" w:sz="4"/>
          <w:left w:val="single" w:color="DED6C7" w:sz="4"/>
          <w:bottom w:val="single" w:color="DED6C7" w:sz="4"/>
          <w:right w:val="single" w:color="DED6C7" w:sz="4"/>
          <w:insideH w:val="single" w:color="DED6C7" w:sz="2"/>
          <w:insideV w:val="single" w:color="DED6C7" w:sz="2"/>
        </w:tblBorders>
      </w:tblPr>
      <w:tblGrid>
        <w:gridCol w:w="2300"/>
        <w:gridCol w:w="4100"/>
        <w:gridCol w:w="3600"/>
      </w:tblGrid>
      <w:tr>
        <w:tc>
          <w:tcPr>
            <w:tcW w:type="dxa" w:w="2300"/>
            <w:shd w:fill="211D16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Bahagian</w:t>
            </w:r>
          </w:p>
        </w:tc>
        <w:tc>
          <w:tcPr>
            <w:tcW w:type="dxa" w:w="4100"/>
            <w:shd w:fill="211D16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Cara uji</w:t>
            </w:r>
          </w:p>
        </w:tc>
        <w:tc>
          <w:tcPr>
            <w:tcW w:type="dxa" w:w="3600"/>
            <w:shd w:fill="211D16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23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Policies</w:t>
            </w:r>
          </w:p>
        </w:tc>
        <w:tc>
          <w:tcPr>
            <w:tcW w:type="dxa" w:w="41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Semak version dan classification</w:t>
            </w:r>
          </w:p>
        </w:tc>
        <w:tc>
          <w:tcPr>
            <w:tcW w:type="dxa" w:w="36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ACTIVE tetapi ASSUMED—NOT APPROVED</w:t>
            </w:r>
          </w:p>
        </w:tc>
      </w:tr>
      <w:tr>
        <w:tc>
          <w:tcPr>
            <w:tcW w:type="dxa" w:w="23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G1–G12</w:t>
            </w:r>
          </w:p>
        </w:tc>
        <w:tc>
          <w:tcPr>
            <w:tcW w:type="dxa" w:w="41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Pilih status dan simpan note/evidence</w:t>
            </w:r>
          </w:p>
        </w:tc>
        <w:tc>
          <w:tcPr>
            <w:tcW w:type="dxa" w:w="36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PASSED/WAIVED perlu note + evidence</w:t>
            </w:r>
          </w:p>
        </w:tc>
      </w:tr>
      <w:tr>
        <w:tc>
          <w:tcPr>
            <w:tcW w:type="dxa" w:w="23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Regulatory</w:t>
            </w:r>
          </w:p>
        </w:tc>
        <w:tc>
          <w:tcPr>
            <w:tcW w:type="dxa" w:w="41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Semak source dan applicability</w:t>
            </w:r>
          </w:p>
        </w:tc>
        <w:tc>
          <w:tcPr>
            <w:tcW w:type="dxa" w:w="36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CLIENT_TO_CONFIRM / PENDING_CLIENT</w:t>
            </w:r>
          </w:p>
        </w:tc>
      </w:tr>
      <w:tr>
        <w:tc>
          <w:tcPr>
            <w:tcW w:type="dxa" w:w="23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NFR</w:t>
            </w:r>
          </w:p>
        </w:tc>
        <w:tc>
          <w:tcPr>
            <w:tcW w:type="dxa" w:w="41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Semak target dan acceptance</w:t>
            </w:r>
          </w:p>
        </w:tc>
        <w:tc>
          <w:tcPr>
            <w:tcW w:type="dxa" w:w="36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Tiada SLA angka diluluskan</w:t>
            </w:r>
          </w:p>
        </w:tc>
      </w:tr>
      <w:tr>
        <w:tc>
          <w:tcPr>
            <w:tcW w:type="dxa" w:w="23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Documents &amp; heirs</w:t>
            </w:r>
          </w:p>
        </w:tc>
        <w:tc>
          <w:tcPr>
            <w:tcW w:type="dxa" w:w="41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Semak/review dengan evidence</w:t>
            </w:r>
          </w:p>
        </w:tc>
        <w:tc>
          <w:tcPr>
            <w:tcW w:type="dxa" w:w="36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Role dan branch check dikuatkuasakan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6E7B6" w:val="clear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1D16"/>
                <w:sz w:val="20"/>
                <w:szCs w:val="20"/>
              </w:rPr>
              <w:t xml:space="preserve">Penting</w:t>
            </w:r>
          </w:p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Status gate dalam demo tidak memberikan production approval. Semua G1–G12 perlu evidence sebenar, UAT, pilot dan sign-off client sebelum release production.</w:t>
            </w:r>
          </w:p>
        </w:tc>
      </w:tr>
    </w:tbl>
    <w:p>
      <w:pPr>
        <w:pStyle w:val="Heading1"/>
        <w:spacing w:after="120" w:before="260"/>
      </w:pPr>
      <w:r>
        <w:t xml:space="preserve">17. Matriks ujian role</w:t>
      </w:r>
    </w:p>
    <w:tbl>
      <w:tblPr>
        <w:tblW w:type="pct" w:w="100%"/>
        <w:tblBorders>
          <w:top w:val="single" w:color="DED6C7" w:sz="4"/>
          <w:left w:val="single" w:color="DED6C7" w:sz="4"/>
          <w:bottom w:val="single" w:color="DED6C7" w:sz="4"/>
          <w:right w:val="single" w:color="DED6C7" w:sz="4"/>
          <w:insideH w:val="single" w:color="DED6C7" w:sz="2"/>
          <w:insideV w:val="single" w:color="DED6C7" w:sz="2"/>
        </w:tblBorders>
      </w:tblPr>
      <w:tblGrid>
        <w:gridCol w:w="2600"/>
        <w:gridCol w:w="1100"/>
        <w:gridCol w:w="1100"/>
        <w:gridCol w:w="1100"/>
        <w:gridCol w:w="1300"/>
        <w:gridCol w:w="1300"/>
        <w:gridCol w:w="1300"/>
      </w:tblGrid>
      <w:tr>
        <w:tc>
          <w:tcPr>
            <w:tcW w:type="dxa" w:w="2600"/>
            <w:shd w:fill="211D16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Aktiviti</w:t>
            </w:r>
          </w:p>
        </w:tc>
        <w:tc>
          <w:tcPr>
            <w:tcW w:type="dxa" w:w="1100"/>
            <w:shd w:fill="211D16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TELLER</w:t>
            </w:r>
          </w:p>
        </w:tc>
        <w:tc>
          <w:tcPr>
            <w:tcW w:type="dxa" w:w="1100"/>
            <w:shd w:fill="211D16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dxa" w:w="1100"/>
            <w:shd w:fill="211D16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VAULT</w:t>
            </w:r>
          </w:p>
        </w:tc>
        <w:tc>
          <w:tcPr>
            <w:tcW w:type="dxa" w:w="1300"/>
            <w:shd w:fill="211D16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FRANCHISOR</w:t>
            </w:r>
          </w:p>
        </w:tc>
        <w:tc>
          <w:tcPr>
            <w:tcW w:type="dxa" w:w="1300"/>
            <w:shd w:fill="211D16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EXECUTIVE</w:t>
            </w:r>
          </w:p>
        </w:tc>
        <w:tc>
          <w:tcPr>
            <w:tcW w:type="dxa" w:w="1300"/>
            <w:shd w:fill="211D16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AUDITOR</w:t>
            </w:r>
          </w:p>
        </w:tc>
      </w:tr>
      <w:tr>
        <w:tc>
          <w:tcPr>
            <w:tcW w:type="dxa" w:w="26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Load customer</w:t>
            </w:r>
          </w:p>
        </w:tc>
        <w:tc>
          <w:tcPr>
            <w:tcW w:type="dxa" w:w="11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Submit pledge</w:t>
            </w:r>
          </w:p>
        </w:tc>
        <w:tc>
          <w:tcPr>
            <w:tcW w:type="dxa" w:w="11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Approve pledge</w:t>
            </w:r>
          </w:p>
        </w:tc>
        <w:tc>
          <w:tcPr>
            <w:tcW w:type="dxa" w:w="11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Cash count</w:t>
            </w:r>
          </w:p>
        </w:tc>
        <w:tc>
          <w:tcPr>
            <w:tcW w:type="dxa" w:w="11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Vault check-in</w:t>
            </w:r>
          </w:p>
        </w:tc>
        <w:tc>
          <w:tcPr>
            <w:tcW w:type="dxa" w:w="11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Stocktake</w:t>
            </w:r>
          </w:p>
        </w:tc>
        <w:tc>
          <w:tcPr>
            <w:tcW w:type="dxa" w:w="11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Auction</w:t>
            </w:r>
          </w:p>
        </w:tc>
        <w:tc>
          <w:tcPr>
            <w:tcW w:type="dxa" w:w="11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Review release gate</w:t>
            </w:r>
          </w:p>
        </w:tc>
        <w:tc>
          <w:tcPr>
            <w:tcW w:type="dxa" w:w="11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Document review</w:t>
            </w:r>
          </w:p>
        </w:tc>
        <w:tc>
          <w:tcPr>
            <w:tcW w:type="dxa" w:w="11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Heir claim review</w:t>
            </w:r>
          </w:p>
        </w:tc>
        <w:tc>
          <w:tcPr>
            <w:tcW w:type="dxa" w:w="11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branch</w:t>
            </w:r>
          </w:p>
        </w:tc>
        <w:tc>
          <w:tcPr>
            <w:tcW w:type="dxa" w:w="11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network</w:t>
            </w:r>
          </w:p>
        </w:tc>
        <w:tc>
          <w:tcPr>
            <w:tcW w:type="dxa" w:w="13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network</w:t>
            </w:r>
          </w:p>
        </w:tc>
      </w:tr>
      <w:tr>
        <w:tc>
          <w:tcPr>
            <w:tcW w:type="dxa" w:w="26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Reset demo</w:t>
            </w:r>
          </w:p>
        </w:tc>
        <w:tc>
          <w:tcPr>
            <w:tcW w:type="dxa" w:w="11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16957"/>
          <w:sz w:val="18"/>
          <w:szCs w:val="18"/>
        </w:rPr>
        <w:t xml:space="preserve">Tanda “—” bermaksud role itu sepatutnya ditolak. Tanda “branch/network” bermaksud skop tenant turut menentukan keputusan.</w:t>
      </w:r>
    </w:p>
    <w:p>
      <w:pPr>
        <w:pStyle w:val="Heading1"/>
        <w:spacing w:after="120" w:before="260"/>
      </w:pPr>
      <w:r>
        <w:t xml:space="preserve">18. Reset dan pengulangan ujian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Selesaikan atau hentikan flow semasa.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Klik Reset demo di bar atas.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Jika role semasa tidak mempunyai hak reset, logout dan masuk sebagai manager, executive, franchisor atau auditor.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Tunggu status kembali kepada PENDING_SIGNATURE, Vault PENDING, Auction READY dan day end OPEN.</w:t>
      </w:r>
    </w:p>
    <w:p>
      <w:pPr>
        <w:pStyle w:val="ListParagraph"/>
        <w:numPr>
          <w:ilvl w:val="0"/>
          <w:numId w:val="2"/>
        </w:numPr>
        <w:spacing w:after="55" w:line="2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>Mulakan flow seterusnya daripada dashboard.</w:t>
      </w:r>
    </w:p>
    <w:p>
      <w:pPr>
        <w:pStyle w:val="Heading1"/>
        <w:spacing w:after="120" w:before="260"/>
      </w:pPr>
      <w:r>
        <w:t xml:space="preserve">19. Troubleshooting</w:t>
      </w:r>
    </w:p>
    <w:tbl>
      <w:tblPr>
        <w:tblW w:type="pct" w:w="100%"/>
        <w:tblBorders>
          <w:top w:val="single" w:color="DED6C7" w:sz="4"/>
          <w:left w:val="single" w:color="DED6C7" w:sz="4"/>
          <w:bottom w:val="single" w:color="DED6C7" w:sz="4"/>
          <w:right w:val="single" w:color="DED6C7" w:sz="4"/>
          <w:insideH w:val="single" w:color="DED6C7" w:sz="2"/>
          <w:insideV w:val="single" w:color="DED6C7" w:sz="2"/>
        </w:tblBorders>
      </w:tblPr>
      <w:tblGrid>
        <w:gridCol w:w="2800"/>
        <w:gridCol w:w="7200"/>
      </w:tblGrid>
      <w:tr>
        <w:tc>
          <w:tcPr>
            <w:tcW w:type="dxa" w:w="2800"/>
            <w:shd w:fill="211D16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Masalah</w:t>
            </w:r>
          </w:p>
        </w:tc>
        <w:tc>
          <w:tcPr>
            <w:tcW w:type="dxa" w:w="7200"/>
            <w:shd w:fill="211D16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Tindakan</w:t>
            </w:r>
          </w:p>
        </w:tc>
      </w:tr>
      <w:tr>
        <w:tc>
          <w:tcPr>
            <w:tcW w:type="dxa" w:w="28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Login gagal</w:t>
            </w:r>
          </w:p>
        </w:tc>
        <w:tc>
          <w:tcPr>
            <w:tcW w:type="dxa" w:w="72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Pastikan pilih butang role demo, tunggu proses login selesai dan cuba semula.</w:t>
            </w:r>
          </w:p>
        </w:tc>
      </w:tr>
      <w:tr>
        <w:tc>
          <w:tcPr>
            <w:tcW w:type="dxa" w:w="28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Skrin kosong/old state</w:t>
            </w:r>
          </w:p>
        </w:tc>
        <w:tc>
          <w:tcPr>
            <w:tcW w:type="dxa" w:w="72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Refresh, logout/login semula atau Reset demo.</w:t>
            </w:r>
          </w:p>
        </w:tc>
      </w:tr>
      <w:tr>
        <w:tc>
          <w:tcPr>
            <w:tcW w:type="dxa" w:w="28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Tindakan ditolak</w:t>
            </w:r>
          </w:p>
        </w:tc>
        <w:tc>
          <w:tcPr>
            <w:tcW w:type="dxa" w:w="72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Semak role, maker-checker, branch scope, legal hold dan evidence wajib.</w:t>
            </w:r>
          </w:p>
        </w:tc>
      </w:tr>
      <w:tr>
        <w:tc>
          <w:tcPr>
            <w:tcW w:type="dxa" w:w="28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Governance tidak terbuka</w:t>
            </w:r>
          </w:p>
        </w:tc>
        <w:tc>
          <w:tcPr>
            <w:tcW w:type="dxa" w:w="72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Benarkan popup atau buka /governance.html selepas login.</w:t>
            </w:r>
          </w:p>
        </w:tc>
      </w:tr>
      <w:tr>
        <w:tc>
          <w:tcPr>
            <w:tcW w:type="dxa" w:w="28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Export tiada fail</w:t>
            </w:r>
          </w:p>
        </w:tc>
        <w:tc>
          <w:tcPr>
            <w:tcW w:type="dxa" w:w="72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Ini expected; export hanya menghasilkan descriptor simulasi.</w:t>
            </w:r>
          </w:p>
        </w:tc>
      </w:tr>
      <w:tr>
        <w:tc>
          <w:tcPr>
            <w:tcW w:type="dxa" w:w="28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Nilai tidak sama</w:t>
            </w:r>
          </w:p>
        </w:tc>
        <w:tc>
          <w:tcPr>
            <w:tcW w:type="dxa" w:w="72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Pastikan dataset ARYP-DEMO-SEED-001 dan formula ASSUMED-CALC-0.1 digunakan.</w:t>
            </w:r>
          </w:p>
        </w:tc>
      </w:tr>
      <w:tr>
        <w:tc>
          <w:tcPr>
            <w:tcW w:type="dxa" w:w="28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Client mahu masukkan data sebenar</w:t>
            </w:r>
          </w:p>
        </w:tc>
        <w:tc>
          <w:tcPr>
            <w:tcW w:type="dxa" w:w="72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Jangan masukkan; staging ini synthetic-only. Hantar kepada project owner untuk keputusan environment.</w:t>
            </w:r>
          </w:p>
        </w:tc>
      </w:tr>
    </w:tbl>
    <w:p>
      <w:pPr>
        <w:pStyle w:val="Heading1"/>
        <w:spacing w:after="120" w:before="260"/>
      </w:pPr>
      <w:r>
        <w:t xml:space="preserve">20. Batasan staging dan borang maklum balas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19"/>
          <w:szCs w:val="19"/>
        </w:rPr>
        <w:t xml:space="preserve">Staging ini belum mengaktifkan payment/bank sebenar, SMS/e-mail sebenar, live gold price, e-signature, MyKad OCR, legal retention, production MFA/IdP, production data, statutory rule atau settlement lelongan. Semua perkara tersebut sengaja diletakkan sebagai assumption/configuration point untuk diganti selepas client memberikan keputusan rasmi.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color w:val="211D16"/>
          <w:sz w:val="20"/>
          <w:szCs w:val="20"/>
        </w:rPr>
        <w:t xml:space="preserve">Template maklum balas client</w:t>
      </w:r>
    </w:p>
    <w:tbl>
      <w:tblPr>
        <w:tblW w:type="pct" w:w="100%"/>
        <w:tblBorders>
          <w:top w:val="single" w:color="DED6C7" w:sz="4"/>
          <w:left w:val="single" w:color="DED6C7" w:sz="4"/>
          <w:bottom w:val="single" w:color="DED6C7" w:sz="4"/>
          <w:right w:val="single" w:color="DED6C7" w:sz="4"/>
          <w:insideH w:val="single" w:color="DED6C7" w:sz="2"/>
          <w:insideV w:val="single" w:color="DED6C7" w:sz="2"/>
        </w:tblBorders>
      </w:tblPr>
      <w:tblGrid>
        <w:gridCol w:w="500"/>
        <w:gridCol w:w="2200"/>
        <w:gridCol w:w="2500"/>
        <w:gridCol w:w="3400"/>
        <w:gridCol w:w="1000"/>
      </w:tblGrid>
      <w:tr>
        <w:tc>
          <w:tcPr>
            <w:tcW w:type="dxa" w:w="500"/>
            <w:shd w:fill="211D16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shd w:fill="211D16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Flow / skrin</w:t>
            </w:r>
          </w:p>
        </w:tc>
        <w:tc>
          <w:tcPr>
            <w:tcW w:type="dxa" w:w="2500"/>
            <w:shd w:fill="211D16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3400"/>
            <w:shd w:fill="211D16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 result / komen</w:t>
            </w:r>
          </w:p>
        </w:tc>
        <w:tc>
          <w:tcPr>
            <w:tcW w:type="dxa" w:w="1000"/>
            <w:shd w:fill="211D16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5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BF8F0" w:val="clear"/>
          </w:tcPr>
          <w:p>
            <w:pPr>
              <w:spacing w:after="2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/>
            </w:r>
          </w:p>
        </w:tc>
      </w:tr>
    </w:tbl>
    <w:p>
      <w:pPr>
        <w:spacing w:after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1D16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9F4E7" w:val="clear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1D16"/>
                <w:sz w:val="20"/>
                <w:szCs w:val="20"/>
              </w:rPr>
              <w:t xml:space="preserve">Saluran keputusan client</w:t>
            </w:r>
          </w:p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1D16"/>
                <w:sz w:val="18"/>
                <w:szCs w:val="18"/>
              </w:rPr>
              <w:t xml:space="preserve">Sila kumpulkan komen mengikut flow dan role. Tandakan setiap item sebagai LULUS, PERLU PEMBETULAN, atau PERLU KEPUTUSAN CLIENT. Jangan tandakan sesuatu sebagai production-approved hanya kerana ia berjaya dalam staging.</w:t>
            </w:r>
          </w:p>
        </w:tc>
      </w:tr>
    </w:tbl>
    <w:sectPr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716957"/>
        <w:sz w:val="15"/>
        <w:szCs w:val="15"/>
      </w:rPr>
      <w:t xml:space="preserve">ARYP · Manual Pengguna Staging · SULIT / SIMULASI  |  </w:t>
    </w:r>
    <w:r>
      <w:rPr>
        <w:rFonts w:ascii="Arial" w:cs="Arial" w:eastAsia="Arial" w:hAnsi="Arial"/>
        <w:color w:val="716957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1D16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d635ec27a109060442531b61b65fa8ef35b6aad.png"/><Relationship Id="rId9" Type="http://schemas.openxmlformats.org/officeDocument/2006/relationships/image" Target="media/c686ef690a8feebbd6bdeaf2c3327635a9b3ab95.png"/><Relationship Id="rId10" Type="http://schemas.openxmlformats.org/officeDocument/2006/relationships/image" Target="media/2cdabeeb92a9751f58082bfac4f1c18dbc179eee.png"/><Relationship Id="rId11" Type="http://schemas.openxmlformats.org/officeDocument/2006/relationships/image" Target="media/ffd823f95b5431652cd552da7205287ee4b2529d.png"/><Relationship Id="rId12" Type="http://schemas.openxmlformats.org/officeDocument/2006/relationships/image" Target="media/4038ea2509f69ff30767b62c6a52000facd822d0.png"/><Relationship Id="rId13" Type="http://schemas.openxmlformats.org/officeDocument/2006/relationships/image" Target="media/2933f9d19840e5f06a87e1bc79db48f69beb5487.png"/><Relationship Id="rId14" Type="http://schemas.openxmlformats.org/officeDocument/2006/relationships/image" Target="media/397424306919dce1fcf948bc4fa42b230532b1f0.png"/><Relationship Id="rId15" Type="http://schemas.openxmlformats.org/officeDocument/2006/relationships/image" Target="media/a826a93bceeb59f7f584d8fbda5e0f9fbff9a654.png"/><Relationship Id="rId16" Type="http://schemas.openxmlformats.org/officeDocument/2006/relationships/image" Target="media/63e61c261cd4de364bb602a0e49ce410fa92ec4a.png"/><Relationship Id="rId17" Type="http://schemas.openxmlformats.org/officeDocument/2006/relationships/image" Target="media/524cbc015b4910dce5382509c3b42b5d9845c2cf.png"/><Relationship Id="rId18" Type="http://schemas.openxmlformats.org/officeDocument/2006/relationships/image" Target="media/65894f405055537e7056caad4e721a0fafc0288d.png"/><Relationship Id="rId19" Type="http://schemas.openxmlformats.org/officeDocument/2006/relationships/image" Target="media/2af79bcf4ef3b8b5366cc75ca828ffd53f5fba94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ARYP Manual Pengguna Staging v0.1</dc:title>
  <dc:subject>Manual ujian client untuk ARYP staging</dc:subject>
  <dc:creator>Codex</dc:creator>
  <cp:lastModifiedBy>Un-named</cp:lastModifiedBy>
  <cp:revision>1</cp:revision>
  <dcterms:created xsi:type="dcterms:W3CDTF">2026-08-17T11:43:19.395Z</dcterms:created>
  <dcterms:modified xsi:type="dcterms:W3CDTF">2026-08-17T11:43:19.400Z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