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90FBC3">
      <w:pPr>
        <w:spacing w:after="60"/>
        <w:jc w:val="center"/>
        <w:rPr>
          <w:color w:val="000000" w:themeColor="text1"/>
          <w14:textFill>
            <w14:solidFill>
              <w14:schemeClr w14:val="tx1"/>
            </w14:solidFill>
          </w14:textFill>
        </w:rPr>
      </w:pPr>
      <w:r>
        <w:rPr>
          <w:b/>
          <w:bCs/>
          <w:color w:val="000000" w:themeColor="text1"/>
          <w14:textFill>
            <w14:solidFill>
              <w14:schemeClr w14:val="tx1"/>
            </w14:solidFill>
          </w14:textFill>
        </w:rPr>
        <w:t>ESCUELA COLOMBIANA DE INGENIERÍA JULIO GARAVITO</w:t>
      </w:r>
    </w:p>
    <w:p w14:paraId="2943FE71">
      <w:pPr>
        <w:spacing w:after="60"/>
        <w:jc w:val="center"/>
        <w:rPr>
          <w:color w:val="000000" w:themeColor="text1"/>
          <w14:textFill>
            <w14:solidFill>
              <w14:schemeClr w14:val="tx1"/>
            </w14:solidFill>
          </w14:textFill>
        </w:rPr>
      </w:pPr>
      <w:r>
        <w:rPr>
          <w:b/>
          <w:bCs/>
          <w:color w:val="000000" w:themeColor="text1"/>
          <w14:textFill>
            <w14:solidFill>
              <w14:schemeClr w14:val="tx1"/>
            </w14:solidFill>
          </w14:textFill>
        </w:rPr>
        <w:t>DESARROLLO ORIENTADO POR OBJETOS [DOPO]</w:t>
      </w:r>
    </w:p>
    <w:p w14:paraId="26808EE5">
      <w:pPr>
        <w:spacing w:after="60"/>
        <w:jc w:val="center"/>
        <w:rPr>
          <w:color w:val="000000" w:themeColor="text1"/>
          <w14:textFill>
            <w14:solidFill>
              <w14:schemeClr w14:val="tx1"/>
            </w14:solidFill>
          </w14:textFill>
        </w:rPr>
      </w:pPr>
      <w:r>
        <w:rPr>
          <w:b/>
          <w:bCs/>
          <w:color w:val="000000" w:themeColor="text1"/>
          <w14:textFill>
            <w14:solidFill>
              <w14:schemeClr w14:val="tx1"/>
            </w14:solidFill>
          </w14:textFill>
        </w:rPr>
        <w:t>PROYECTO INICIAL 2026-2 — SLOT MACHINE</w:t>
      </w:r>
    </w:p>
    <w:p w14:paraId="6ABAC1C4">
      <w:pPr>
        <w:spacing w:after="240"/>
        <w:jc w:val="center"/>
        <w:rPr>
          <w:color w:val="000000" w:themeColor="text1"/>
          <w14:textFill>
            <w14:solidFill>
              <w14:schemeClr w14:val="tx1"/>
            </w14:solidFill>
          </w14:textFill>
        </w:rPr>
      </w:pPr>
      <w:r>
        <w:rPr>
          <w:b/>
          <w:bCs/>
          <w:color w:val="000000" w:themeColor="text1"/>
          <w14:textFill>
            <w14:solidFill>
              <w14:schemeClr w14:val="tx1"/>
            </w14:solidFill>
          </w14:textFill>
        </w:rPr>
        <w:t>Documento de Retrospectiva — Ciclo 2 (incluye Ciclo 1)</w:t>
      </w:r>
    </w:p>
    <w:p w14:paraId="2D08E907">
      <w:pPr>
        <w:spacing w:after="160"/>
        <w:rPr>
          <w:color w:val="000000" w:themeColor="text1"/>
          <w14:textFill>
            <w14:solidFill>
              <w14:schemeClr w14:val="tx1"/>
            </w14:solidFill>
          </w14:textFill>
        </w:rPr>
      </w:pPr>
      <w:r>
        <w:rPr>
          <w:color w:val="000000" w:themeColor="text1"/>
          <w14:textFill>
            <w14:solidFill>
              <w14:schemeClr w14:val="tx1"/>
            </w14:solidFill>
          </w14:textFill>
        </w:rPr>
        <w:t>Integrantes: Casallas, J. — Peña, M.</w:t>
      </w:r>
    </w:p>
    <w:p w14:paraId="5F213D74">
      <w:pPr>
        <w:spacing w:after="320"/>
        <w:rPr>
          <w:color w:val="000000" w:themeColor="text1"/>
          <w14:textFill>
            <w14:solidFill>
              <w14:schemeClr w14:val="tx1"/>
            </w14:solidFill>
          </w14:textFill>
        </w:rPr>
      </w:pPr>
      <w:r>
        <w:rPr>
          <w:color w:val="000000" w:themeColor="text1"/>
          <w14:textFill>
            <w14:solidFill>
              <w14:schemeClr w14:val="tx1"/>
            </w14:solidFill>
          </w14:textFill>
        </w:rPr>
        <w:t>Fecha de entrega: Semana 06 — 5 de septiembre de 2026</w:t>
      </w:r>
    </w:p>
    <w:p w14:paraId="69ABC8A7">
      <w:pPr>
        <w:pStyle w:val="2"/>
        <w:spacing w:after="160"/>
        <w:rPr>
          <w:color w:val="000000" w:themeColor="text1"/>
          <w14:textFill>
            <w14:solidFill>
              <w14:schemeClr w14:val="tx1"/>
            </w14:solidFill>
          </w14:textFill>
        </w:rPr>
      </w:pPr>
      <w:r>
        <w:rPr>
          <w:color w:val="000000" w:themeColor="text1"/>
          <w14:textFill>
            <w14:solidFill>
              <w14:schemeClr w14:val="tx1"/>
            </w14:solidFill>
          </w14:textFill>
        </w:rPr>
        <w:t>1. ¿Cuáles fueron los mini-ciclos definidos? Justifíquenlos.</w:t>
      </w:r>
    </w:p>
    <w:p w14:paraId="5CA2301F">
      <w:pPr>
        <w:pStyle w:val="3"/>
        <w:spacing w:after="160"/>
        <w:rPr>
          <w:color w:val="000000" w:themeColor="text1"/>
          <w14:textFill>
            <w14:solidFill>
              <w14:schemeClr w14:val="tx1"/>
            </w14:solidFill>
          </w14:textFill>
        </w:rPr>
      </w:pPr>
      <w:r>
        <w:rPr>
          <w:color w:val="000000" w:themeColor="text1"/>
          <w14:textFill>
            <w14:solidFill>
              <w14:schemeClr w14:val="tx1"/>
            </w14:solidFill>
          </w14:textFill>
        </w:rPr>
        <w:t>Ciclo 1</w:t>
      </w:r>
    </w:p>
    <w:p w14:paraId="37D2FBC5">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MC1 — Base gráfica: estudio del paquete shapes (Rectangle, Circle, Triangle, Canvas) y diseño de Symbol como especialización de Rectangle.</w:t>
      </w:r>
    </w:p>
    <w:p w14:paraId="38804E26">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MC2 — Lógica de negocio: estructura de SlotMachine y Wheel, y la decisión de compartir una única secuencia de símbolos entre todas las ruedas.</w:t>
      </w:r>
    </w:p>
    <w:p w14:paraId="494A6031">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MC3 — Giros, jackpot y visibilidad: spin() sobre una rueda y sobre todas, distinctSymbols(), isJackpot(), makeVisible()/makeInvisible() y el fallo silencioso en modo invisible.</w:t>
      </w:r>
    </w:p>
    <w:p w14:paraId="2E0AF77A">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MC4 — Verificación y documentación: pruebas manuales de cada requisito, Javadoc y diagramas en Astah.</w:t>
      </w:r>
    </w:p>
    <w:p w14:paraId="535CEC80">
      <w:pPr>
        <w:spacing w:after="240"/>
        <w:rPr>
          <w:color w:val="000000" w:themeColor="text1"/>
          <w14:textFill>
            <w14:solidFill>
              <w14:schemeClr w14:val="tx1"/>
            </w14:solidFill>
          </w14:textFill>
        </w:rPr>
      </w:pPr>
      <w:r>
        <w:rPr>
          <w:color w:val="000000" w:themeColor="text1"/>
          <w14:textFill>
            <w14:solidFill>
              <w14:schemeClr w14:val="tx1"/>
            </w14:solidFill>
          </w14:textFill>
        </w:rPr>
        <w:t>Justificación: quisimos ir de lo estructural a lo comportamental. Primero entender qué dibujaba el canvas, después decidir dónde vivía cada dato, y solo al final las reglas del juego. La decisión que más pesó fue la del MC2: como el enunciado dice que los símbolos aparecen en el mismo orden en todas las ruedas, la secuencia quedó en SlotMachine y cada Wheel solo recuerda cuál está mostrando.</w:t>
      </w:r>
    </w:p>
    <w:p w14:paraId="1D92B729">
      <w:pPr>
        <w:pStyle w:val="3"/>
        <w:spacing w:after="160"/>
        <w:rPr>
          <w:color w:val="000000" w:themeColor="text1"/>
          <w14:textFill>
            <w14:solidFill>
              <w14:schemeClr w14:val="tx1"/>
            </w14:solidFill>
          </w14:textFill>
        </w:rPr>
      </w:pPr>
      <w:r>
        <w:rPr>
          <w:color w:val="000000" w:themeColor="text1"/>
          <w14:textFill>
            <w14:solidFill>
              <w14:schemeClr w14:val="tx1"/>
            </w14:solidFill>
          </w14:textFill>
        </w:rPr>
        <w:t>Ciclo 2</w:t>
      </w:r>
    </w:p>
    <w:p w14:paraId="78D848D1">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MC1 — Gestión de ruedas: swap(wheel1, wheel2), lock(wheel) y unlock(wheel), con el estado de bloqueo dentro de Wheel.</w:t>
      </w:r>
    </w:p>
    <w:p w14:paraId="50EF2FD6">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MC2 — Giros extendidos: spin(wheel, steps) con animación paso a paso cuando el simulador está visible, y spin(String[] setSymbols) con validación atómica.</w:t>
      </w:r>
    </w:p>
    <w:p w14:paraId="4D09865B">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MC3 — Pruebas unitarias en JUnit 4, todas en modo invisible, y preparación de las pruebas de aceptación.</w:t>
      </w:r>
    </w:p>
    <w:p w14:paraId="0A2E7230">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MC4 — Refactoring: traducción de nombres, mensajes y Javadoc de SlotMachine y Wheel al estándar en inglés, sin cambiar el comportamiento observable.</w:t>
      </w:r>
    </w:p>
    <w:p w14:paraId="52C7D0F2">
      <w:pPr>
        <w:spacing w:after="100"/>
        <w:rPr>
          <w:color w:val="000000" w:themeColor="text1"/>
          <w14:textFill>
            <w14:solidFill>
              <w14:schemeClr w14:val="tx1"/>
            </w14:solidFill>
          </w14:textFill>
        </w:rPr>
      </w:pPr>
      <w:r>
        <w:rPr>
          <w:color w:val="000000" w:themeColor="text1"/>
          <w14:textFill>
            <w14:solidFill>
              <w14:schemeClr w14:val="tx1"/>
            </w14:solidFill>
          </w14:textFill>
        </w:rPr>
        <w:t>Justificación: pusimos lock/unlock de primero porque es transversal. Todos los spin tienen que consultar el bloqueo, así que dejarlo para el final nos habría obligado a tocar los mismos métodos dos veces.</w:t>
      </w:r>
    </w:p>
    <w:p w14:paraId="176B797E">
      <w:pPr>
        <w:spacing w:after="240"/>
        <w:rPr>
          <w:color w:val="000000" w:themeColor="text1"/>
          <w14:textFill>
            <w14:solidFill>
              <w14:schemeClr w14:val="tx1"/>
            </w14:solidFill>
          </w14:textFill>
        </w:rPr>
      </w:pPr>
      <w:r>
        <w:rPr>
          <w:color w:val="000000" w:themeColor="text1"/>
          <w14:textFill>
            <w14:solidFill>
              <w14:schemeClr w14:val="tx1"/>
            </w14:solidFill>
          </w14:textFill>
        </w:rPr>
        <w:t>El refactoring quedó de último, y eso no fue lo planeado. La idea inicial era limpiar primero y extender después, como sugiere XP, pero el tiempo se nos fue en entender la lógica nueva y terminamos programando en español y traduciendo al cierre. Funcionó, pero fue un riesgo: renombrar todo con la entrega encima es justo cuando más fácil se rompe algo. Nos salvó tener ya las pruebas escritas del MC3.</w:t>
      </w:r>
    </w:p>
    <w:p w14:paraId="3B530563">
      <w:pPr>
        <w:pStyle w:val="2"/>
        <w:spacing w:after="160"/>
        <w:rPr>
          <w:color w:val="000000" w:themeColor="text1"/>
          <w14:textFill>
            <w14:solidFill>
              <w14:schemeClr w14:val="tx1"/>
            </w14:solidFill>
          </w14:textFill>
        </w:rPr>
      </w:pPr>
      <w:r>
        <w:rPr>
          <w:color w:val="000000" w:themeColor="text1"/>
          <w14:textFill>
            <w14:solidFill>
              <w14:schemeClr w14:val="tx1"/>
            </w14:solidFill>
          </w14:textFill>
        </w:rPr>
        <w:t>2. ¿Cuál es el estado actual del proyecto en términos de mini-ciclos? ¿Por qué?</w:t>
      </w:r>
    </w:p>
    <w:p w14:paraId="7382DFAA">
      <w:pPr>
        <w:pStyle w:val="3"/>
        <w:spacing w:after="160"/>
        <w:rPr>
          <w:color w:val="000000" w:themeColor="text1"/>
          <w14:textFill>
            <w14:solidFill>
              <w14:schemeClr w14:val="tx1"/>
            </w14:solidFill>
          </w14:textFill>
        </w:rPr>
      </w:pPr>
      <w:r>
        <w:rPr>
          <w:color w:val="000000" w:themeColor="text1"/>
          <w14:textFill>
            <w14:solidFill>
              <w14:schemeClr w14:val="tx1"/>
            </w14:solidFill>
          </w14:textFill>
        </w:rPr>
        <w:t>Ciclo 1</w:t>
      </w:r>
    </w:p>
    <w:p w14:paraId="7EC7AE42">
      <w:pPr>
        <w:spacing w:after="240"/>
        <w:rPr>
          <w:color w:val="000000" w:themeColor="text1"/>
          <w14:textFill>
            <w14:solidFill>
              <w14:schemeClr w14:val="tx1"/>
            </w14:solidFill>
          </w14:textFill>
        </w:rPr>
      </w:pPr>
      <w:r>
        <w:rPr>
          <w:color w:val="000000" w:themeColor="text1"/>
          <w14:textFill>
            <w14:solidFill>
              <w14:schemeClr w14:val="tx1"/>
            </w14:solidFill>
          </w14:textFill>
        </w:rPr>
        <w:t>Cerrado. Los ocho requisitos funcionales quedaron implementados, documentados con Javadoc y verificados manualmente contra el diagrama de clases entregado.</w:t>
      </w:r>
    </w:p>
    <w:p w14:paraId="77ABFB90">
      <w:pPr>
        <w:pStyle w:val="3"/>
        <w:spacing w:after="160"/>
        <w:rPr>
          <w:color w:val="000000" w:themeColor="text1"/>
          <w14:textFill>
            <w14:solidFill>
              <w14:schemeClr w14:val="tx1"/>
            </w14:solidFill>
          </w14:textFill>
        </w:rPr>
      </w:pPr>
      <w:r>
        <w:rPr>
          <w:color w:val="000000" w:themeColor="text1"/>
          <w14:textFill>
            <w14:solidFill>
              <w14:schemeClr w14:val="tx1"/>
            </w14:solidFill>
          </w14:textFill>
        </w:rPr>
        <w:t>Ciclo 2</w:t>
      </w:r>
    </w:p>
    <w:p w14:paraId="56285DD9">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MC1 (swap / lock / unlock): terminado. Los tres métodos validan casos borde: máquina sin ruedas, una sola rueda, y posiciones que tras el ajuste de rango terminan apuntando a la misma rueda.</w:t>
      </w:r>
    </w:p>
    <w:p w14:paraId="084907BE">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MC2 (spin extendido): terminado. spin(wheel, steps) anima de a un paso en modo visible y rechaza ruedas bloqueadas; spin(String[]) valida toda la configuración antes de aplicar nada.</w:t>
      </w:r>
    </w:p>
    <w:p w14:paraId="0DDC8E60">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MC3 (pruebas): parcialmente terminado. Los cuatro casos están escritos, corren en modo invisible y pasan, pero todavía están en una sola clase. Falta separarlos en SlotMachineC2Test y SlotMachineCC2Test como pide el enunciado.</w:t>
      </w:r>
    </w:p>
    <w:p w14:paraId="2619D3A4">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MC4 (refactoring): terminado en SlotMachine y Wheel. Las clases del paquete shapes no se tocaron porque ya cumplían el estándar.</w:t>
      </w:r>
    </w:p>
    <w:p w14:paraId="65EC6312">
      <w:pPr>
        <w:spacing w:after="100"/>
        <w:rPr>
          <w:color w:val="000000" w:themeColor="text1"/>
          <w14:textFill>
            <w14:solidFill>
              <w14:schemeClr w14:val="tx1"/>
            </w14:solidFill>
          </w14:textFill>
        </w:rPr>
      </w:pPr>
      <w:r>
        <w:rPr>
          <w:color w:val="000000" w:themeColor="text1"/>
          <w14:textFill>
            <w14:solidFill>
              <w14:schemeClr w14:val="tx1"/>
            </w14:solidFill>
          </w14:textFill>
        </w:rPr>
        <w:t>Deuda técnica que queda abierta para el Ciclo 3:</w:t>
      </w:r>
    </w:p>
    <w:p w14:paraId="367C2BC7">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El repositorio todavía tiene archivos .class y .ctxt versionados desde el Ciclo 1; falta agregar un .gitignore.</w:t>
      </w:r>
    </w:p>
    <w:p w14:paraId="2BEFAFE3">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exit() solo oculta el simulador, no lo termina.</w:t>
      </w:r>
    </w:p>
    <w:p w14:paraId="609EBFFB">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traerRuedasAlFrente() resuelve el orden de dibujo redibujando todas las ruedas en cada operación. Funciona con pocas ruedas, pero no escala.</w:t>
      </w:r>
    </w:p>
    <w:p w14:paraId="5EB6A3ED">
      <w:pPr>
        <w:spacing w:after="160"/>
        <w:rPr>
          <w:color w:val="000000" w:themeColor="text1"/>
          <w14:textFill>
            <w14:solidFill>
              <w14:schemeClr w14:val="tx1"/>
            </w14:solidFill>
          </w14:textFill>
        </w:rPr>
      </w:pPr>
    </w:p>
    <w:p w14:paraId="77E5DC27">
      <w:pPr>
        <w:pStyle w:val="2"/>
        <w:spacing w:after="160"/>
        <w:rPr>
          <w:color w:val="000000" w:themeColor="text1"/>
          <w14:textFill>
            <w14:solidFill>
              <w14:schemeClr w14:val="tx1"/>
            </w14:solidFill>
          </w14:textFill>
        </w:rPr>
      </w:pPr>
      <w:r>
        <w:rPr>
          <w:color w:val="000000" w:themeColor="text1"/>
          <w14:textFill>
            <w14:solidFill>
              <w14:schemeClr w14:val="tx1"/>
            </w14:solidFill>
          </w14:textFill>
        </w:rPr>
        <w:t>3. ¿Cuál fue el tiempo total invertido por cada uno? (Horas/Hombre)</w:t>
      </w:r>
    </w:p>
    <w:p w14:paraId="30D1EF75">
      <w:pPr>
        <w:spacing w:after="160"/>
        <w:rPr>
          <w:color w:val="000000" w:themeColor="text1"/>
          <w14:textFill>
            <w14:solidFill>
              <w14:schemeClr w14:val="tx1"/>
            </w14:solidFill>
          </w14:textFill>
        </w:rPr>
      </w:pPr>
      <w:r>
        <w:rPr>
          <w:color w:val="000000" w:themeColor="text1"/>
          <w14:textFill>
            <w14:solidFill>
              <w14:schemeClr w14:val="tx1"/>
            </w14:solidFill>
          </w14:textFill>
        </w:rPr>
        <w:t>Desglose por integrante y actividad para ambos ciclos: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1600"/>
        <w:gridCol w:w="1600"/>
        <w:gridCol w:w="1400"/>
      </w:tblGrid>
      <w:tr w14:paraId="335D0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shd w:val="clear" w:color="auto" w:fill="D9D9D9"/>
          </w:tcPr>
          <w:p w14:paraId="0E143169">
            <w:pPr>
              <w:spacing w:before="40" w:after="40"/>
              <w:jc w:val="left"/>
              <w:rPr>
                <w:color w:val="000000" w:themeColor="text1"/>
                <w14:textFill>
                  <w14:solidFill>
                    <w14:schemeClr w14:val="tx1"/>
                  </w14:solidFill>
                </w14:textFill>
              </w:rPr>
            </w:pPr>
            <w:r>
              <w:rPr>
                <w:b/>
                <w:bCs/>
                <w:color w:val="000000" w:themeColor="text1"/>
                <w14:textFill>
                  <w14:solidFill>
                    <w14:schemeClr w14:val="tx1"/>
                  </w14:solidFill>
                </w14:textFill>
              </w:rPr>
              <w:t>Actividad</w:t>
            </w:r>
          </w:p>
        </w:tc>
        <w:tc>
          <w:tcPr>
            <w:tcW w:w="1600" w:type="dxa"/>
            <w:shd w:val="clear" w:color="auto" w:fill="D9D9D9"/>
          </w:tcPr>
          <w:p w14:paraId="3F2BE349">
            <w:pPr>
              <w:spacing w:before="40" w:after="40"/>
              <w:jc w:val="center"/>
              <w:rPr>
                <w:color w:val="000000" w:themeColor="text1"/>
                <w14:textFill>
                  <w14:solidFill>
                    <w14:schemeClr w14:val="tx1"/>
                  </w14:solidFill>
                </w14:textFill>
              </w:rPr>
            </w:pPr>
            <w:r>
              <w:rPr>
                <w:b/>
                <w:bCs/>
                <w:color w:val="000000" w:themeColor="text1"/>
                <w14:textFill>
                  <w14:solidFill>
                    <w14:schemeClr w14:val="tx1"/>
                  </w14:solidFill>
                </w14:textFill>
              </w:rPr>
              <w:t>Casallas, J. (h)</w:t>
            </w:r>
          </w:p>
        </w:tc>
        <w:tc>
          <w:tcPr>
            <w:tcW w:w="1600" w:type="dxa"/>
            <w:shd w:val="clear" w:color="auto" w:fill="D9D9D9"/>
          </w:tcPr>
          <w:p w14:paraId="6694C042">
            <w:pPr>
              <w:spacing w:before="40" w:after="40"/>
              <w:jc w:val="center"/>
              <w:rPr>
                <w:color w:val="000000" w:themeColor="text1"/>
                <w14:textFill>
                  <w14:solidFill>
                    <w14:schemeClr w14:val="tx1"/>
                  </w14:solidFill>
                </w14:textFill>
              </w:rPr>
            </w:pPr>
            <w:r>
              <w:rPr>
                <w:b/>
                <w:bCs/>
                <w:color w:val="000000" w:themeColor="text1"/>
                <w14:textFill>
                  <w14:solidFill>
                    <w14:schemeClr w14:val="tx1"/>
                  </w14:solidFill>
                </w14:textFill>
              </w:rPr>
              <w:t>Peña, M. (h)</w:t>
            </w:r>
          </w:p>
        </w:tc>
        <w:tc>
          <w:tcPr>
            <w:tcW w:w="1400" w:type="dxa"/>
            <w:shd w:val="clear" w:color="auto" w:fill="D9D9D9"/>
          </w:tcPr>
          <w:p w14:paraId="736EE77C">
            <w:pPr>
              <w:spacing w:before="40" w:after="40"/>
              <w:jc w:val="center"/>
              <w:rPr>
                <w:color w:val="000000" w:themeColor="text1"/>
                <w14:textFill>
                  <w14:solidFill>
                    <w14:schemeClr w14:val="tx1"/>
                  </w14:solidFill>
                </w14:textFill>
              </w:rPr>
            </w:pPr>
            <w:r>
              <w:rPr>
                <w:b/>
                <w:bCs/>
                <w:color w:val="000000" w:themeColor="text1"/>
                <w14:textFill>
                  <w14:solidFill>
                    <w14:schemeClr w14:val="tx1"/>
                  </w14:solidFill>
                </w14:textFill>
              </w:rPr>
              <w:t>Total (h)</w:t>
            </w:r>
          </w:p>
        </w:tc>
      </w:tr>
      <w:tr w14:paraId="55E0B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Pr>
          <w:p w14:paraId="46D18187">
            <w:pPr>
              <w:spacing w:before="40" w:after="40"/>
              <w:jc w:val="left"/>
              <w:rPr>
                <w:color w:val="000000" w:themeColor="text1"/>
                <w14:textFill>
                  <w14:solidFill>
                    <w14:schemeClr w14:val="tx1"/>
                  </w14:solidFill>
                </w14:textFill>
              </w:rPr>
            </w:pPr>
            <w:r>
              <w:rPr>
                <w:color w:val="000000" w:themeColor="text1"/>
                <w14:textFill>
                  <w14:solidFill>
                    <w14:schemeClr w14:val="tx1"/>
                  </w14:solidFill>
                </w14:textFill>
              </w:rPr>
              <w:t>Análisis del enunciado y diseño inicial (Ciclo 1)</w:t>
            </w:r>
          </w:p>
        </w:tc>
        <w:tc>
          <w:tcPr>
            <w:tcW w:w="1600" w:type="dxa"/>
          </w:tcPr>
          <w:p w14:paraId="262C51B1">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2</w:t>
            </w:r>
          </w:p>
        </w:tc>
        <w:tc>
          <w:tcPr>
            <w:tcW w:w="1600" w:type="dxa"/>
          </w:tcPr>
          <w:p w14:paraId="41F77B38">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3</w:t>
            </w:r>
          </w:p>
        </w:tc>
        <w:tc>
          <w:tcPr>
            <w:tcW w:w="1400" w:type="dxa"/>
          </w:tcPr>
          <w:p w14:paraId="20817A9F">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5</w:t>
            </w:r>
          </w:p>
        </w:tc>
      </w:tr>
      <w:tr w14:paraId="1E2B8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Pr>
          <w:p w14:paraId="1EC775D5">
            <w:pPr>
              <w:spacing w:before="40" w:after="40"/>
              <w:jc w:val="left"/>
              <w:rPr>
                <w:color w:val="000000" w:themeColor="text1"/>
                <w14:textFill>
                  <w14:solidFill>
                    <w14:schemeClr w14:val="tx1"/>
                  </w14:solidFill>
                </w14:textFill>
              </w:rPr>
            </w:pPr>
            <w:r>
              <w:rPr>
                <w:color w:val="000000" w:themeColor="text1"/>
                <w14:textFill>
                  <w14:solidFill>
                    <w14:schemeClr w14:val="tx1"/>
                  </w14:solidFill>
                </w14:textFill>
              </w:rPr>
              <w:t>Modelado UML en Astah (Ciclo 1)</w:t>
            </w:r>
          </w:p>
        </w:tc>
        <w:tc>
          <w:tcPr>
            <w:tcW w:w="1600" w:type="dxa"/>
          </w:tcPr>
          <w:p w14:paraId="59ED5846">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3</w:t>
            </w:r>
          </w:p>
        </w:tc>
        <w:tc>
          <w:tcPr>
            <w:tcW w:w="1600" w:type="dxa"/>
          </w:tcPr>
          <w:p w14:paraId="4BC498D4">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2</w:t>
            </w:r>
          </w:p>
        </w:tc>
        <w:tc>
          <w:tcPr>
            <w:tcW w:w="1400" w:type="dxa"/>
          </w:tcPr>
          <w:p w14:paraId="58202E73">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5</w:t>
            </w:r>
          </w:p>
        </w:tc>
      </w:tr>
      <w:tr w14:paraId="4A881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Pr>
          <w:p w14:paraId="3071917F">
            <w:pPr>
              <w:spacing w:before="40" w:after="40"/>
              <w:jc w:val="left"/>
              <w:rPr>
                <w:color w:val="000000" w:themeColor="text1"/>
                <w14:textFill>
                  <w14:solidFill>
                    <w14:schemeClr w14:val="tx1"/>
                  </w14:solidFill>
                </w14:textFill>
              </w:rPr>
            </w:pPr>
            <w:r>
              <w:rPr>
                <w:color w:val="000000" w:themeColor="text1"/>
                <w14:textFill>
                  <w14:solidFill>
                    <w14:schemeClr w14:val="tx1"/>
                  </w14:solidFill>
                </w14:textFill>
              </w:rPr>
              <w:t>Codificación de clases base y métodos (Ciclo 1)</w:t>
            </w:r>
          </w:p>
        </w:tc>
        <w:tc>
          <w:tcPr>
            <w:tcW w:w="1600" w:type="dxa"/>
          </w:tcPr>
          <w:p w14:paraId="16735EA1">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7</w:t>
            </w:r>
          </w:p>
        </w:tc>
        <w:tc>
          <w:tcPr>
            <w:tcW w:w="1600" w:type="dxa"/>
          </w:tcPr>
          <w:p w14:paraId="1710F245">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5</w:t>
            </w:r>
          </w:p>
        </w:tc>
        <w:tc>
          <w:tcPr>
            <w:tcW w:w="1400" w:type="dxa"/>
          </w:tcPr>
          <w:p w14:paraId="03327EEE">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12</w:t>
            </w:r>
          </w:p>
        </w:tc>
      </w:tr>
      <w:tr w14:paraId="53B55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Pr>
          <w:p w14:paraId="55B1DA96">
            <w:pPr>
              <w:spacing w:before="40" w:after="40"/>
              <w:jc w:val="left"/>
              <w:rPr>
                <w:color w:val="000000" w:themeColor="text1"/>
                <w14:textFill>
                  <w14:solidFill>
                    <w14:schemeClr w14:val="tx1"/>
                  </w14:solidFill>
                </w14:textFill>
              </w:rPr>
            </w:pPr>
            <w:r>
              <w:rPr>
                <w:color w:val="000000" w:themeColor="text1"/>
                <w14:textFill>
                  <w14:solidFill>
                    <w14:schemeClr w14:val="tx1"/>
                  </w14:solidFill>
                </w14:textFill>
              </w:rPr>
              <w:t>Pruebas manuales y ajustes (Ciclo 1)</w:t>
            </w:r>
          </w:p>
        </w:tc>
        <w:tc>
          <w:tcPr>
            <w:tcW w:w="1600" w:type="dxa"/>
          </w:tcPr>
          <w:p w14:paraId="70A828C9">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2</w:t>
            </w:r>
          </w:p>
        </w:tc>
        <w:tc>
          <w:tcPr>
            <w:tcW w:w="1600" w:type="dxa"/>
          </w:tcPr>
          <w:p w14:paraId="5EB6EAD3">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3</w:t>
            </w:r>
          </w:p>
        </w:tc>
        <w:tc>
          <w:tcPr>
            <w:tcW w:w="1400" w:type="dxa"/>
          </w:tcPr>
          <w:p w14:paraId="37FBC3C4">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5</w:t>
            </w:r>
          </w:p>
        </w:tc>
      </w:tr>
      <w:tr w14:paraId="59571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Pr>
          <w:p w14:paraId="3DB7A445">
            <w:pPr>
              <w:spacing w:before="40" w:after="40"/>
              <w:jc w:val="left"/>
              <w:rPr>
                <w:color w:val="000000" w:themeColor="text1"/>
                <w14:textFill>
                  <w14:solidFill>
                    <w14:schemeClr w14:val="tx1"/>
                  </w14:solidFill>
                </w14:textFill>
              </w:rPr>
            </w:pPr>
            <w:r>
              <w:rPr>
                <w:color w:val="000000" w:themeColor="text1"/>
                <w14:textFill>
                  <w14:solidFill>
                    <w14:schemeClr w14:val="tx1"/>
                  </w14:solidFill>
                </w14:textFill>
              </w:rPr>
              <w:t>Documento de retrospectiva (Ciclo 1)</w:t>
            </w:r>
          </w:p>
        </w:tc>
        <w:tc>
          <w:tcPr>
            <w:tcW w:w="1600" w:type="dxa"/>
          </w:tcPr>
          <w:p w14:paraId="48994B31">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1</w:t>
            </w:r>
          </w:p>
        </w:tc>
        <w:tc>
          <w:tcPr>
            <w:tcW w:w="1600" w:type="dxa"/>
          </w:tcPr>
          <w:p w14:paraId="0DF16A26">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1.5</w:t>
            </w:r>
          </w:p>
        </w:tc>
        <w:tc>
          <w:tcPr>
            <w:tcW w:w="1400" w:type="dxa"/>
          </w:tcPr>
          <w:p w14:paraId="046C5B90">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2.5</w:t>
            </w:r>
          </w:p>
        </w:tc>
      </w:tr>
      <w:tr w14:paraId="668C0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shd w:val="clear" w:color="auto" w:fill="F2F2F2"/>
          </w:tcPr>
          <w:p w14:paraId="53EB96ED">
            <w:pPr>
              <w:spacing w:before="40" w:after="40"/>
              <w:jc w:val="left"/>
              <w:rPr>
                <w:color w:val="000000" w:themeColor="text1"/>
                <w14:textFill>
                  <w14:solidFill>
                    <w14:schemeClr w14:val="tx1"/>
                  </w14:solidFill>
                </w14:textFill>
              </w:rPr>
            </w:pPr>
            <w:r>
              <w:rPr>
                <w:b/>
                <w:bCs/>
                <w:color w:val="000000" w:themeColor="text1"/>
                <w14:textFill>
                  <w14:solidFill>
                    <w14:schemeClr w14:val="tx1"/>
                  </w14:solidFill>
                </w14:textFill>
              </w:rPr>
              <w:t>Subtotal Ciclo 1</w:t>
            </w:r>
          </w:p>
        </w:tc>
        <w:tc>
          <w:tcPr>
            <w:tcW w:w="1600" w:type="dxa"/>
            <w:shd w:val="clear" w:color="auto" w:fill="F2F2F2"/>
          </w:tcPr>
          <w:p w14:paraId="7E2C88B9">
            <w:pPr>
              <w:spacing w:before="40" w:after="40"/>
              <w:jc w:val="center"/>
              <w:rPr>
                <w:color w:val="000000" w:themeColor="text1"/>
                <w14:textFill>
                  <w14:solidFill>
                    <w14:schemeClr w14:val="tx1"/>
                  </w14:solidFill>
                </w14:textFill>
              </w:rPr>
            </w:pPr>
            <w:r>
              <w:rPr>
                <w:b/>
                <w:bCs/>
                <w:color w:val="000000" w:themeColor="text1"/>
                <w14:textFill>
                  <w14:solidFill>
                    <w14:schemeClr w14:val="tx1"/>
                  </w14:solidFill>
                </w14:textFill>
              </w:rPr>
              <w:t>15</w:t>
            </w:r>
          </w:p>
        </w:tc>
        <w:tc>
          <w:tcPr>
            <w:tcW w:w="1600" w:type="dxa"/>
            <w:shd w:val="clear" w:color="auto" w:fill="F2F2F2"/>
          </w:tcPr>
          <w:p w14:paraId="1B9EF1F8">
            <w:pPr>
              <w:spacing w:before="40" w:after="40"/>
              <w:jc w:val="center"/>
              <w:rPr>
                <w:color w:val="000000" w:themeColor="text1"/>
                <w14:textFill>
                  <w14:solidFill>
                    <w14:schemeClr w14:val="tx1"/>
                  </w14:solidFill>
                </w14:textFill>
              </w:rPr>
            </w:pPr>
            <w:r>
              <w:rPr>
                <w:b/>
                <w:bCs/>
                <w:color w:val="000000" w:themeColor="text1"/>
                <w14:textFill>
                  <w14:solidFill>
                    <w14:schemeClr w14:val="tx1"/>
                  </w14:solidFill>
                </w14:textFill>
              </w:rPr>
              <w:t>14.5</w:t>
            </w:r>
          </w:p>
        </w:tc>
        <w:tc>
          <w:tcPr>
            <w:tcW w:w="1400" w:type="dxa"/>
            <w:shd w:val="clear" w:color="auto" w:fill="F2F2F2"/>
          </w:tcPr>
          <w:p w14:paraId="309E6712">
            <w:pPr>
              <w:spacing w:before="40" w:after="40"/>
              <w:jc w:val="center"/>
              <w:rPr>
                <w:color w:val="000000" w:themeColor="text1"/>
                <w14:textFill>
                  <w14:solidFill>
                    <w14:schemeClr w14:val="tx1"/>
                  </w14:solidFill>
                </w14:textFill>
              </w:rPr>
            </w:pPr>
            <w:r>
              <w:rPr>
                <w:b/>
                <w:bCs/>
                <w:color w:val="000000" w:themeColor="text1"/>
                <w14:textFill>
                  <w14:solidFill>
                    <w14:schemeClr w14:val="tx1"/>
                  </w14:solidFill>
                </w14:textFill>
              </w:rPr>
              <w:t>29.5</w:t>
            </w:r>
          </w:p>
        </w:tc>
      </w:tr>
      <w:tr w14:paraId="3CCCB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Pr>
          <w:p w14:paraId="7CE2380B">
            <w:pPr>
              <w:spacing w:before="40" w:after="40"/>
              <w:jc w:val="left"/>
              <w:rPr>
                <w:color w:val="000000" w:themeColor="text1"/>
                <w14:textFill>
                  <w14:solidFill>
                    <w14:schemeClr w14:val="tx1"/>
                  </w14:solidFill>
                </w14:textFill>
              </w:rPr>
            </w:pPr>
            <w:r>
              <w:rPr>
                <w:color w:val="000000" w:themeColor="text1"/>
                <w14:textFill>
                  <w14:solidFill>
                    <w14:schemeClr w14:val="tx1"/>
                  </w14:solidFill>
                </w14:textFill>
              </w:rPr>
              <w:t>Extensión swap / lock / unlock (MC1)</w:t>
            </w:r>
          </w:p>
        </w:tc>
        <w:tc>
          <w:tcPr>
            <w:tcW w:w="1600" w:type="dxa"/>
          </w:tcPr>
          <w:p w14:paraId="21213666">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6</w:t>
            </w:r>
          </w:p>
        </w:tc>
        <w:tc>
          <w:tcPr>
            <w:tcW w:w="1600" w:type="dxa"/>
          </w:tcPr>
          <w:p w14:paraId="6C607D35">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2</w:t>
            </w:r>
          </w:p>
        </w:tc>
        <w:tc>
          <w:tcPr>
            <w:tcW w:w="1400" w:type="dxa"/>
          </w:tcPr>
          <w:p w14:paraId="68CBBA46">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8</w:t>
            </w:r>
          </w:p>
        </w:tc>
      </w:tr>
      <w:tr w14:paraId="33582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Pr>
          <w:p w14:paraId="2743DA06">
            <w:pPr>
              <w:spacing w:before="40" w:after="40"/>
              <w:jc w:val="left"/>
              <w:rPr>
                <w:color w:val="000000" w:themeColor="text1"/>
                <w14:textFill>
                  <w14:solidFill>
                    <w14:schemeClr w14:val="tx1"/>
                  </w14:solidFill>
                </w14:textFill>
              </w:rPr>
            </w:pPr>
            <w:r>
              <w:rPr>
                <w:color w:val="000000" w:themeColor="text1"/>
                <w14:textFill>
                  <w14:solidFill>
                    <w14:schemeClr w14:val="tx1"/>
                  </w14:solidFill>
                </w14:textFill>
              </w:rPr>
              <w:t>Extensión spin(wheel, steps) y spin(setSymbols) (MC2)</w:t>
            </w:r>
          </w:p>
        </w:tc>
        <w:tc>
          <w:tcPr>
            <w:tcW w:w="1600" w:type="dxa"/>
          </w:tcPr>
          <w:p w14:paraId="091A32AD">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4</w:t>
            </w:r>
          </w:p>
        </w:tc>
        <w:tc>
          <w:tcPr>
            <w:tcW w:w="1600" w:type="dxa"/>
          </w:tcPr>
          <w:p w14:paraId="19CE4DD0">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2</w:t>
            </w:r>
          </w:p>
        </w:tc>
        <w:tc>
          <w:tcPr>
            <w:tcW w:w="1400" w:type="dxa"/>
          </w:tcPr>
          <w:p w14:paraId="19CF7A40">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6</w:t>
            </w:r>
          </w:p>
        </w:tc>
      </w:tr>
      <w:tr w14:paraId="03D50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Pr>
          <w:p w14:paraId="3CB739E7">
            <w:pPr>
              <w:spacing w:before="40" w:after="40"/>
              <w:jc w:val="left"/>
              <w:rPr>
                <w:color w:val="000000" w:themeColor="text1"/>
                <w14:textFill>
                  <w14:solidFill>
                    <w14:schemeClr w14:val="tx1"/>
                  </w14:solidFill>
                </w14:textFill>
              </w:rPr>
            </w:pPr>
            <w:r>
              <w:rPr>
                <w:color w:val="000000" w:themeColor="text1"/>
                <w14:textFill>
                  <w14:solidFill>
                    <w14:schemeClr w14:val="tx1"/>
                  </w14:solidFill>
                </w14:textFill>
              </w:rPr>
              <w:t>Pruebas unitarias JUnit 4 (MC3)</w:t>
            </w:r>
          </w:p>
        </w:tc>
        <w:tc>
          <w:tcPr>
            <w:tcW w:w="1600" w:type="dxa"/>
          </w:tcPr>
          <w:p w14:paraId="09758AD6">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1</w:t>
            </w:r>
          </w:p>
        </w:tc>
        <w:tc>
          <w:tcPr>
            <w:tcW w:w="1600" w:type="dxa"/>
          </w:tcPr>
          <w:p w14:paraId="4C614210">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3</w:t>
            </w:r>
          </w:p>
        </w:tc>
        <w:tc>
          <w:tcPr>
            <w:tcW w:w="1400" w:type="dxa"/>
          </w:tcPr>
          <w:p w14:paraId="0B3057D9">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4</w:t>
            </w:r>
          </w:p>
        </w:tc>
      </w:tr>
      <w:tr w14:paraId="3DC0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Pr>
          <w:p w14:paraId="65AAF93A">
            <w:pPr>
              <w:spacing w:before="40" w:after="40"/>
              <w:jc w:val="left"/>
              <w:rPr>
                <w:color w:val="000000" w:themeColor="text1"/>
                <w14:textFill>
                  <w14:solidFill>
                    <w14:schemeClr w14:val="tx1"/>
                  </w14:solidFill>
                </w14:textFill>
              </w:rPr>
            </w:pPr>
            <w:r>
              <w:rPr>
                <w:color w:val="000000" w:themeColor="text1"/>
                <w14:textFill>
                  <w14:solidFill>
                    <w14:schemeClr w14:val="tx1"/>
                  </w14:solidFill>
                </w14:textFill>
              </w:rPr>
              <w:t>Refactoring y traducción a inglés (MC4)</w:t>
            </w:r>
          </w:p>
        </w:tc>
        <w:tc>
          <w:tcPr>
            <w:tcW w:w="1600" w:type="dxa"/>
          </w:tcPr>
          <w:p w14:paraId="0ED6CF4A">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0.5</w:t>
            </w:r>
          </w:p>
        </w:tc>
        <w:tc>
          <w:tcPr>
            <w:tcW w:w="1600" w:type="dxa"/>
          </w:tcPr>
          <w:p w14:paraId="5A97E906">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3</w:t>
            </w:r>
          </w:p>
        </w:tc>
        <w:tc>
          <w:tcPr>
            <w:tcW w:w="1400" w:type="dxa"/>
          </w:tcPr>
          <w:p w14:paraId="3E813E10">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3.5</w:t>
            </w:r>
          </w:p>
        </w:tc>
      </w:tr>
      <w:tr w14:paraId="70C33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Pr>
          <w:p w14:paraId="50F9896C">
            <w:pPr>
              <w:spacing w:before="40" w:after="40"/>
              <w:jc w:val="left"/>
              <w:rPr>
                <w:color w:val="000000" w:themeColor="text1"/>
                <w14:textFill>
                  <w14:solidFill>
                    <w14:schemeClr w14:val="tx1"/>
                  </w14:solidFill>
                </w14:textFill>
              </w:rPr>
            </w:pPr>
            <w:r>
              <w:rPr>
                <w:color w:val="000000" w:themeColor="text1"/>
                <w14:textFill>
                  <w14:solidFill>
                    <w14:schemeClr w14:val="tx1"/>
                  </w14:solidFill>
                </w14:textFill>
              </w:rPr>
              <w:t>Actualización del diagrama en Astah</w:t>
            </w:r>
          </w:p>
        </w:tc>
        <w:tc>
          <w:tcPr>
            <w:tcW w:w="1600" w:type="dxa"/>
          </w:tcPr>
          <w:p w14:paraId="1A15482D">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2</w:t>
            </w:r>
          </w:p>
        </w:tc>
        <w:tc>
          <w:tcPr>
            <w:tcW w:w="1600" w:type="dxa"/>
          </w:tcPr>
          <w:p w14:paraId="6ABD2BC3">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1</w:t>
            </w:r>
          </w:p>
        </w:tc>
        <w:tc>
          <w:tcPr>
            <w:tcW w:w="1400" w:type="dxa"/>
          </w:tcPr>
          <w:p w14:paraId="4E60B450">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3</w:t>
            </w:r>
          </w:p>
        </w:tc>
      </w:tr>
      <w:tr w14:paraId="4BDF8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Pr>
          <w:p w14:paraId="05DD535F">
            <w:pPr>
              <w:spacing w:before="40" w:after="40"/>
              <w:jc w:val="left"/>
              <w:rPr>
                <w:color w:val="000000" w:themeColor="text1"/>
                <w14:textFill>
                  <w14:solidFill>
                    <w14:schemeClr w14:val="tx1"/>
                  </w14:solidFill>
                </w14:textFill>
              </w:rPr>
            </w:pPr>
            <w:r>
              <w:rPr>
                <w:color w:val="000000" w:themeColor="text1"/>
                <w14:textFill>
                  <w14:solidFill>
                    <w14:schemeClr w14:val="tx1"/>
                  </w14:solidFill>
                </w14:textFill>
              </w:rPr>
              <w:t>Documento de retrospectiva (Ciclo 2)</w:t>
            </w:r>
          </w:p>
        </w:tc>
        <w:tc>
          <w:tcPr>
            <w:tcW w:w="1600" w:type="dxa"/>
          </w:tcPr>
          <w:p w14:paraId="194B0D19">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1.5</w:t>
            </w:r>
          </w:p>
        </w:tc>
        <w:tc>
          <w:tcPr>
            <w:tcW w:w="1600" w:type="dxa"/>
          </w:tcPr>
          <w:p w14:paraId="05E5F6C0">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1</w:t>
            </w:r>
          </w:p>
        </w:tc>
        <w:tc>
          <w:tcPr>
            <w:tcW w:w="1400" w:type="dxa"/>
          </w:tcPr>
          <w:p w14:paraId="4F7E3744">
            <w:pPr>
              <w:spacing w:before="40" w:after="40"/>
              <w:jc w:val="center"/>
              <w:rPr>
                <w:color w:val="000000" w:themeColor="text1"/>
                <w14:textFill>
                  <w14:solidFill>
                    <w14:schemeClr w14:val="tx1"/>
                  </w14:solidFill>
                </w14:textFill>
              </w:rPr>
            </w:pPr>
            <w:r>
              <w:rPr>
                <w:color w:val="000000" w:themeColor="text1"/>
                <w14:textFill>
                  <w14:solidFill>
                    <w14:schemeClr w14:val="tx1"/>
                  </w14:solidFill>
                </w14:textFill>
              </w:rPr>
              <w:t>2.5</w:t>
            </w:r>
          </w:p>
        </w:tc>
      </w:tr>
      <w:tr w14:paraId="43D2C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shd w:val="clear" w:color="auto" w:fill="F2F2F2"/>
          </w:tcPr>
          <w:p w14:paraId="431FA162">
            <w:pPr>
              <w:spacing w:before="40" w:after="40"/>
              <w:jc w:val="left"/>
              <w:rPr>
                <w:color w:val="000000" w:themeColor="text1"/>
                <w14:textFill>
                  <w14:solidFill>
                    <w14:schemeClr w14:val="tx1"/>
                  </w14:solidFill>
                </w14:textFill>
              </w:rPr>
            </w:pPr>
            <w:r>
              <w:rPr>
                <w:b/>
                <w:bCs/>
                <w:color w:val="000000" w:themeColor="text1"/>
                <w14:textFill>
                  <w14:solidFill>
                    <w14:schemeClr w14:val="tx1"/>
                  </w14:solidFill>
                </w14:textFill>
              </w:rPr>
              <w:t>Subtotal Ciclo 2</w:t>
            </w:r>
          </w:p>
        </w:tc>
        <w:tc>
          <w:tcPr>
            <w:tcW w:w="1600" w:type="dxa"/>
            <w:shd w:val="clear" w:color="auto" w:fill="F2F2F2"/>
          </w:tcPr>
          <w:p w14:paraId="1CD94D2F">
            <w:pPr>
              <w:spacing w:before="40" w:after="40"/>
              <w:jc w:val="center"/>
              <w:rPr>
                <w:color w:val="000000" w:themeColor="text1"/>
                <w14:textFill>
                  <w14:solidFill>
                    <w14:schemeClr w14:val="tx1"/>
                  </w14:solidFill>
                </w14:textFill>
              </w:rPr>
            </w:pPr>
            <w:r>
              <w:rPr>
                <w:b/>
                <w:bCs/>
                <w:color w:val="000000" w:themeColor="text1"/>
                <w14:textFill>
                  <w14:solidFill>
                    <w14:schemeClr w14:val="tx1"/>
                  </w14:solidFill>
                </w14:textFill>
              </w:rPr>
              <w:t>15</w:t>
            </w:r>
          </w:p>
        </w:tc>
        <w:tc>
          <w:tcPr>
            <w:tcW w:w="1600" w:type="dxa"/>
            <w:shd w:val="clear" w:color="auto" w:fill="F2F2F2"/>
          </w:tcPr>
          <w:p w14:paraId="2E9D7ED6">
            <w:pPr>
              <w:spacing w:before="40" w:after="40"/>
              <w:jc w:val="center"/>
              <w:rPr>
                <w:color w:val="000000" w:themeColor="text1"/>
                <w14:textFill>
                  <w14:solidFill>
                    <w14:schemeClr w14:val="tx1"/>
                  </w14:solidFill>
                </w14:textFill>
              </w:rPr>
            </w:pPr>
            <w:r>
              <w:rPr>
                <w:b/>
                <w:bCs/>
                <w:color w:val="000000" w:themeColor="text1"/>
                <w14:textFill>
                  <w14:solidFill>
                    <w14:schemeClr w14:val="tx1"/>
                  </w14:solidFill>
                </w14:textFill>
              </w:rPr>
              <w:t>12</w:t>
            </w:r>
          </w:p>
        </w:tc>
        <w:tc>
          <w:tcPr>
            <w:tcW w:w="1400" w:type="dxa"/>
            <w:shd w:val="clear" w:color="auto" w:fill="F2F2F2"/>
          </w:tcPr>
          <w:p w14:paraId="28A6B99B">
            <w:pPr>
              <w:spacing w:before="40" w:after="40"/>
              <w:jc w:val="center"/>
              <w:rPr>
                <w:color w:val="000000" w:themeColor="text1"/>
                <w14:textFill>
                  <w14:solidFill>
                    <w14:schemeClr w14:val="tx1"/>
                  </w14:solidFill>
                </w14:textFill>
              </w:rPr>
            </w:pPr>
            <w:r>
              <w:rPr>
                <w:b/>
                <w:bCs/>
                <w:color w:val="000000" w:themeColor="text1"/>
                <w14:textFill>
                  <w14:solidFill>
                    <w14:schemeClr w14:val="tx1"/>
                  </w14:solidFill>
                </w14:textFill>
              </w:rPr>
              <w:t>27</w:t>
            </w:r>
          </w:p>
        </w:tc>
      </w:tr>
      <w:tr w14:paraId="28C2E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shd w:val="clear" w:color="auto" w:fill="D9D9D9"/>
          </w:tcPr>
          <w:p w14:paraId="645940F3">
            <w:pPr>
              <w:spacing w:before="40" w:after="40"/>
              <w:jc w:val="left"/>
              <w:rPr>
                <w:color w:val="000000" w:themeColor="text1"/>
                <w14:textFill>
                  <w14:solidFill>
                    <w14:schemeClr w14:val="tx1"/>
                  </w14:solidFill>
                </w14:textFill>
              </w:rPr>
            </w:pPr>
            <w:r>
              <w:rPr>
                <w:b/>
                <w:bCs/>
                <w:color w:val="000000" w:themeColor="text1"/>
                <w14:textFill>
                  <w14:solidFill>
                    <w14:schemeClr w14:val="tx1"/>
                  </w14:solidFill>
                </w14:textFill>
              </w:rPr>
              <w:t>TOTAL PROYECTO (Ciclo 1 + Ciclo 2)</w:t>
            </w:r>
          </w:p>
        </w:tc>
        <w:tc>
          <w:tcPr>
            <w:tcW w:w="1600" w:type="dxa"/>
            <w:shd w:val="clear" w:color="auto" w:fill="D9D9D9"/>
          </w:tcPr>
          <w:p w14:paraId="0CF919B1">
            <w:pPr>
              <w:spacing w:before="40" w:after="40"/>
              <w:jc w:val="center"/>
              <w:rPr>
                <w:color w:val="000000" w:themeColor="text1"/>
                <w14:textFill>
                  <w14:solidFill>
                    <w14:schemeClr w14:val="tx1"/>
                  </w14:solidFill>
                </w14:textFill>
              </w:rPr>
            </w:pPr>
            <w:r>
              <w:rPr>
                <w:b/>
                <w:bCs/>
                <w:color w:val="000000" w:themeColor="text1"/>
                <w14:textFill>
                  <w14:solidFill>
                    <w14:schemeClr w14:val="tx1"/>
                  </w14:solidFill>
                </w14:textFill>
              </w:rPr>
              <w:t>30</w:t>
            </w:r>
          </w:p>
        </w:tc>
        <w:tc>
          <w:tcPr>
            <w:tcW w:w="1600" w:type="dxa"/>
            <w:shd w:val="clear" w:color="auto" w:fill="D9D9D9"/>
          </w:tcPr>
          <w:p w14:paraId="1A485535">
            <w:pPr>
              <w:spacing w:before="40" w:after="40"/>
              <w:jc w:val="center"/>
              <w:rPr>
                <w:color w:val="000000" w:themeColor="text1"/>
                <w14:textFill>
                  <w14:solidFill>
                    <w14:schemeClr w14:val="tx1"/>
                  </w14:solidFill>
                </w14:textFill>
              </w:rPr>
            </w:pPr>
            <w:r>
              <w:rPr>
                <w:b/>
                <w:bCs/>
                <w:color w:val="000000" w:themeColor="text1"/>
                <w14:textFill>
                  <w14:solidFill>
                    <w14:schemeClr w14:val="tx1"/>
                  </w14:solidFill>
                </w14:textFill>
              </w:rPr>
              <w:t>26.5</w:t>
            </w:r>
          </w:p>
        </w:tc>
        <w:tc>
          <w:tcPr>
            <w:tcW w:w="1400" w:type="dxa"/>
            <w:shd w:val="clear" w:color="auto" w:fill="D9D9D9"/>
          </w:tcPr>
          <w:p w14:paraId="668825DD">
            <w:pPr>
              <w:spacing w:before="40" w:after="40"/>
              <w:jc w:val="center"/>
              <w:rPr>
                <w:color w:val="000000" w:themeColor="text1"/>
                <w14:textFill>
                  <w14:solidFill>
                    <w14:schemeClr w14:val="tx1"/>
                  </w14:solidFill>
                </w14:textFill>
              </w:rPr>
            </w:pPr>
            <w:r>
              <w:rPr>
                <w:b/>
                <w:bCs/>
                <w:color w:val="000000" w:themeColor="text1"/>
                <w14:textFill>
                  <w14:solidFill>
                    <w14:schemeClr w14:val="tx1"/>
                  </w14:solidFill>
                </w14:textFill>
              </w:rPr>
              <w:t>56.5</w:t>
            </w:r>
          </w:p>
        </w:tc>
      </w:tr>
    </w:tbl>
    <w:p w14:paraId="72980B27">
      <w:pPr>
        <w:spacing w:after="120"/>
        <w:rPr>
          <w:color w:val="000000" w:themeColor="text1"/>
          <w14:textFill>
            <w14:solidFill>
              <w14:schemeClr w14:val="tx1"/>
            </w14:solidFill>
          </w14:textFill>
        </w:rPr>
      </w:pPr>
    </w:p>
    <w:p w14:paraId="638302C4">
      <w:pPr>
        <w:spacing w:after="240"/>
        <w:rPr>
          <w:color w:val="000000" w:themeColor="text1"/>
          <w14:textFill>
            <w14:solidFill>
              <w14:schemeClr w14:val="tx1"/>
            </w14:solidFill>
          </w14:textFill>
        </w:rPr>
      </w:pPr>
      <w:r>
        <w:rPr>
          <w:color w:val="000000" w:themeColor="text1"/>
          <w14:textFill>
            <w14:solidFill>
              <w14:schemeClr w14:val="tx1"/>
            </w14:solidFill>
          </w14:textFill>
        </w:rPr>
        <w:t>El reparto no fue simétrico y eso se ve en la tabla: en el Ciclo 2, Casallas invirtió más horas en la implementación de los métodos nuevos y Peña en las pruebas y el refactoring final. En el Ciclo 1 la carga estuvo más pareja.</w:t>
      </w:r>
    </w:p>
    <w:p w14:paraId="20B72CA1">
      <w:pPr>
        <w:pStyle w:val="2"/>
        <w:spacing w:after="160"/>
        <w:rPr>
          <w:color w:val="000000" w:themeColor="text1"/>
          <w14:textFill>
            <w14:solidFill>
              <w14:schemeClr w14:val="tx1"/>
            </w14:solidFill>
          </w14:textFill>
        </w:rPr>
      </w:pPr>
      <w:r>
        <w:rPr>
          <w:color w:val="000000" w:themeColor="text1"/>
          <w14:textFill>
            <w14:solidFill>
              <w14:schemeClr w14:val="tx1"/>
            </w14:solidFill>
          </w14:textFill>
        </w:rPr>
        <w:t>4. ¿Cuál consideran fue el mayor logro? ¿Por qué?</w:t>
      </w:r>
    </w:p>
    <w:p w14:paraId="0A8C6F40">
      <w:pPr>
        <w:pStyle w:val="3"/>
        <w:spacing w:after="160"/>
        <w:rPr>
          <w:color w:val="000000" w:themeColor="text1"/>
          <w14:textFill>
            <w14:solidFill>
              <w14:schemeClr w14:val="tx1"/>
            </w14:solidFill>
          </w14:textFill>
        </w:rPr>
      </w:pPr>
      <w:r>
        <w:rPr>
          <w:color w:val="000000" w:themeColor="text1"/>
          <w14:textFill>
            <w14:solidFill>
              <w14:schemeClr w14:val="tx1"/>
            </w14:solidFill>
          </w14:textFill>
        </w:rPr>
        <w:t>Ciclo 1</w:t>
      </w:r>
    </w:p>
    <w:p w14:paraId="6DD2B46D">
      <w:pPr>
        <w:spacing w:after="240"/>
        <w:rPr>
          <w:color w:val="000000" w:themeColor="text1"/>
          <w14:textFill>
            <w14:solidFill>
              <w14:schemeClr w14:val="tx1"/>
            </w14:solidFill>
          </w14:textFill>
        </w:rPr>
      </w:pPr>
      <w:r>
        <w:rPr>
          <w:color w:val="000000" w:themeColor="text1"/>
          <w14:textFill>
            <w14:solidFill>
              <w14:schemeClr w14:val="tx1"/>
            </w14:solidFill>
          </w14:textFill>
        </w:rPr>
        <w:t>Haber dejado la lógica del simulador separada de la parte gráfica. SlotMachine y Wheel no heredan</w:t>
      </w:r>
      <w:bookmarkStart w:id="0" w:name="_GoBack"/>
      <w:bookmarkEnd w:id="0"/>
      <w:r>
        <w:rPr>
          <w:color w:val="000000" w:themeColor="text1"/>
          <w14:textFill>
            <w14:solidFill>
              <w14:schemeClr w14:val="tx1"/>
            </w14:solidFill>
          </w14:textFill>
        </w:rPr>
        <w:t xml:space="preserve"> de nada del paquete shapes; solo Symbol extiende Rectangle, y únicamente para dibujarse. En su momento parecía una decisión de estilo. En el Ciclo 2 resultó ser la razón por la que pudimos agregar swap, lock, unlock y dos spin nuevos sin abrir ni una sola clase gráfica.</w:t>
      </w:r>
    </w:p>
    <w:p w14:paraId="051295B0">
      <w:pPr>
        <w:pStyle w:val="3"/>
        <w:spacing w:after="160"/>
        <w:rPr>
          <w:color w:val="000000" w:themeColor="text1"/>
          <w14:textFill>
            <w14:solidFill>
              <w14:schemeClr w14:val="tx1"/>
            </w14:solidFill>
          </w14:textFill>
        </w:rPr>
      </w:pPr>
      <w:r>
        <w:rPr>
          <w:color w:val="000000" w:themeColor="text1"/>
          <w14:textFill>
            <w14:solidFill>
              <w14:schemeClr w14:val="tx1"/>
            </w14:solidFill>
          </w14:textFill>
        </w:rPr>
        <w:t>Ciclo 2</w:t>
      </w:r>
    </w:p>
    <w:p w14:paraId="2DD42E0C">
      <w:pPr>
        <w:spacing w:after="100"/>
        <w:rPr>
          <w:color w:val="000000" w:themeColor="text1"/>
          <w14:textFill>
            <w14:solidFill>
              <w14:schemeClr w14:val="tx1"/>
            </w14:solidFill>
          </w14:textFill>
        </w:rPr>
      </w:pPr>
      <w:r>
        <w:rPr>
          <w:color w:val="000000" w:themeColor="text1"/>
          <w14:textFill>
            <w14:solidFill>
              <w14:schemeClr w14:val="tx1"/>
            </w14:solidFill>
          </w14:textFill>
        </w:rPr>
        <w:t>Las pruebas automatizadas. En el Ciclo 1 verificábamos todo a mano, creando el objeto en BlueJ y mirando la pantalla; cada cambio significaba repetir el ritual completo. Ahora corremos cuatro casos en menos de un segundo, en modo invisible, y sabemos de inmediato si algo se rompió.</w:t>
      </w:r>
    </w:p>
    <w:p w14:paraId="448780C2">
      <w:pPr>
        <w:spacing w:after="240"/>
        <w:rPr>
          <w:color w:val="000000" w:themeColor="text1"/>
          <w14:textFill>
            <w14:solidFill>
              <w14:schemeClr w14:val="tx1"/>
            </w14:solidFill>
          </w14:textFill>
        </w:rPr>
      </w:pPr>
      <w:r>
        <w:rPr>
          <w:color w:val="000000" w:themeColor="text1"/>
          <w14:textFill>
            <w14:solidFill>
              <w14:schemeClr w14:val="tx1"/>
            </w14:solidFill>
          </w14:textFill>
        </w:rPr>
        <w:t>Eso se notó justo al final: al traducir todo al inglés, lo único que nos dio confianza para renombrar atributos y métodos en dos clases enteras fue poder volver a correr las pruebas y verlas pasar.</w:t>
      </w:r>
    </w:p>
    <w:p w14:paraId="3841215F">
      <w:pPr>
        <w:pStyle w:val="2"/>
        <w:spacing w:after="160"/>
        <w:rPr>
          <w:color w:val="000000" w:themeColor="text1"/>
          <w14:textFill>
            <w14:solidFill>
              <w14:schemeClr w14:val="tx1"/>
            </w14:solidFill>
          </w14:textFill>
        </w:rPr>
      </w:pPr>
      <w:r>
        <w:rPr>
          <w:color w:val="000000" w:themeColor="text1"/>
          <w14:textFill>
            <w14:solidFill>
              <w14:schemeClr w14:val="tx1"/>
            </w14:solidFill>
          </w14:textFill>
        </w:rPr>
        <w:t>5. ¿Cuál consideran que fue el mayor problema técnico? ¿Qué hicieron para resolverlo?</w:t>
      </w:r>
    </w:p>
    <w:p w14:paraId="72AB8E7B">
      <w:pPr>
        <w:pStyle w:val="3"/>
        <w:spacing w:after="160"/>
        <w:rPr>
          <w:color w:val="000000" w:themeColor="text1"/>
          <w14:textFill>
            <w14:solidFill>
              <w14:schemeClr w14:val="tx1"/>
            </w14:solidFill>
          </w14:textFill>
        </w:rPr>
      </w:pPr>
      <w:r>
        <w:rPr>
          <w:color w:val="000000" w:themeColor="text1"/>
          <w14:textFill>
            <w14:solidFill>
              <w14:schemeClr w14:val="tx1"/>
            </w14:solidFill>
          </w14:textFill>
        </w:rPr>
        <w:t>Ciclo 1</w:t>
      </w:r>
    </w:p>
    <w:p w14:paraId="2F2DA293">
      <w:pPr>
        <w:spacing w:after="100"/>
        <w:rPr>
          <w:color w:val="000000" w:themeColor="text1"/>
          <w14:textFill>
            <w14:solidFill>
              <w14:schemeClr w14:val="tx1"/>
            </w14:solidFill>
          </w14:textFill>
        </w:rPr>
      </w:pPr>
      <w:r>
        <w:rPr>
          <w:color w:val="000000" w:themeColor="text1"/>
          <w14:textFill>
            <w14:solidFill>
              <w14:schemeClr w14:val="tx1"/>
            </w14:solidFill>
          </w14:textFill>
        </w:rPr>
        <w:t>El posicionamiento de las ruedas en el canvas. Cada vez que se agregaba o eliminaba una, había que recalcular las coordenadas de todas las demás y el tamaño del cuerpo de la máquina, o quedaban huecos. Lo resolvimos centralizando ese cálculo en un método privado que se invoca después de cada operación que cambia el número de ruedas.</w:t>
      </w:r>
    </w:p>
    <w:p w14:paraId="356092AC">
      <w:pPr>
        <w:spacing w:after="240"/>
        <w:rPr>
          <w:color w:val="000000" w:themeColor="text1"/>
          <w14:textFill>
            <w14:solidFill>
              <w14:schemeClr w14:val="tx1"/>
            </w14:solidFill>
          </w14:textFill>
        </w:rPr>
      </w:pPr>
      <w:r>
        <w:rPr>
          <w:color w:val="000000" w:themeColor="text1"/>
          <w14:textFill>
            <w14:solidFill>
              <w14:schemeClr w14:val="tx1"/>
            </w14:solidFill>
          </w14:textFill>
        </w:rPr>
        <w:t>El otro punto fue el requisito de que los errores no se muestren en modo invisible. En vez de repetir la verificación en cada método público, la dejamos en un único método privado de manejo de fallos.</w:t>
      </w:r>
    </w:p>
    <w:p w14:paraId="7BA786BD">
      <w:pPr>
        <w:pStyle w:val="3"/>
        <w:spacing w:after="160"/>
        <w:rPr>
          <w:color w:val="000000" w:themeColor="text1"/>
          <w14:textFill>
            <w14:solidFill>
              <w14:schemeClr w14:val="tx1"/>
            </w14:solidFill>
          </w14:textFill>
        </w:rPr>
      </w:pPr>
      <w:r>
        <w:rPr>
          <w:color w:val="000000" w:themeColor="text1"/>
          <w14:textFill>
            <w14:solidFill>
              <w14:schemeClr w14:val="tx1"/>
            </w14:solidFill>
          </w14:textFill>
        </w:rPr>
        <w:t>Ciclo 2</w:t>
      </w:r>
    </w:p>
    <w:p w14:paraId="4DF3E471">
      <w:pPr>
        <w:spacing w:after="100"/>
        <w:rPr>
          <w:color w:val="000000" w:themeColor="text1"/>
          <w14:textFill>
            <w14:solidFill>
              <w14:schemeClr w14:val="tx1"/>
            </w14:solidFill>
          </w14:textFill>
        </w:rPr>
      </w:pPr>
      <w:r>
        <w:rPr>
          <w:color w:val="000000" w:themeColor="text1"/>
          <w14:textFill>
            <w14:solidFill>
              <w14:schemeClr w14:val="tx1"/>
            </w14:solidFill>
          </w14:textFill>
        </w:rPr>
        <w:t>El problema técnico fue dónde poner la espera de la animación. La primera idea era meter el retardo dentro de rotate(), en Wheel, pero eso habría hecho que las pruebas unitarias tardaran minutos en vez de milisegundos. La solución fue girar de a un paso desde SlotMachine y esperar entre pasos solo si el simulador está visible. En modo invisible la operación se ejecuta de una.</w:t>
      </w:r>
    </w:p>
    <w:p w14:paraId="659ED1EF">
      <w:pPr>
        <w:spacing w:after="100"/>
        <w:rPr>
          <w:color w:val="000000" w:themeColor="text1"/>
          <w14:textFill>
            <w14:solidFill>
              <w14:schemeClr w14:val="tx1"/>
            </w14:solidFill>
          </w14:textFill>
        </w:rPr>
      </w:pPr>
      <w:r>
        <w:rPr>
          <w:color w:val="000000" w:themeColor="text1"/>
          <w14:textFill>
            <w14:solidFill>
              <w14:schemeClr w14:val="tx1"/>
            </w14:solidFill>
          </w14:textFill>
        </w:rPr>
        <w:t>El problema de proceso fue peor, y vale la pena dejarlo escrito. Trabajamos varias horas sobre una copia del proyecto descargada como ZIP, no sobre la carpeta clonada del repositorio. Cuando fuimos a hacer commit, Git reportaba que no había cambios. Casi damos por perdido el trabajo del ciclo. Lo resolvimos copiando los archivos a la carpeta correcta, pero la lección es anterior: hay que confirmar sobre qué carpeta se está editando antes de empezar, no dos días después.</w:t>
      </w:r>
    </w:p>
    <w:p w14:paraId="5018818E">
      <w:pPr>
        <w:spacing w:after="240"/>
        <w:rPr>
          <w:color w:val="000000" w:themeColor="text1"/>
          <w14:textFill>
            <w14:solidFill>
              <w14:schemeClr w14:val="tx1"/>
            </w14:solidFill>
          </w14:textFill>
        </w:rPr>
      </w:pPr>
      <w:r>
        <w:rPr>
          <w:color w:val="000000" w:themeColor="text1"/>
          <w14:textFill>
            <w14:solidFill>
              <w14:schemeClr w14:val="tx1"/>
            </w14:solidFill>
          </w14:textFill>
        </w:rPr>
        <w:t>Queda además una discusión abierta. En el wiki colectivo, el grupo Ibarra–Poveda publicó un caso que asume que swap debe fallar si una de las ruedas está bloqueada. Nuestra implementación lo permite: entendemos que el bloqueo protege el símbolo que la rueda muestra, no la posición que ocupa en la máquina, y por eso una rueda bloqueada puede intercambiarse y sigue bloqueada después. Es una decisión defendible, pero es distinta a la de otro grupo, y eso significa que no toda la clase está interpretando igual el requisito. Es un punto para aclarar con el profesor antes del Ciclo 3.</w:t>
      </w:r>
    </w:p>
    <w:p w14:paraId="629EB739">
      <w:pPr>
        <w:pStyle w:val="2"/>
        <w:spacing w:after="160"/>
        <w:rPr>
          <w:color w:val="000000" w:themeColor="text1"/>
          <w14:textFill>
            <w14:solidFill>
              <w14:schemeClr w14:val="tx1"/>
            </w14:solidFill>
          </w14:textFill>
        </w:rPr>
      </w:pPr>
      <w:r>
        <w:rPr>
          <w:color w:val="000000" w:themeColor="text1"/>
          <w14:textFill>
            <w14:solidFill>
              <w14:schemeClr w14:val="tx1"/>
            </w14:solidFill>
          </w14:textFill>
        </w:rPr>
        <w:t>6. ¿Qué hicieron bien como equipo? ¿Qué se comprometen a hacer para mejorar?</w:t>
      </w:r>
    </w:p>
    <w:p w14:paraId="6C7A84A8">
      <w:pPr>
        <w:pStyle w:val="3"/>
        <w:spacing w:after="160"/>
        <w:rPr>
          <w:color w:val="000000" w:themeColor="text1"/>
          <w14:textFill>
            <w14:solidFill>
              <w14:schemeClr w14:val="tx1"/>
            </w14:solidFill>
          </w14:textFill>
        </w:rPr>
      </w:pPr>
      <w:r>
        <w:rPr>
          <w:color w:val="000000" w:themeColor="text1"/>
          <w14:textFill>
            <w14:solidFill>
              <w14:schemeClr w14:val="tx1"/>
            </w14:solidFill>
          </w14:textFill>
        </w:rPr>
        <w:t>Aciertos</w:t>
      </w:r>
    </w:p>
    <w:p w14:paraId="5D2F4755">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Repartimos el trabajo por método, no por archivo, lo que evitó que los dos editáramos las mismas líneas.</w:t>
      </w:r>
    </w:p>
    <w:p w14:paraId="622CE1F2">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Cada clase tiene una responsabilidad clara: SlotMachine coordina, Wheel administra su propio estado (incluido el bloqueo) y Symbol solo se dibuja.</w:t>
      </w:r>
    </w:p>
    <w:p w14:paraId="6FCBB3C2">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La decisión de dónde guardar el estado de bloqueo la discutimos antes de escribir código. Ponerlo dentro de Wheel, y no como una lista de posiciones en SlotMachine, hizo que swap fuera un intercambio de referencias en vez de una sincronización entre dos estructuras.</w:t>
      </w:r>
    </w:p>
    <w:p w14:paraId="616E9435">
      <w:pPr>
        <w:pStyle w:val="3"/>
        <w:spacing w:after="160"/>
        <w:rPr>
          <w:color w:val="000000" w:themeColor="text1"/>
          <w14:textFill>
            <w14:solidFill>
              <w14:schemeClr w14:val="tx1"/>
            </w14:solidFill>
          </w14:textFill>
        </w:rPr>
      </w:pPr>
      <w:r>
        <w:rPr>
          <w:color w:val="000000" w:themeColor="text1"/>
          <w14:textFill>
            <w14:solidFill>
              <w14:schemeClr w14:val="tx1"/>
            </w14:solidFill>
          </w14:textFill>
        </w:rPr>
        <w:t>Compromisos</w:t>
      </w:r>
    </w:p>
    <w:p w14:paraId="3796994B">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Escribir las pruebas antes de implementar cada método nuevo. En este ciclo las dejamos casi al final y funcionó, pero por poco: si el refactoring hubiera roto algo antes de tenerlas, no nos habríamos dado cuenta.</w:t>
      </w:r>
    </w:p>
    <w:p w14:paraId="582C8E75">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Verificar al inicio de cada sesión que estamos trabajando sobre la carpeta del repositorio, y hacer commit al cerrar cada mini-ciclo en vez de acumular todo para el final.</w:t>
      </w:r>
    </w:p>
    <w:p w14:paraId="7C144FAF">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Revisar el Javadoc contra el código antes de entregar. Este ciclo tuvimos comentarios que describían un comportamiento que el método no tenía.</w:t>
      </w:r>
    </w:p>
    <w:p w14:paraId="376C4206">
      <w:pPr>
        <w:spacing w:after="160"/>
        <w:rPr>
          <w:color w:val="000000" w:themeColor="text1"/>
          <w14:textFill>
            <w14:solidFill>
              <w14:schemeClr w14:val="tx1"/>
            </w14:solidFill>
          </w14:textFill>
        </w:rPr>
      </w:pPr>
    </w:p>
    <w:p w14:paraId="437929BD">
      <w:pPr>
        <w:pStyle w:val="2"/>
        <w:spacing w:after="160"/>
        <w:rPr>
          <w:color w:val="000000" w:themeColor="text1"/>
          <w14:textFill>
            <w14:solidFill>
              <w14:schemeClr w14:val="tx1"/>
            </w14:solidFill>
          </w14:textFill>
        </w:rPr>
      </w:pPr>
      <w:r>
        <w:rPr>
          <w:color w:val="000000" w:themeColor="text1"/>
          <w14:textFill>
            <w14:solidFill>
              <w14:schemeClr w14:val="tx1"/>
            </w14:solidFill>
          </w14:textFill>
        </w:rPr>
        <w:t>7. Considerando las prácticas XP de los laboratorios, ¿cuál fue la más útil? ¿Por qué?</w:t>
      </w:r>
    </w:p>
    <w:p w14:paraId="0353810E">
      <w:pPr>
        <w:spacing w:after="100"/>
        <w:rPr>
          <w:color w:val="000000" w:themeColor="text1"/>
          <w14:textFill>
            <w14:solidFill>
              <w14:schemeClr w14:val="tx1"/>
            </w14:solidFill>
          </w14:textFill>
        </w:rPr>
      </w:pPr>
      <w:r>
        <w:rPr>
          <w:color w:val="000000" w:themeColor="text1"/>
          <w14:textFill>
            <w14:solidFill>
              <w14:schemeClr w14:val="tx1"/>
            </w14:solidFill>
          </w14:textFill>
        </w:rPr>
        <w:t>El testing automatizado, sin discusión.</w:t>
      </w:r>
    </w:p>
    <w:p w14:paraId="4439B873">
      <w:pPr>
        <w:spacing w:after="100"/>
        <w:rPr>
          <w:color w:val="000000" w:themeColor="text1"/>
          <w14:textFill>
            <w14:solidFill>
              <w14:schemeClr w14:val="tx1"/>
            </w14:solidFill>
          </w14:textFill>
        </w:rPr>
      </w:pPr>
      <w:r>
        <w:rPr>
          <w:color w:val="000000" w:themeColor="text1"/>
          <w14:textFill>
            <w14:solidFill>
              <w14:schemeClr w14:val="tx1"/>
            </w14:solidFill>
          </w14:textFill>
        </w:rPr>
        <w:t>El Ciclo 1 lo sacamos con diseño simple y pruebas manuales, y alcanzó. Pero en el Ciclo 2 el código creció: tres métodos nuevos, dos sobrecargas de spin y un estado adicional que había que consultar desde cuatro sitios distintos. Verificar eso a mano en BlueJ, caso por caso, dejó de ser viable.</w:t>
      </w:r>
    </w:p>
    <w:p w14:paraId="1BAFEC8D">
      <w:pPr>
        <w:spacing w:after="100"/>
        <w:rPr>
          <w:color w:val="000000" w:themeColor="text1"/>
          <w14:textFill>
            <w14:solidFill>
              <w14:schemeClr w14:val="tx1"/>
            </w14:solidFill>
          </w14:textFill>
        </w:rPr>
      </w:pPr>
      <w:r>
        <w:rPr>
          <w:color w:val="000000" w:themeColor="text1"/>
          <w14:textFill>
            <w14:solidFill>
              <w14:schemeClr w14:val="tx1"/>
            </w14:solidFill>
          </w14:textFill>
        </w:rPr>
        <w:t>El momento en que se hizo evidente fue el refactoring. Renombrar atributos y métodos en dos clases completas, con la entrega el mismo día, es exactamente el escenario donde uno rompe algo sin enterarse. Poder correr la suite después de cada tanda de cambios fue lo que hizo que ese refactoring fuera una tarea de media hora y no una apuesta.</w:t>
      </w:r>
    </w:p>
    <w:p w14:paraId="30EE78A4">
      <w:pPr>
        <w:spacing w:after="240"/>
        <w:rPr>
          <w:color w:val="000000" w:themeColor="text1"/>
          <w14:textFill>
            <w14:solidFill>
              <w14:schemeClr w14:val="tx1"/>
            </w14:solidFill>
          </w14:textFill>
        </w:rPr>
      </w:pPr>
      <w:r>
        <w:rPr>
          <w:color w:val="000000" w:themeColor="text1"/>
          <w14:textFill>
            <w14:solidFill>
              <w14:schemeClr w14:val="tx1"/>
            </w14:solidFill>
          </w14:textFill>
        </w:rPr>
        <w:t>La refactorización en sí fue la segunda más útil, pero llegó a destiempo. La practicamos porque tocaba, no porque la hubiéramos planeado, y esa es una de las cosas que queremos corregir en el Ciclo 3.</w:t>
      </w:r>
    </w:p>
    <w:p w14:paraId="55F1DE21">
      <w:pPr>
        <w:pStyle w:val="2"/>
        <w:spacing w:after="160"/>
        <w:rPr>
          <w:color w:val="000000" w:themeColor="text1"/>
          <w14:textFill>
            <w14:solidFill>
              <w14:schemeClr w14:val="tx1"/>
            </w14:solidFill>
          </w14:textFill>
        </w:rPr>
      </w:pPr>
      <w:r>
        <w:rPr>
          <w:color w:val="000000" w:themeColor="text1"/>
          <w14:textFill>
            <w14:solidFill>
              <w14:schemeClr w14:val="tx1"/>
            </w14:solidFill>
          </w14:textFill>
        </w:rPr>
        <w:t>8. ¿Qué referencias usaron? ¿Cuál fue la más útil?</w:t>
      </w:r>
    </w:p>
    <w:p w14:paraId="2362535A">
      <w:pPr>
        <w:spacing w:after="160"/>
        <w:rPr>
          <w:color w:val="000000" w:themeColor="text1"/>
          <w14:textFill>
            <w14:solidFill>
              <w14:schemeClr w14:val="tx1"/>
            </w14:solidFill>
          </w14:textFill>
        </w:rPr>
      </w:pPr>
      <w:r>
        <w:rPr>
          <w:color w:val="000000" w:themeColor="text1"/>
          <w14:textFill>
            <w14:solidFill>
              <w14:schemeClr w14:val="tx1"/>
            </w14:solidFill>
          </w14:textFill>
        </w:rPr>
        <w:t>Referencias efectivamente consultadas durante el desarrollo, en formato APA 7ª edición:</w:t>
      </w:r>
    </w:p>
    <w:p w14:paraId="442BBD9C">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Barnes, D. J., &amp; Kölling, M. (2016). Objects First with Java: A Practical Introduction Using BlueJ (6.ª ed.). Pearson Education.</w:t>
      </w:r>
    </w:p>
    <w:p w14:paraId="3FC09C43">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Oracle. (2024). Java SE documentation. Oracle Corporation. https://docs.oracle.com/en/java/javase/</w:t>
      </w:r>
    </w:p>
    <w:p w14:paraId="4876B070">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JUnit Team. (2024). JUnit 4 documentation. https://junit.org/junit4/</w:t>
      </w:r>
    </w:p>
    <w:p w14:paraId="3B809F5B">
      <w:pPr>
        <w:pStyle w:val="16"/>
        <w:numPr>
          <w:ilvl w:val="0"/>
          <w:numId w:val="1"/>
        </w:numPr>
        <w:spacing w:after="100"/>
        <w:rPr>
          <w:color w:val="000000" w:themeColor="text1"/>
          <w14:textFill>
            <w14:solidFill>
              <w14:schemeClr w14:val="tx1"/>
            </w14:solidFill>
          </w14:textFill>
        </w:rPr>
      </w:pPr>
      <w:r>
        <w:rPr>
          <w:color w:val="000000" w:themeColor="text1"/>
          <w14:textFill>
            <w14:solidFill>
              <w14:schemeClr w14:val="tx1"/>
            </w14:solidFill>
          </w14:textFill>
        </w:rPr>
        <w:t>Escuela Colombiana de Ingeniería Julio Garavito. (2026). Proyecto Inicial 2026-2, Ciclos 1 y 2 [Enunciados del curso Desarrollo Orientado por Objetos].</w:t>
      </w:r>
    </w:p>
    <w:p w14:paraId="1D25F6A2">
      <w:pPr>
        <w:spacing w:after="100"/>
        <w:rPr>
          <w:color w:val="000000" w:themeColor="text1"/>
          <w14:textFill>
            <w14:solidFill>
              <w14:schemeClr w14:val="tx1"/>
            </w14:solidFill>
          </w14:textFill>
        </w:rPr>
      </w:pPr>
      <w:r>
        <w:rPr>
          <w:color w:val="000000" w:themeColor="text1"/>
          <w14:textFill>
            <w14:solidFill>
              <w14:schemeClr w14:val="tx1"/>
            </w14:solidFill>
          </w14:textFill>
        </w:rPr>
        <w:t>La más útil fue Barnes y Kölling. El enfoque de "objetos primero" con BlueJ es el mismo del curso, y el paquete shapes que reutilizamos viene de ese libro; sus capítulos sobre clases que colaboran entre sí orientaron directamente la relación entre Wheel y Symbol.</w:t>
      </w:r>
    </w:p>
    <w:p w14:paraId="37964F6E">
      <w:pPr>
        <w:spacing w:after="160"/>
        <w:rPr>
          <w:color w:val="000000" w:themeColor="text1"/>
          <w14:textFill>
            <w14:solidFill>
              <w14:schemeClr w14:val="tx1"/>
            </w14:solidFill>
          </w14:textFill>
        </w:rPr>
      </w:pPr>
      <w:r>
        <w:rPr>
          <w:color w:val="000000" w:themeColor="text1"/>
          <w14:textFill>
            <w14:solidFill>
              <w14:schemeClr w14:val="tx1"/>
            </w14:solidFill>
          </w14:textFill>
        </w:rPr>
        <w:t>De la documentación de Oracle usamos sobre todo la especificación de ArrayList, para entender qué devuelve set(int, E) y por qué un intercambio necesita una variable temporal. La documentación de JUnit 4 la consultamos para las anotaciones @Before y @After y para los métodos assertArrayEquals y assertFalse.</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isplayBackgroundShape w:val="1"/>
  <w:documentProtection w:enforcement="0"/>
  <w:compat>
    <w:compatSetting w:name="compatibilityMode" w:uri="http://schemas.microsoft.com/office/word" w:val="15"/>
  </w:compat>
  <w:rsids>
    <w:rsidRoot w:val="00000000"/>
    <w:rsid w:val="0ED51F0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sz w:val="20"/>
      <w:szCs w:val="20"/>
    </w:rPr>
  </w:style>
  <w:style w:type="paragraph" w:styleId="14">
    <w:name w:val="endnote text"/>
    <w:link w:val="18"/>
    <w:semiHidden/>
    <w:unhideWhenUsed/>
    <w:qFormat/>
    <w:uiPriority w:val="99"/>
    <w:pPr>
      <w:spacing w:after="0" w:line="240" w:lineRule="auto"/>
    </w:pPr>
    <w:rPr>
      <w:sz w:val="20"/>
      <w:szCs w:val="20"/>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1824</Words>
  <Characters>9238</Characters>
  <TotalTime>5</TotalTime>
  <ScaleCrop>false</ScaleCrop>
  <LinksUpToDate>false</LinksUpToDate>
  <CharactersWithSpaces>10931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2026-09-07T00:50:00Z</dcterms:created>
  <dc:creator>Un-named</dc:creator>
  <cp:lastModifiedBy>Santiago Casallas</cp:lastModifiedBy>
  <dcterms:modified xsi:type="dcterms:W3CDTF">2026-09-07T00:56:21Z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eyJoZGlkIjoiNzZlYTQyODNkNjE5YjY3YTIxZDZkMDAzZDk0MTZkZmUiLCJ1c2VySWQiOiIxNjY3MDg1ODU5NDUxIn0=</vt:lpwstr>
  </property>
  <property fmtid="{D5CDD505-2E9C-101B-9397-08002B2CF9AE}" pid="3" name="KSOProductBuildVer">
    <vt:lpwstr>2058-12.1.0.28485</vt:lpwstr>
  </property>
  <property fmtid="{D5CDD505-2E9C-101B-9397-08002B2CF9AE}" pid="4" name="ICV">
    <vt:lpwstr>D1E34E648E8044C9A388A260E102F1C4_13</vt:lpwstr>
  </property>
</Properties>
</file>