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6"/>
        </w:rPr>
        <w:t>Scaling the Architecture of a Village Weather Station Over Time</w:t>
      </w:r>
    </w:p>
    <w:p>
      <w:pPr>
        <w:keepNext/>
        <w:spacing w:before="120" w:after="40"/>
      </w:pPr>
      <w:r>
        <w:rPr>
          <w:rFonts w:ascii="Times New Roman" w:hAnsi="Times New Roman"/>
          <w:b/>
          <w:sz w:val="22"/>
        </w:rPr>
        <w:t>Introduction</w:t>
      </w:r>
    </w:p>
    <w:p>
      <w:pPr>
        <w:jc w:val="both"/>
      </w:pPr>
      <w:r>
        <w:t>A weather station built for a rural school is a useful lens on architectural scaling because its constraints are absolute rather than negotiable: a fixed energy envelope, a fixed budget, and no technician on site. The original deployment logs two sensors hourly on an 8-bit microcontroller with 2 KB of SRAM. Two years later the community wants ten times the sampling rate, real-time storm alerting, monthly Bluetooth synchronisation and an on-device chart display, on the same power budget. This report argues that these requests cannot be met by adding features to the existing design, because the limiting resources are SRAM capacity and the single-threaded control flow rather than clock speed. It then proposes a revised memory hierarchy and concurrency model, and quantifies the result against a budget of 100 mAh per day.</w:t>
      </w:r>
    </w:p>
    <w:p>
      <w:pPr>
        <w:keepNext/>
        <w:spacing w:before="120" w:after="40"/>
      </w:pPr>
      <w:r>
        <w:rPr>
          <w:rFonts w:ascii="Times New Roman" w:hAnsi="Times New Roman"/>
          <w:b/>
          <w:sz w:val="22"/>
        </w:rPr>
        <w:t>Background and Related Work</w:t>
      </w:r>
    </w:p>
    <w:p>
      <w:pPr>
        <w:jc w:val="both"/>
      </w:pPr>
      <w:r>
        <w:t>The original platform is a classic 8-bit AVR-class device: 16 MHz, 2 KB SRAM, 32 KB flash, no cache and no operating system (Microchip Technology, 2016). Memory is flat and uniformly accessed, so every load takes a fixed number of cycles. Patterson and Hennessy (2021, Chapter 5) frame the memory hierarchy as a trade of capacity against latency, exploiting locality so that a large memory approximates the speed of a small one. This part sits at a degenerate point in that hierarchy: with one level there is no locality to exploit and no cache-miss variability. The result is complete timing determinism, which is why such parts persist in control applications.</w:t>
      </w:r>
    </w:p>
    <w:p>
      <w:pPr>
        <w:jc w:val="both"/>
      </w:pPr>
      <w:r>
        <w:t>Three documented facts about the requested features determine what breaks. First, the SD card interface is block-oriented: the physical layer specification fixes a 512-byte block as the unit of transfer (SD Association, 2010), so any driver must hold a 512-byte buffer, which is a quarter of the available SRAM before application code exists. Second, a 1.8-inch display of the common ST7735 class drives a 128 by 160 pixel panel at 16 bits per pixel (Sitronix Technology, 2011). A full frame buffer is therefore 128 x 160 x 2 = 40 KB, twenty times the entire SRAM of the original part; even a one-bit-per-pixel monochrome buffer needs 2.5 KB and still does not fit. Third, Bluetooth Classic modules of the HC-05 class draw tens of milliamperes continuously while connectable, whereas Bluetooth Low Energy is designed around short connection events with microampere idle current (Bluetooth Special Interest Group, 2019).</w:t>
      </w:r>
    </w:p>
    <w:p>
      <w:pPr>
        <w:jc w:val="both"/>
      </w:pPr>
      <w:r>
        <w:t>Prior work on energy-constrained sensing converges on two strategies. Duty cycling with aggressive sleep states is standard, since sleep currents sit three to four orders of magnitude below active current (Espressif Systems, 2023; Microchip Technology, 2016), and modern sensors support it by drawing microamperes between commanded measurements (Sensirion AG, 2019). Batching writes is the second: NOR flash is programmed in pages and erased in sectors with a finite endurance of roughly 100,000 cycles per sector (Winbond Electronics, 2021), so aggregating small records into one page-aligned write reduces both energy per byte and wear. This is the spatial-locality argument that motivates cache line fills in Patterson and Hennessy (2021, Chapter 5), applied to a non-volatile level of the hierarchy. The concurrency literature treats a blocking write inside a single-threaded loop as a latency hazard; decoupling producers from consumers through a ring buffer, or scheduling them as priority tasks under a small real-time kernel, is the conventional remedy (Barry, 2016; Patterson &amp; Hennessy, 2021, Chapter 6).</w:t>
      </w:r>
    </w:p>
    <w:p>
      <w:pPr>
        <w:keepNext/>
        <w:spacing w:before="120" w:after="40"/>
      </w:pPr>
      <w:r>
        <w:rPr>
          <w:rFonts w:ascii="Times New Roman" w:hAnsi="Times New Roman"/>
          <w:b/>
          <w:sz w:val="22"/>
        </w:rPr>
        <w:t>Methodology and System Design</w:t>
      </w:r>
    </w:p>
    <w:p>
      <w:pPr>
        <w:jc w:val="both"/>
      </w:pPr>
      <w:r>
        <w:t>Step 1 - establish where the original design fails. Table 1 costs the naive approach of attaching the new peripherals to the existing superloop.</w:t>
      </w:r>
    </w:p>
    <w:p>
      <w:pPr>
        <w:keepNext/>
        <w:spacing w:before="80" w:after="40"/>
      </w:pPr>
      <w:r>
        <w:rPr>
          <w:rFonts w:ascii="Times New Roman" w:hAnsi="Times New Roman"/>
          <w:i/>
          <w:sz w:val="20"/>
        </w:rPr>
        <w:t>Table 1: Daily energy cost of adding the requested features without architectural change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pPr>
              <w:spacing w:before="20" w:after="20" w:line="240" w:lineRule="auto"/>
            </w:pPr>
            <w:r/>
            <w:r>
              <w:rPr>
                <w:rFonts w:ascii="Times New Roman" w:hAnsi="Times New Roman"/>
                <w:b/>
                <w:sz w:val="19"/>
              </w:rPr>
              <w:t>Component</w:t>
            </w:r>
          </w:p>
        </w:tc>
        <w:tc>
          <w:tcPr>
            <w:tcW w:type="dxa" w:w="3264"/>
          </w:tcPr>
          <w:p>
            <w:pPr>
              <w:spacing w:before="20" w:after="20" w:line="240" w:lineRule="auto"/>
            </w:pPr>
            <w:r/>
            <w:r>
              <w:rPr>
                <w:rFonts w:ascii="Times New Roman" w:hAnsi="Times New Roman"/>
                <w:b/>
                <w:sz w:val="19"/>
              </w:rPr>
              <w:t>Assumption</w:t>
            </w:r>
          </w:p>
        </w:tc>
        <w:tc>
          <w:tcPr>
            <w:tcW w:type="dxa" w:w="3264"/>
          </w:tcPr>
          <w:p>
            <w:pPr>
              <w:spacing w:before="20" w:after="20" w:line="240" w:lineRule="auto"/>
              <w:jc w:val="right"/>
            </w:pPr>
            <w:r/>
            <w:r>
              <w:rPr>
                <w:rFonts w:ascii="Times New Roman" w:hAnsi="Times New Roman"/>
                <w:b/>
                <w:sz w:val="19"/>
              </w:rPr>
              <w:t>mAh/day</w:t>
            </w:r>
          </w:p>
        </w:tc>
      </w:tr>
      <w:tr>
        <w:tc>
          <w:tcPr>
            <w:tcW w:type="dxa" w:w="3264"/>
          </w:tcPr>
          <w:p>
            <w:pPr>
              <w:spacing w:before="20" w:after="20" w:line="240" w:lineRule="auto"/>
            </w:pPr>
            <w:r/>
            <w:r>
              <w:rPr>
                <w:rFonts w:ascii="Times New Roman" w:hAnsi="Times New Roman"/>
                <w:sz w:val="19"/>
              </w:rPr>
              <w:t>MCU active continuously, never sleeps</w:t>
            </w:r>
          </w:p>
        </w:tc>
        <w:tc>
          <w:tcPr>
            <w:tcW w:type="dxa" w:w="3264"/>
          </w:tcPr>
          <w:p>
            <w:pPr>
              <w:spacing w:before="20" w:after="20" w:line="240" w:lineRule="auto"/>
            </w:pPr>
            <w:r/>
            <w:r>
              <w:rPr>
                <w:rFonts w:ascii="Times New Roman" w:hAnsi="Times New Roman"/>
                <w:sz w:val="19"/>
              </w:rPr>
              <w:t>12 mA x 24 h</w:t>
            </w:r>
          </w:p>
        </w:tc>
        <w:tc>
          <w:tcPr>
            <w:tcW w:type="dxa" w:w="3264"/>
          </w:tcPr>
          <w:p>
            <w:pPr>
              <w:spacing w:before="20" w:after="20" w:line="240" w:lineRule="auto"/>
              <w:jc w:val="right"/>
            </w:pPr>
            <w:r/>
            <w:r>
              <w:rPr>
                <w:rFonts w:ascii="Times New Roman" w:hAnsi="Times New Roman"/>
                <w:sz w:val="19"/>
              </w:rPr>
              <w:t>288</w:t>
            </w:r>
          </w:p>
        </w:tc>
      </w:tr>
      <w:tr>
        <w:tc>
          <w:tcPr>
            <w:tcW w:type="dxa" w:w="3264"/>
          </w:tcPr>
          <w:p>
            <w:pPr>
              <w:spacing w:before="20" w:after="20" w:line="240" w:lineRule="auto"/>
            </w:pPr>
            <w:r/>
            <w:r>
              <w:rPr>
                <w:rFonts w:ascii="Times New Roman" w:hAnsi="Times New Roman"/>
                <w:sz w:val="19"/>
              </w:rPr>
              <w:t>Bluetooth Classic module always connectable</w:t>
            </w:r>
          </w:p>
        </w:tc>
        <w:tc>
          <w:tcPr>
            <w:tcW w:type="dxa" w:w="3264"/>
          </w:tcPr>
          <w:p>
            <w:pPr>
              <w:spacing w:before="20" w:after="20" w:line="240" w:lineRule="auto"/>
            </w:pPr>
            <w:r/>
            <w:r>
              <w:rPr>
                <w:rFonts w:ascii="Times New Roman" w:hAnsi="Times New Roman"/>
                <w:sz w:val="19"/>
              </w:rPr>
              <w:t>30 mA x 24 h</w:t>
            </w:r>
          </w:p>
        </w:tc>
        <w:tc>
          <w:tcPr>
            <w:tcW w:type="dxa" w:w="3264"/>
          </w:tcPr>
          <w:p>
            <w:pPr>
              <w:spacing w:before="20" w:after="20" w:line="240" w:lineRule="auto"/>
              <w:jc w:val="right"/>
            </w:pPr>
            <w:r/>
            <w:r>
              <w:rPr>
                <w:rFonts w:ascii="Times New Roman" w:hAnsi="Times New Roman"/>
                <w:sz w:val="19"/>
              </w:rPr>
              <w:t>720</w:t>
            </w:r>
          </w:p>
        </w:tc>
      </w:tr>
      <w:tr>
        <w:tc>
          <w:tcPr>
            <w:tcW w:type="dxa" w:w="3264"/>
          </w:tcPr>
          <w:p>
            <w:pPr>
              <w:spacing w:before="20" w:after="20" w:line="240" w:lineRule="auto"/>
            </w:pPr>
            <w:r/>
            <w:r>
              <w:rPr>
                <w:rFonts w:ascii="Times New Roman" w:hAnsi="Times New Roman"/>
                <w:sz w:val="19"/>
              </w:rPr>
              <w:t>Display and backlight always on</w:t>
            </w:r>
          </w:p>
        </w:tc>
        <w:tc>
          <w:tcPr>
            <w:tcW w:type="dxa" w:w="3264"/>
          </w:tcPr>
          <w:p>
            <w:pPr>
              <w:spacing w:before="20" w:after="20" w:line="240" w:lineRule="auto"/>
            </w:pPr>
            <w:r/>
            <w:r>
              <w:rPr>
                <w:rFonts w:ascii="Times New Roman" w:hAnsi="Times New Roman"/>
                <w:sz w:val="19"/>
              </w:rPr>
              <w:t>30 mA x 24 h</w:t>
            </w:r>
          </w:p>
        </w:tc>
        <w:tc>
          <w:tcPr>
            <w:tcW w:type="dxa" w:w="3264"/>
          </w:tcPr>
          <w:p>
            <w:pPr>
              <w:spacing w:before="20" w:after="20" w:line="240" w:lineRule="auto"/>
              <w:jc w:val="right"/>
            </w:pPr>
            <w:r/>
            <w:r>
              <w:rPr>
                <w:rFonts w:ascii="Times New Roman" w:hAnsi="Times New Roman"/>
                <w:sz w:val="19"/>
              </w:rPr>
              <w:t>720</w:t>
            </w:r>
          </w:p>
        </w:tc>
      </w:tr>
      <w:tr>
        <w:tc>
          <w:tcPr>
            <w:tcW w:type="dxa" w:w="3264"/>
          </w:tcPr>
          <w:p>
            <w:pPr>
              <w:spacing w:before="20" w:after="20" w:line="240" w:lineRule="auto"/>
            </w:pPr>
            <w:r/>
            <w:r>
              <w:rPr>
                <w:rFonts w:ascii="Times New Roman" w:hAnsi="Times New Roman"/>
                <w:sz w:val="19"/>
              </w:rPr>
              <w:t>SD card idle current plus 240 writes</w:t>
            </w:r>
          </w:p>
        </w:tc>
        <w:tc>
          <w:tcPr>
            <w:tcW w:type="dxa" w:w="3264"/>
          </w:tcPr>
          <w:p>
            <w:pPr>
              <w:spacing w:before="20" w:after="20" w:line="240" w:lineRule="auto"/>
            </w:pPr>
            <w:r/>
            <w:r>
              <w:rPr>
                <w:rFonts w:ascii="Times New Roman" w:hAnsi="Times New Roman"/>
                <w:sz w:val="19"/>
              </w:rPr>
              <w:t>~0.5 mA average</w:t>
            </w:r>
          </w:p>
        </w:tc>
        <w:tc>
          <w:tcPr>
            <w:tcW w:type="dxa" w:w="3264"/>
          </w:tcPr>
          <w:p>
            <w:pPr>
              <w:spacing w:before="20" w:after="20" w:line="240" w:lineRule="auto"/>
              <w:jc w:val="right"/>
            </w:pPr>
            <w:r/>
            <w:r>
              <w:rPr>
                <w:rFonts w:ascii="Times New Roman" w:hAnsi="Times New Roman"/>
                <w:sz w:val="19"/>
              </w:rPr>
              <w:t>12</w:t>
            </w:r>
          </w:p>
        </w:tc>
      </w:tr>
      <w:tr>
        <w:tc>
          <w:tcPr>
            <w:tcW w:type="dxa" w:w="3264"/>
          </w:tcPr>
          <w:p>
            <w:pPr>
              <w:spacing w:before="20" w:after="20" w:line="240" w:lineRule="auto"/>
            </w:pPr>
            <w:r/>
            <w:r>
              <w:rPr>
                <w:rFonts w:ascii="Times New Roman" w:hAnsi="Times New Roman"/>
                <w:b/>
                <w:sz w:val="19"/>
              </w:rPr>
              <w:t>Total</w:t>
            </w:r>
          </w:p>
        </w:tc>
        <w:tc>
          <w:tcPr>
            <w:tcW w:type="dxa" w:w="3264"/>
          </w:tcPr>
          <w:p>
            <w:pPr>
              <w:spacing w:before="20" w:after="20" w:line="240" w:lineRule="auto"/>
            </w:pPr>
            <w:r/>
            <w:r>
              <w:rPr>
                <w:rFonts w:ascii="Times New Roman" w:hAnsi="Times New Roman"/>
                <w:b/>
                <w:sz w:val="19"/>
              </w:rPr>
            </w:r>
          </w:p>
        </w:tc>
        <w:tc>
          <w:tcPr>
            <w:tcW w:type="dxa" w:w="3264"/>
          </w:tcPr>
          <w:p>
            <w:pPr>
              <w:spacing w:before="20" w:after="20" w:line="240" w:lineRule="auto"/>
              <w:jc w:val="right"/>
            </w:pPr>
            <w:r/>
            <w:r>
              <w:rPr>
                <w:rFonts w:ascii="Times New Roman" w:hAnsi="Times New Roman"/>
                <w:b/>
                <w:sz w:val="19"/>
              </w:rPr>
              <w:t>~1740</w:t>
            </w:r>
          </w:p>
        </w:tc>
      </w:tr>
    </w:tbl>
    <w:p>
      <w:pPr>
        <w:spacing w:after="40"/>
      </w:pPr>
    </w:p>
    <w:p>
      <w:pPr>
        <w:jc w:val="both"/>
      </w:pPr>
      <w:r>
        <w:t>Against a 100 mAh per day budget this is seventeen times over, and the memory position is not a matter of degree: the 512-byte SD buffer, a serial receive buffer and any display buffer cannot coexist in 2 KB. Sampling every six minutes also produces 240 records per day, needing 1200 bytes of buffering at five bytes each. These are hard limits, so the platform itself must change.</w:t>
      </w:r>
    </w:p>
    <w:p>
      <w:pPr>
        <w:jc w:val="both"/>
      </w:pPr>
      <w:r>
        <w:t>Step 2 - choose a processor class and memory hierarchy. I select a 32-bit RISC-V microcontroller with an integrated 2.4 GHz radio, of the ESP32-C3 class: a 160 MHz core, 384 KB of ROM, 400 KB of on-chip SRAM of which 16 KB is allocated to cache, native Bluetooth Low Energy 5.0, and a deep-sleep current of 5 uA (Espressif Systems, 2023). This resolves all three memory limits at once and removes the external Bluetooth module entirely. Selecting RISC-V also keeps the instruction-set model consistent with the course reference.</w:t>
      </w:r>
    </w:p>
    <w:p>
      <w:pPr>
        <w:jc w:val="both"/>
      </w:pPr>
      <w:r>
        <w:t>The cache deserves explicit treatment, because it reintroduces a trade-off the 8-bit part did not have. Espressif documents flash access on this part as accelerated by cache, which is necessary to hide flash latency at 160 MHz, but a cache miss makes execution time variable, and variable latency is precisely what a storm-alert path must not have. The design therefore partitions code by requirement: the alert handler and sampling routine are placed in on-chip SRAM so their timing is deterministic, while display rendering and synchronisation, which are throughput-oriented and not deadline-bound, execute from cached flash. This is the central design decision in this proposal.</w:t>
      </w:r>
    </w:p>
    <w:p>
      <w:pPr>
        <w:jc w:val="both"/>
      </w:pPr>
      <w:r>
        <w:t>Step 3 - restructure the control flow. The superloop is replaced by three cooperating elements. A hardware timer interrupt samples the sensors and writes fixed-size records into an SRAM ring buffer, so acquisition cannot be delayed by slower activity. A low-priority task drains that buffer to NOR flash every four hours in page-aligned batches. Storm detection becomes event-driven rather than polled: the threshold comparison runs inside the timer handler and asserts the buzzer directly, so alert latency is bounded by the sampling interval rather than by the main loop. The display and monthly synchronisation are on-demand consumers, triggered by a button press and a scheduled wake.</w:t>
      </w:r>
    </w:p>
    <w:p>
      <w:pPr>
        <w:jc w:val="both"/>
      </w:pPr>
      <w:r>
        <w:t>Step 4 - verify the budget on the same assumptions.</w:t>
      </w:r>
    </w:p>
    <w:p>
      <w:pPr>
        <w:keepNext/>
        <w:spacing w:before="80" w:after="40"/>
      </w:pPr>
      <w:r>
        <w:rPr>
          <w:rFonts w:ascii="Times New Roman" w:hAnsi="Times New Roman"/>
          <w:i/>
          <w:sz w:val="20"/>
        </w:rPr>
        <w:t>Table 2: Daily energy cost of the revised event-driven design</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pPr>
              <w:spacing w:before="20" w:after="20" w:line="240" w:lineRule="auto"/>
            </w:pPr>
            <w:r/>
            <w:r>
              <w:rPr>
                <w:rFonts w:ascii="Times New Roman" w:hAnsi="Times New Roman"/>
                <w:b/>
                <w:sz w:val="19"/>
              </w:rPr>
              <w:t>Component</w:t>
            </w:r>
          </w:p>
        </w:tc>
        <w:tc>
          <w:tcPr>
            <w:tcW w:type="dxa" w:w="3264"/>
          </w:tcPr>
          <w:p>
            <w:pPr>
              <w:spacing w:before="20" w:after="20" w:line="240" w:lineRule="auto"/>
            </w:pPr>
            <w:r/>
            <w:r>
              <w:rPr>
                <w:rFonts w:ascii="Times New Roman" w:hAnsi="Times New Roman"/>
                <w:b/>
                <w:sz w:val="19"/>
              </w:rPr>
              <w:t>Assumption</w:t>
            </w:r>
          </w:p>
        </w:tc>
        <w:tc>
          <w:tcPr>
            <w:tcW w:type="dxa" w:w="3264"/>
          </w:tcPr>
          <w:p>
            <w:pPr>
              <w:spacing w:before="20" w:after="20" w:line="240" w:lineRule="auto"/>
              <w:jc w:val="right"/>
            </w:pPr>
            <w:r/>
            <w:r>
              <w:rPr>
                <w:rFonts w:ascii="Times New Roman" w:hAnsi="Times New Roman"/>
                <w:b/>
                <w:sz w:val="19"/>
              </w:rPr>
              <w:t>mAh/day</w:t>
            </w:r>
          </w:p>
        </w:tc>
      </w:tr>
      <w:tr>
        <w:tc>
          <w:tcPr>
            <w:tcW w:type="dxa" w:w="3264"/>
          </w:tcPr>
          <w:p>
            <w:pPr>
              <w:spacing w:before="20" w:after="20" w:line="240" w:lineRule="auto"/>
            </w:pPr>
            <w:r/>
            <w:r>
              <w:rPr>
                <w:rFonts w:ascii="Times New Roman" w:hAnsi="Times New Roman"/>
                <w:sz w:val="19"/>
              </w:rPr>
              <w:t>Deep sleep for approximately 23.9 h</w:t>
            </w:r>
          </w:p>
        </w:tc>
        <w:tc>
          <w:tcPr>
            <w:tcW w:type="dxa" w:w="3264"/>
          </w:tcPr>
          <w:p>
            <w:pPr>
              <w:spacing w:before="20" w:after="20" w:line="240" w:lineRule="auto"/>
            </w:pPr>
            <w:r/>
            <w:r>
              <w:rPr>
                <w:rFonts w:ascii="Times New Roman" w:hAnsi="Times New Roman"/>
                <w:sz w:val="19"/>
              </w:rPr>
              <w:t>5 uA</w:t>
            </w:r>
          </w:p>
        </w:tc>
        <w:tc>
          <w:tcPr>
            <w:tcW w:type="dxa" w:w="3264"/>
          </w:tcPr>
          <w:p>
            <w:pPr>
              <w:spacing w:before="20" w:after="20" w:line="240" w:lineRule="auto"/>
              <w:jc w:val="right"/>
            </w:pPr>
            <w:r/>
            <w:r>
              <w:rPr>
                <w:rFonts w:ascii="Times New Roman" w:hAnsi="Times New Roman"/>
                <w:sz w:val="19"/>
              </w:rPr>
              <w:t>0.12</w:t>
            </w:r>
          </w:p>
        </w:tc>
      </w:tr>
      <w:tr>
        <w:tc>
          <w:tcPr>
            <w:tcW w:type="dxa" w:w="3264"/>
          </w:tcPr>
          <w:p>
            <w:pPr>
              <w:spacing w:before="20" w:after="20" w:line="240" w:lineRule="auto"/>
            </w:pPr>
            <w:r/>
            <w:r>
              <w:rPr>
                <w:rFonts w:ascii="Times New Roman" w:hAnsi="Times New Roman"/>
                <w:sz w:val="19"/>
              </w:rPr>
              <w:t>240 sensor wakes at 50 ms each</w:t>
            </w:r>
          </w:p>
        </w:tc>
        <w:tc>
          <w:tcPr>
            <w:tcW w:type="dxa" w:w="3264"/>
          </w:tcPr>
          <w:p>
            <w:pPr>
              <w:spacing w:before="20" w:after="20" w:line="240" w:lineRule="auto"/>
            </w:pPr>
            <w:r/>
            <w:r>
              <w:rPr>
                <w:rFonts w:ascii="Times New Roman" w:hAnsi="Times New Roman"/>
                <w:sz w:val="19"/>
              </w:rPr>
              <w:t>20 mA active</w:t>
            </w:r>
          </w:p>
        </w:tc>
        <w:tc>
          <w:tcPr>
            <w:tcW w:type="dxa" w:w="3264"/>
          </w:tcPr>
          <w:p>
            <w:pPr>
              <w:spacing w:before="20" w:after="20" w:line="240" w:lineRule="auto"/>
              <w:jc w:val="right"/>
            </w:pPr>
            <w:r/>
            <w:r>
              <w:rPr>
                <w:rFonts w:ascii="Times New Roman" w:hAnsi="Times New Roman"/>
                <w:sz w:val="19"/>
              </w:rPr>
              <w:t>0.07</w:t>
            </w:r>
          </w:p>
        </w:tc>
      </w:tr>
      <w:tr>
        <w:tc>
          <w:tcPr>
            <w:tcW w:type="dxa" w:w="3264"/>
          </w:tcPr>
          <w:p>
            <w:pPr>
              <w:spacing w:before="20" w:after="20" w:line="240" w:lineRule="auto"/>
            </w:pPr>
            <w:r/>
            <w:r>
              <w:rPr>
                <w:rFonts w:ascii="Times New Roman" w:hAnsi="Times New Roman"/>
                <w:sz w:val="19"/>
              </w:rPr>
              <w:t>Flash batch writes, six per day</w:t>
            </w:r>
          </w:p>
        </w:tc>
        <w:tc>
          <w:tcPr>
            <w:tcW w:type="dxa" w:w="3264"/>
          </w:tcPr>
          <w:p>
            <w:pPr>
              <w:spacing w:before="20" w:after="20" w:line="240" w:lineRule="auto"/>
            </w:pPr>
            <w:r/>
            <w:r>
              <w:rPr>
                <w:rFonts w:ascii="Times New Roman" w:hAnsi="Times New Roman"/>
                <w:sz w:val="19"/>
              </w:rPr>
              <w:t>15 mA for ~3 s total</w:t>
            </w:r>
          </w:p>
        </w:tc>
        <w:tc>
          <w:tcPr>
            <w:tcW w:type="dxa" w:w="3264"/>
          </w:tcPr>
          <w:p>
            <w:pPr>
              <w:spacing w:before="20" w:after="20" w:line="240" w:lineRule="auto"/>
              <w:jc w:val="right"/>
            </w:pPr>
            <w:r/>
            <w:r>
              <w:rPr>
                <w:rFonts w:ascii="Times New Roman" w:hAnsi="Times New Roman"/>
                <w:sz w:val="19"/>
              </w:rPr>
              <w:t>0.01</w:t>
            </w:r>
          </w:p>
        </w:tc>
      </w:tr>
      <w:tr>
        <w:tc>
          <w:tcPr>
            <w:tcW w:type="dxa" w:w="3264"/>
          </w:tcPr>
          <w:p>
            <w:pPr>
              <w:spacing w:before="20" w:after="20" w:line="240" w:lineRule="auto"/>
            </w:pPr>
            <w:r/>
            <w:r>
              <w:rPr>
                <w:rFonts w:ascii="Times New Roman" w:hAnsi="Times New Roman"/>
                <w:sz w:val="19"/>
              </w:rPr>
              <w:t>Storm alerting, two minutes average</w:t>
            </w:r>
          </w:p>
        </w:tc>
        <w:tc>
          <w:tcPr>
            <w:tcW w:type="dxa" w:w="3264"/>
          </w:tcPr>
          <w:p>
            <w:pPr>
              <w:spacing w:before="20" w:after="20" w:line="240" w:lineRule="auto"/>
            </w:pPr>
            <w:r/>
            <w:r>
              <w:rPr>
                <w:rFonts w:ascii="Times New Roman" w:hAnsi="Times New Roman"/>
                <w:sz w:val="19"/>
              </w:rPr>
              <w:t>25 mA</w:t>
            </w:r>
          </w:p>
        </w:tc>
        <w:tc>
          <w:tcPr>
            <w:tcW w:type="dxa" w:w="3264"/>
          </w:tcPr>
          <w:p>
            <w:pPr>
              <w:spacing w:before="20" w:after="20" w:line="240" w:lineRule="auto"/>
              <w:jc w:val="right"/>
            </w:pPr>
            <w:r/>
            <w:r>
              <w:rPr>
                <w:rFonts w:ascii="Times New Roman" w:hAnsi="Times New Roman"/>
                <w:sz w:val="19"/>
              </w:rPr>
              <w:t>0.83</w:t>
            </w:r>
          </w:p>
        </w:tc>
      </w:tr>
      <w:tr>
        <w:tc>
          <w:tcPr>
            <w:tcW w:type="dxa" w:w="3264"/>
          </w:tcPr>
          <w:p>
            <w:pPr>
              <w:spacing w:before="20" w:after="20" w:line="240" w:lineRule="auto"/>
            </w:pPr>
            <w:r/>
            <w:r>
              <w:rPr>
                <w:rFonts w:ascii="Times New Roman" w:hAnsi="Times New Roman"/>
                <w:sz w:val="19"/>
              </w:rPr>
              <w:t>Display on demand, 10 views x 20 s</w:t>
            </w:r>
          </w:p>
        </w:tc>
        <w:tc>
          <w:tcPr>
            <w:tcW w:type="dxa" w:w="3264"/>
          </w:tcPr>
          <w:p>
            <w:pPr>
              <w:spacing w:before="20" w:after="20" w:line="240" w:lineRule="auto"/>
            </w:pPr>
            <w:r/>
            <w:r>
              <w:rPr>
                <w:rFonts w:ascii="Times New Roman" w:hAnsi="Times New Roman"/>
                <w:sz w:val="19"/>
              </w:rPr>
              <w:t>40 mA</w:t>
            </w:r>
          </w:p>
        </w:tc>
        <w:tc>
          <w:tcPr>
            <w:tcW w:type="dxa" w:w="3264"/>
          </w:tcPr>
          <w:p>
            <w:pPr>
              <w:spacing w:before="20" w:after="20" w:line="240" w:lineRule="auto"/>
              <w:jc w:val="right"/>
            </w:pPr>
            <w:r/>
            <w:r>
              <w:rPr>
                <w:rFonts w:ascii="Times New Roman" w:hAnsi="Times New Roman"/>
                <w:sz w:val="19"/>
              </w:rPr>
              <w:t>2.20</w:t>
            </w:r>
          </w:p>
        </w:tc>
      </w:tr>
      <w:tr>
        <w:tc>
          <w:tcPr>
            <w:tcW w:type="dxa" w:w="3264"/>
          </w:tcPr>
          <w:p>
            <w:pPr>
              <w:spacing w:before="20" w:after="20" w:line="240" w:lineRule="auto"/>
            </w:pPr>
            <w:r/>
            <w:r>
              <w:rPr>
                <w:rFonts w:ascii="Times New Roman" w:hAnsi="Times New Roman"/>
                <w:sz w:val="19"/>
              </w:rPr>
              <w:t>Monthly BLE sync, 60 s at 100 mA, amortised</w:t>
            </w:r>
          </w:p>
        </w:tc>
        <w:tc>
          <w:tcPr>
            <w:tcW w:type="dxa" w:w="3264"/>
          </w:tcPr>
          <w:p>
            <w:pPr>
              <w:spacing w:before="20" w:after="20" w:line="240" w:lineRule="auto"/>
            </w:pPr>
            <w:r/>
            <w:r>
              <w:rPr>
                <w:rFonts w:ascii="Times New Roman" w:hAnsi="Times New Roman"/>
                <w:sz w:val="19"/>
              </w:rPr>
            </w:r>
          </w:p>
        </w:tc>
        <w:tc>
          <w:tcPr>
            <w:tcW w:type="dxa" w:w="3264"/>
          </w:tcPr>
          <w:p>
            <w:pPr>
              <w:spacing w:before="20" w:after="20" w:line="240" w:lineRule="auto"/>
              <w:jc w:val="right"/>
            </w:pPr>
            <w:r/>
            <w:r>
              <w:rPr>
                <w:rFonts w:ascii="Times New Roman" w:hAnsi="Times New Roman"/>
                <w:sz w:val="19"/>
              </w:rPr>
              <w:t>0.06</w:t>
            </w:r>
          </w:p>
        </w:tc>
      </w:tr>
      <w:tr>
        <w:tc>
          <w:tcPr>
            <w:tcW w:type="dxa" w:w="3264"/>
          </w:tcPr>
          <w:p>
            <w:pPr>
              <w:spacing w:before="20" w:after="20" w:line="240" w:lineRule="auto"/>
            </w:pPr>
            <w:r/>
            <w:r>
              <w:rPr>
                <w:rFonts w:ascii="Times New Roman" w:hAnsi="Times New Roman"/>
                <w:b/>
                <w:sz w:val="19"/>
              </w:rPr>
              <w:t>Total</w:t>
            </w:r>
          </w:p>
        </w:tc>
        <w:tc>
          <w:tcPr>
            <w:tcW w:type="dxa" w:w="3264"/>
          </w:tcPr>
          <w:p>
            <w:pPr>
              <w:spacing w:before="20" w:after="20" w:line="240" w:lineRule="auto"/>
            </w:pPr>
            <w:r/>
            <w:r>
              <w:rPr>
                <w:rFonts w:ascii="Times New Roman" w:hAnsi="Times New Roman"/>
                <w:b/>
                <w:sz w:val="19"/>
              </w:rPr>
            </w:r>
          </w:p>
        </w:tc>
        <w:tc>
          <w:tcPr>
            <w:tcW w:type="dxa" w:w="3264"/>
          </w:tcPr>
          <w:p>
            <w:pPr>
              <w:spacing w:before="20" w:after="20" w:line="240" w:lineRule="auto"/>
              <w:jc w:val="right"/>
            </w:pPr>
            <w:r/>
            <w:r>
              <w:rPr>
                <w:rFonts w:ascii="Times New Roman" w:hAnsi="Times New Roman"/>
                <w:b/>
                <w:sz w:val="19"/>
              </w:rPr>
              <w:t>~3.3</w:t>
            </w:r>
          </w:p>
        </w:tc>
      </w:tr>
    </w:tbl>
    <w:p>
      <w:pPr>
        <w:spacing w:after="40"/>
      </w:pPr>
    </w:p>
    <w:p>
      <w:pPr>
        <w:keepNext/>
        <w:spacing w:before="120" w:after="40"/>
      </w:pPr>
      <w:r>
        <w:rPr>
          <w:rFonts w:ascii="Times New Roman" w:hAnsi="Times New Roman"/>
          <w:b/>
          <w:sz w:val="22"/>
        </w:rPr>
        <w:t>Discussion</w:t>
      </w:r>
    </w:p>
    <w:p>
      <w:pPr>
        <w:jc w:val="both"/>
      </w:pPr>
      <w:r>
        <w:t>The revised design consumes about 3.3 per cent of the daily budget. The dominant remaining cost is the display backlight rather than computation, which is the main design lesson: once sleep states and batching are applied, the processor stops being the constraint. A memory-in-pixel or electrophoretic panel would cut that 2.20 mAh to roughly a tenth because it retains an image without power, but at 900 to 1500 taka it strains the original sub-1200 taka budget, so the honest recommendation is an on-demand backlight now and an e-paper upgrade only if the budget grows. Two limitations should be stated plainly: every figure is derived from datasheet typical values rather than measured on hardware, and solar harvesting varies sharply with monsoon cloud cover, so margin of this order is a requirement rather than a luxury.</w:t>
      </w:r>
    </w:p>
    <w:p>
      <w:pPr>
        <w:jc w:val="both"/>
      </w:pPr>
      <w:r>
        <w:t>The sustainability argument follows from the same numbers. Provisioning 400 KB of SRAM where the application needs perhaps 20 KB costs little at purchase but avoids replacing an entire board when requirements grow, which is precisely the failure this scenario describes; discarded electronic equipment is already the fastest-growing domestic waste stream, and design decisions that extend service life are among the few available levers on it (Forti et al., 2020). Page-aligned batching reduces flash wear by writing whole pages instead of five-byte records. Keeping sensing, compute and display on separable modules means a cracked screen does not scrap a working processor, and favouring through-hole, widely stocked components keeps repair inside the community.</w:t>
      </w:r>
    </w:p>
    <w:p>
      <w:pPr>
        <w:keepNext/>
        <w:spacing w:before="120" w:after="40"/>
      </w:pPr>
      <w:r>
        <w:rPr>
          <w:rFonts w:ascii="Times New Roman" w:hAnsi="Times New Roman"/>
          <w:b/>
          <w:sz w:val="22"/>
        </w:rPr>
        <w:t>Conclusion</w:t>
      </w:r>
    </w:p>
    <w:p>
      <w:pPr>
        <w:jc w:val="both"/>
      </w:pPr>
      <w:r>
        <w:t>The upgrades requested here are blocked by SRAM capacity and by a single-threaded control flow, not by insufficient clock speed. Moving to a 32-bit RISC-V part with integrated Bluetooth Low Energy, placing deadline-critical code in deterministic on-chip memory while allowing cached flash execution elsewhere, and replacing the superloop with interrupt-driven acquisition into a batched ring buffer brings the daily cost to roughly 3.3 mAh against a 100 mAh budget. Headroom in the memory hierarchy is what makes incremental growth survivable, and is therefore the cheapest available defence against premature obsolescence.</w:t>
      </w:r>
    </w:p>
    <w:p>
      <w:r>
        <w:br w:type="page"/>
      </w:r>
    </w:p>
    <w:p>
      <w:pPr>
        <w:keepNext/>
        <w:spacing w:before="120" w:after="40"/>
      </w:pPr>
      <w:r>
        <w:rPr>
          <w:rFonts w:ascii="Times New Roman" w:hAnsi="Times New Roman"/>
          <w:b/>
          <w:sz w:val="22"/>
        </w:rPr>
        <w:t>References</w:t>
      </w:r>
    </w:p>
    <w:p>
      <w:pPr>
        <w:spacing w:after="60"/>
        <w:ind w:left="720" w:hanging="720"/>
      </w:pPr>
      <w:r>
        <w:rPr>
          <w:rFonts w:ascii="Times New Roman" w:hAnsi="Times New Roman"/>
          <w:i w:val="0"/>
          <w:sz w:val="22"/>
        </w:rPr>
        <w:t xml:space="preserve">Barry, R. (2016). </w:t>
      </w:r>
      <w:r>
        <w:rPr>
          <w:rFonts w:ascii="Times New Roman" w:hAnsi="Times New Roman"/>
          <w:i/>
          <w:sz w:val="22"/>
        </w:rPr>
        <w:t>Mastering the FreeRTOS real time kernel: A hands-on tutorial guide</w:t>
      </w:r>
      <w:r>
        <w:rPr>
          <w:rFonts w:ascii="Times New Roman" w:hAnsi="Times New Roman"/>
          <w:i w:val="0"/>
          <w:sz w:val="22"/>
        </w:rPr>
        <w:t>. Real Time Engineers Ltd.</w:t>
      </w:r>
    </w:p>
    <w:p>
      <w:pPr>
        <w:spacing w:after="60"/>
        <w:ind w:left="720" w:hanging="720"/>
      </w:pPr>
      <w:r>
        <w:rPr>
          <w:rFonts w:ascii="Times New Roman" w:hAnsi="Times New Roman"/>
          <w:i w:val="0"/>
          <w:sz w:val="22"/>
        </w:rPr>
        <w:t xml:space="preserve">Bluetooth Special Interest Group. (2019). </w:t>
      </w:r>
      <w:r>
        <w:rPr>
          <w:rFonts w:ascii="Times New Roman" w:hAnsi="Times New Roman"/>
          <w:i/>
          <w:sz w:val="22"/>
        </w:rPr>
        <w:t>Bluetooth core specification</w:t>
      </w:r>
      <w:r>
        <w:rPr>
          <w:rFonts w:ascii="Times New Roman" w:hAnsi="Times New Roman"/>
          <w:i w:val="0"/>
          <w:sz w:val="22"/>
        </w:rPr>
        <w:t xml:space="preserve"> (Version 5.1).</w:t>
      </w:r>
    </w:p>
    <w:p>
      <w:pPr>
        <w:spacing w:after="60"/>
        <w:ind w:left="720" w:hanging="720"/>
      </w:pPr>
      <w:r>
        <w:rPr>
          <w:rFonts w:ascii="Times New Roman" w:hAnsi="Times New Roman"/>
          <w:i w:val="0"/>
          <w:sz w:val="22"/>
        </w:rPr>
        <w:t xml:space="preserve">Espressif Systems. (2023). </w:t>
      </w:r>
      <w:r>
        <w:rPr>
          <w:rFonts w:ascii="Times New Roman" w:hAnsi="Times New Roman"/>
          <w:i/>
          <w:sz w:val="22"/>
        </w:rPr>
        <w:t>ESP32-C3 series datasheet</w:t>
      </w:r>
      <w:r>
        <w:rPr>
          <w:rFonts w:ascii="Times New Roman" w:hAnsi="Times New Roman"/>
          <w:i w:val="0"/>
          <w:sz w:val="22"/>
        </w:rPr>
        <w:t>. https://documentation.espressif.com/esp32-c3_datasheet_en.pdf</w:t>
      </w:r>
    </w:p>
    <w:p>
      <w:pPr>
        <w:spacing w:after="60"/>
        <w:ind w:left="720" w:hanging="720"/>
      </w:pPr>
      <w:r>
        <w:rPr>
          <w:rFonts w:ascii="Times New Roman" w:hAnsi="Times New Roman"/>
          <w:i w:val="0"/>
          <w:sz w:val="22"/>
        </w:rPr>
        <w:t xml:space="preserve">Forti, V., Baldé, C. P., Kuehr, R., &amp; Bel, G. (2020). </w:t>
      </w:r>
      <w:r>
        <w:rPr>
          <w:rFonts w:ascii="Times New Roman" w:hAnsi="Times New Roman"/>
          <w:i/>
          <w:sz w:val="22"/>
        </w:rPr>
        <w:t>The global e-waste monitor 2020: Quantities, flows and the circular economy potential</w:t>
      </w:r>
      <w:r>
        <w:rPr>
          <w:rFonts w:ascii="Times New Roman" w:hAnsi="Times New Roman"/>
          <w:i w:val="0"/>
          <w:sz w:val="22"/>
        </w:rPr>
        <w:t>. United Nations University; International Telecommunication Union; International Solid Waste Association.</w:t>
      </w:r>
    </w:p>
    <w:p>
      <w:pPr>
        <w:spacing w:after="60"/>
        <w:ind w:left="720" w:hanging="720"/>
      </w:pPr>
      <w:r>
        <w:rPr>
          <w:rFonts w:ascii="Times New Roman" w:hAnsi="Times New Roman"/>
          <w:i w:val="0"/>
          <w:sz w:val="22"/>
        </w:rPr>
        <w:t xml:space="preserve">Microchip Technology. (2016). </w:t>
      </w:r>
      <w:r>
        <w:rPr>
          <w:rFonts w:ascii="Times New Roman" w:hAnsi="Times New Roman"/>
          <w:i/>
          <w:sz w:val="22"/>
        </w:rPr>
        <w:t>ATmega328/P datasheet</w:t>
      </w:r>
      <w:r>
        <w:rPr>
          <w:rFonts w:ascii="Times New Roman" w:hAnsi="Times New Roman"/>
          <w:i w:val="0"/>
          <w:sz w:val="22"/>
        </w:rPr>
        <w:t>.</w:t>
      </w:r>
    </w:p>
    <w:p>
      <w:pPr>
        <w:spacing w:after="60"/>
        <w:ind w:left="720" w:hanging="720"/>
      </w:pPr>
      <w:r>
        <w:rPr>
          <w:rFonts w:ascii="Times New Roman" w:hAnsi="Times New Roman"/>
          <w:i w:val="0"/>
          <w:sz w:val="22"/>
        </w:rPr>
        <w:t xml:space="preserve">Patterson, D. A., &amp; Hennessy, J. L. (2021). </w:t>
      </w:r>
      <w:r>
        <w:rPr>
          <w:rFonts w:ascii="Times New Roman" w:hAnsi="Times New Roman"/>
          <w:i/>
          <w:sz w:val="22"/>
        </w:rPr>
        <w:t>Computer organization and design: The hardware software interface, RISC-V edition</w:t>
      </w:r>
      <w:r>
        <w:rPr>
          <w:rFonts w:ascii="Times New Roman" w:hAnsi="Times New Roman"/>
          <w:i w:val="0"/>
          <w:sz w:val="22"/>
        </w:rPr>
        <w:t xml:space="preserve"> (2nd ed.). Morgan Kaufmann.</w:t>
      </w:r>
    </w:p>
    <w:p>
      <w:pPr>
        <w:spacing w:after="60"/>
        <w:ind w:left="720" w:hanging="720"/>
      </w:pPr>
      <w:r>
        <w:rPr>
          <w:rFonts w:ascii="Times New Roman" w:hAnsi="Times New Roman"/>
          <w:i w:val="0"/>
          <w:sz w:val="22"/>
        </w:rPr>
        <w:t xml:space="preserve">SD Association. (2010). </w:t>
      </w:r>
      <w:r>
        <w:rPr>
          <w:rFonts w:ascii="Times New Roman" w:hAnsi="Times New Roman"/>
          <w:i/>
          <w:sz w:val="22"/>
        </w:rPr>
        <w:t>SD specifications part 1: Physical layer simplified specification</w:t>
      </w:r>
      <w:r>
        <w:rPr>
          <w:rFonts w:ascii="Times New Roman" w:hAnsi="Times New Roman"/>
          <w:i w:val="0"/>
          <w:sz w:val="22"/>
        </w:rPr>
        <w:t xml:space="preserve"> (Version 3.01).</w:t>
      </w:r>
    </w:p>
    <w:p>
      <w:pPr>
        <w:spacing w:after="60"/>
        <w:ind w:left="720" w:hanging="720"/>
      </w:pPr>
      <w:r>
        <w:rPr>
          <w:rFonts w:ascii="Times New Roman" w:hAnsi="Times New Roman"/>
          <w:i w:val="0"/>
          <w:sz w:val="22"/>
        </w:rPr>
        <w:t xml:space="preserve">Sensirion AG. (2019). </w:t>
      </w:r>
      <w:r>
        <w:rPr>
          <w:rFonts w:ascii="Times New Roman" w:hAnsi="Times New Roman"/>
          <w:i/>
          <w:sz w:val="22"/>
        </w:rPr>
        <w:t>Datasheet SHT3x-DIS: Humidity and temperature sensor</w:t>
      </w:r>
      <w:r>
        <w:rPr>
          <w:rFonts w:ascii="Times New Roman" w:hAnsi="Times New Roman"/>
          <w:i w:val="0"/>
          <w:sz w:val="22"/>
        </w:rPr>
        <w:t>.</w:t>
      </w:r>
    </w:p>
    <w:p>
      <w:pPr>
        <w:spacing w:after="60"/>
        <w:ind w:left="720" w:hanging="720"/>
      </w:pPr>
      <w:r>
        <w:rPr>
          <w:rFonts w:ascii="Times New Roman" w:hAnsi="Times New Roman"/>
          <w:i w:val="0"/>
          <w:sz w:val="22"/>
        </w:rPr>
        <w:t xml:space="preserve">Sitronix Technology. (2011). </w:t>
      </w:r>
      <w:r>
        <w:rPr>
          <w:rFonts w:ascii="Times New Roman" w:hAnsi="Times New Roman"/>
          <w:i/>
          <w:sz w:val="22"/>
        </w:rPr>
        <w:t>ST7735S 132 × 162 pixel TFT single chip driver datasheet</w:t>
      </w:r>
      <w:r>
        <w:rPr>
          <w:rFonts w:ascii="Times New Roman" w:hAnsi="Times New Roman"/>
          <w:i w:val="0"/>
          <w:sz w:val="22"/>
        </w:rPr>
        <w:t>.</w:t>
      </w:r>
    </w:p>
    <w:p>
      <w:pPr>
        <w:spacing w:after="60"/>
        <w:ind w:left="720" w:hanging="720"/>
      </w:pPr>
      <w:r>
        <w:rPr>
          <w:rFonts w:ascii="Times New Roman" w:hAnsi="Times New Roman"/>
          <w:i w:val="0"/>
          <w:sz w:val="22"/>
        </w:rPr>
        <w:t xml:space="preserve">Winbond Electronics. (2021). </w:t>
      </w:r>
      <w:r>
        <w:rPr>
          <w:rFonts w:ascii="Times New Roman" w:hAnsi="Times New Roman"/>
          <w:i/>
          <w:sz w:val="22"/>
        </w:rPr>
        <w:t>W25Q64JV 3V 64M-bit serial flash memory datasheet</w:t>
      </w:r>
      <w:r>
        <w:rPr>
          <w:rFonts w:ascii="Times New Roman" w:hAnsi="Times New Roman"/>
          <w:i w:val="0"/>
          <w:sz w:val="22"/>
        </w:rPr>
        <w: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