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
        <w:jc w:val="center"/>
      </w:pPr>
      <w:r>
        <w:rPr>
          <w:rFonts w:ascii="Calibri" w:cs="Calibri" w:eastAsia="Calibri" w:hAnsi="Calibri"/>
          <w:b/>
          <w:bCs/>
          <w:color w:val="0F766E"/>
          <w:sz w:val="36"/>
          <w:szCs w:val="36"/>
        </w:rPr>
        <w:t xml:space="preserve">FINWISE - COMPREHENSIVE VIVA &amp; PROJECT DEFENSE MANUAL</w:t>
      </w:r>
    </w:p>
    <w:p>
      <w:pPr>
        <w:spacing w:after="260" w:before="0"/>
        <w:jc w:val="center"/>
      </w:pPr>
      <w:r>
        <w:rPr>
          <w:rFonts w:ascii="Calibri" w:cs="Calibri" w:eastAsia="Calibri" w:hAnsi="Calibri"/>
          <w:i/>
          <w:iCs/>
          <w:color w:val="475569"/>
          <w:sz w:val="24"/>
          <w:szCs w:val="24"/>
        </w:rPr>
        <w:t xml:space="preserve">Full-Stack AI Financial Literacy &amp; Intelligent Planning Web Application</w:t>
      </w:r>
    </w:p>
    <w:p>
      <w:pPr>
        <w:pStyle w:val="Heading1"/>
        <w:spacing w:after="140" w:before="360"/>
      </w:pPr>
      <w:r>
        <w:rPr>
          <w:rFonts w:ascii="Calibri" w:cs="Calibri" w:eastAsia="Calibri" w:hAnsi="Calibri"/>
          <w:b/>
          <w:bCs/>
          <w:color w:val="0F766E"/>
          <w:sz w:val="32"/>
          <w:szCs w:val="32"/>
        </w:rPr>
        <w:t xml:space="preserve">1. Project Executive Summary</w:t>
      </w:r>
    </w:p>
    <w:p>
      <w:pPr>
        <w:spacing w:after="100" w:before="60"/>
      </w:pPr>
      <w:r>
        <w:rPr>
          <w:rFonts w:ascii="Calibri" w:cs="Calibri" w:eastAsia="Calibri" w:hAnsi="Calibri"/>
          <w:color w:val="334155"/>
          <w:sz w:val="22"/>
          <w:szCs w:val="22"/>
        </w:rPr>
        <w:t xml:space="preserve">FinWise is an interactive, responsive financial wellness web application crafted to bridge the financial literacy gap for young adults, students, and early-career professionals. It pairs structured financial education (foundational modules, interactive quizzes) with high-utility planning tools (50/30/20 budget planner, compound interest &amp; SIP calculators, emergency fund trackers, and goal visualizers). Furthermore, FinWise integrates an AI-powered financial mentor powered by Google Gemini with a zero-failure client-side mathematical fallback rule engine that guarantees uninterrupted financial counseling regardless of API availability.</w:t>
      </w:r>
    </w:p>
    <w:p>
      <w:pPr>
        <w:pStyle w:val="Heading1"/>
        <w:spacing w:after="140" w:before="360"/>
      </w:pPr>
      <w:r>
        <w:rPr>
          <w:rFonts w:ascii="Calibri" w:cs="Calibri" w:eastAsia="Calibri" w:hAnsi="Calibri"/>
          <w:b/>
          <w:bCs/>
          <w:color w:val="0F766E"/>
          <w:sz w:val="32"/>
          <w:szCs w:val="32"/>
        </w:rPr>
        <w:t xml:space="preserve">2. High-Level System Architecture</w:t>
      </w:r>
    </w:p>
    <w:p>
      <w:pPr>
        <w:spacing w:after="100" w:before="60"/>
      </w:pPr>
      <w:r>
        <w:rPr>
          <w:rFonts w:ascii="Calibri" w:cs="Calibri" w:eastAsia="Calibri" w:hAnsi="Calibri"/>
          <w:color w:val="334155"/>
          <w:sz w:val="22"/>
          <w:szCs w:val="22"/>
        </w:rPr>
        <w:t xml:space="preserve">The project leverages a modern, dual-mode full-stack architecture that operates both as an Express-backed hybrid server in local/cloud-run environments and as a purely static, client-side Progressive Web Application (SPA) on Netlify / static hosts:</w:t>
      </w:r>
    </w:p>
    <w:p>
      <w:pPr>
        <w:pStyle w:val="ListParagraph"/>
        <w:numPr>
          <w:ilvl w:val="0"/>
          <w:numId w:val="1"/>
        </w:numPr>
        <w:spacing w:after="60" w:before="40"/>
      </w:pPr>
      <w:r>
        <w:rPr>
          <w:rFonts w:ascii="Calibri" w:cs="Calibri" w:eastAsia="Calibri" w:hAnsi="Calibri"/>
          <w:b/>
          <w:bCs/>
          <w:color w:val="1E293B"/>
          <w:sz w:val="22"/>
          <w:szCs w:val="22"/>
        </w:rPr>
        <w:t xml:space="preserve">Frontend Layer: </w:t>
      </w:r>
      <w:r>
        <w:rPr>
          <w:rFonts w:ascii="Calibri" w:cs="Calibri" w:eastAsia="Calibri" w:hAnsi="Calibri"/>
          <w:color w:val="334155"/>
          <w:sz w:val="22"/>
          <w:szCs w:val="22"/>
        </w:rPr>
        <w:t xml:space="preserve">React 19, TypeScript, Tailwind CSS v4, Lucide React icons, React-Markdown, and Motion animation primitives.</w:t>
      </w:r>
    </w:p>
    <w:p>
      <w:pPr>
        <w:pStyle w:val="ListParagraph"/>
        <w:numPr>
          <w:ilvl w:val="0"/>
          <w:numId w:val="1"/>
        </w:numPr>
        <w:spacing w:after="60" w:before="40"/>
      </w:pPr>
      <w:r>
        <w:rPr>
          <w:rFonts w:ascii="Calibri" w:cs="Calibri" w:eastAsia="Calibri" w:hAnsi="Calibri"/>
          <w:b/>
          <w:bCs/>
          <w:color w:val="1E293B"/>
          <w:sz w:val="22"/>
          <w:szCs w:val="22"/>
        </w:rPr>
        <w:t xml:space="preserve">Backend Proxy Layer (Express.js / Node.js): </w:t>
      </w:r>
      <w:r>
        <w:rPr>
          <w:rFonts w:ascii="Calibri" w:cs="Calibri" w:eastAsia="Calibri" w:hAnsi="Calibri"/>
          <w:color w:val="334155"/>
          <w:sz w:val="22"/>
          <w:szCs w:val="22"/>
        </w:rPr>
        <w:t xml:space="preserve">Express 4.21 server acting as a secure gateway for Gemini 2.5 Flash API calls, keeping private API keys hidden from client dev tools.</w:t>
      </w:r>
    </w:p>
    <w:p>
      <w:pPr>
        <w:pStyle w:val="ListParagraph"/>
        <w:numPr>
          <w:ilvl w:val="0"/>
          <w:numId w:val="1"/>
        </w:numPr>
        <w:spacing w:after="60" w:before="40"/>
      </w:pPr>
      <w:r>
        <w:rPr>
          <w:rFonts w:ascii="Calibri" w:cs="Calibri" w:eastAsia="Calibri" w:hAnsi="Calibri"/>
          <w:b/>
          <w:bCs/>
          <w:color w:val="1E293B"/>
          <w:sz w:val="22"/>
          <w:szCs w:val="22"/>
        </w:rPr>
        <w:t xml:space="preserve">Resilience &amp; Offline Layer: </w:t>
      </w:r>
      <w:r>
        <w:rPr>
          <w:rFonts w:ascii="Calibri" w:cs="Calibri" w:eastAsia="Calibri" w:hAnsi="Calibri"/>
          <w:color w:val="334155"/>
          <w:sz w:val="22"/>
          <w:szCs w:val="22"/>
        </w:rPr>
        <w:t xml:space="preserve">An autonomous client-side fallback rule engine that analyzes user budget context, expense velocity, savings rates, and debt ratios without needing any remote server.</w:t>
      </w:r>
    </w:p>
    <w:p>
      <w:pPr>
        <w:pStyle w:val="ListParagraph"/>
        <w:numPr>
          <w:ilvl w:val="0"/>
          <w:numId w:val="1"/>
        </w:numPr>
        <w:spacing w:after="60" w:before="40"/>
      </w:pPr>
      <w:r>
        <w:rPr>
          <w:rFonts w:ascii="Calibri" w:cs="Calibri" w:eastAsia="Calibri" w:hAnsi="Calibri"/>
          <w:b/>
          <w:bCs/>
          <w:color w:val="1E293B"/>
          <w:sz w:val="22"/>
          <w:szCs w:val="22"/>
        </w:rPr>
        <w:t xml:space="preserve">Client Persistence: </w:t>
      </w:r>
      <w:r>
        <w:rPr>
          <w:rFonts w:ascii="Calibri" w:cs="Calibri" w:eastAsia="Calibri" w:hAnsi="Calibri"/>
          <w:color w:val="334155"/>
          <w:sz w:val="22"/>
          <w:szCs w:val="22"/>
        </w:rPr>
        <w:t xml:space="preserve">Local storage synchronization for user profiles, currency preferences (INR ₹, USD $, EUR €, GBP £), customized budget sheets, and savings milestones.</w:t>
      </w:r>
    </w:p>
    <w:p>
      <w:pPr>
        <w:pStyle w:val="Heading1"/>
        <w:spacing w:after="140" w:before="360"/>
      </w:pPr>
      <w:r>
        <w:rPr>
          <w:rFonts w:ascii="Calibri" w:cs="Calibri" w:eastAsia="Calibri" w:hAnsi="Calibri"/>
          <w:b/>
          <w:bCs/>
          <w:color w:val="0F766E"/>
          <w:sz w:val="32"/>
          <w:szCs w:val="32"/>
        </w:rPr>
        <w:t xml:space="preserve">3. Detailed File-by-File Breakdown &amp; Technical Responsibilities</w:t>
      </w:r>
    </w:p>
    <w:p>
      <w:pPr>
        <w:spacing w:after="100" w:before="60"/>
      </w:pPr>
      <w:r>
        <w:rPr>
          <w:rFonts w:ascii="Calibri" w:cs="Calibri" w:eastAsia="Calibri" w:hAnsi="Calibri"/>
          <w:color w:val="334155"/>
          <w:sz w:val="22"/>
          <w:szCs w:val="22"/>
        </w:rPr>
        <w:t xml:space="preserve">Below is the complete directory of every file in the project, detailing its precise technical responsibility, key functions, and its role during application execution: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tcBorders>
              <w:top w:val="single" w:color="CBD5E1" w:sz="4"/>
              <w:left w:val="single" w:color="CBD5E1" w:sz="4"/>
              <w:bottom w:val="single" w:color="CBD5E1" w:sz="4"/>
              <w:right w:val="single" w:color="CBD5E1" w:sz="4"/>
            </w:tcBorders>
            <w:shd w:fill="0F766E" w:val="clear"/>
            <w:tcMar>
              <w:top w:type="dxa" w:w="115"/>
              <w:left w:type="dxa" w:w="172"/>
              <w:bottom w:type="dxa" w:w="115"/>
              <w:right w:type="dxa" w:w="172"/>
            </w:tcMar>
          </w:tcPr>
          <w:p>
            <w:r>
              <w:rPr>
                <w:rFonts w:ascii="Calibri" w:cs="Calibri" w:eastAsia="Calibri" w:hAnsi="Calibri"/>
                <w:b/>
                <w:bCs/>
                <w:color w:val="FFFFFF"/>
                <w:sz w:val="20"/>
                <w:szCs w:val="20"/>
              </w:rPr>
              <w:t xml:space="preserve">File Path</w:t>
            </w:r>
          </w:p>
        </w:tc>
        <w:tc>
          <w:tcPr>
            <w:tcW w:type="dxa" w:w="2800"/>
            <w:tcBorders>
              <w:top w:val="single" w:color="CBD5E1" w:sz="4"/>
              <w:left w:val="single" w:color="CBD5E1" w:sz="4"/>
              <w:bottom w:val="single" w:color="CBD5E1" w:sz="4"/>
              <w:right w:val="single" w:color="CBD5E1" w:sz="4"/>
            </w:tcBorders>
            <w:shd w:fill="0F766E" w:val="clear"/>
            <w:tcMar>
              <w:top w:type="dxa" w:w="115"/>
              <w:left w:type="dxa" w:w="172"/>
              <w:bottom w:type="dxa" w:w="115"/>
              <w:right w:type="dxa" w:w="172"/>
            </w:tcMar>
          </w:tcPr>
          <w:p>
            <w:r>
              <w:rPr>
                <w:rFonts w:ascii="Calibri" w:cs="Calibri" w:eastAsia="Calibri" w:hAnsi="Calibri"/>
                <w:b/>
                <w:bCs/>
                <w:color w:val="FFFFFF"/>
                <w:sz w:val="20"/>
                <w:szCs w:val="20"/>
              </w:rPr>
              <w:t xml:space="preserve">Primary Role &amp; Tech</w:t>
            </w:r>
          </w:p>
        </w:tc>
        <w:tc>
          <w:tcPr>
            <w:tcW w:type="dxa" w:w="3900"/>
            <w:tcBorders>
              <w:top w:val="single" w:color="CBD5E1" w:sz="4"/>
              <w:left w:val="single" w:color="CBD5E1" w:sz="4"/>
              <w:bottom w:val="single" w:color="CBD5E1" w:sz="4"/>
              <w:right w:val="single" w:color="CBD5E1" w:sz="4"/>
            </w:tcBorders>
            <w:shd w:fill="0F766E" w:val="clear"/>
            <w:tcMar>
              <w:top w:type="dxa" w:w="115"/>
              <w:left w:type="dxa" w:w="172"/>
              <w:bottom w:type="dxa" w:w="115"/>
              <w:right w:type="dxa" w:w="172"/>
            </w:tcMar>
          </w:tcPr>
          <w:p>
            <w:r>
              <w:rPr>
                <w:rFonts w:ascii="Calibri" w:cs="Calibri" w:eastAsia="Calibri" w:hAnsi="Calibri"/>
                <w:b/>
                <w:bCs/>
                <w:color w:val="FFFFFF"/>
                <w:sz w:val="20"/>
                <w:szCs w:val="20"/>
              </w:rPr>
              <w:t xml:space="preserve">Core Responsibilities &amp; Viva Key Points</w:t>
            </w:r>
          </w:p>
        </w:tc>
      </w:tr>
      <w:tr>
        <w:trPr>
          <w:tblHeader w:val="false"/>
        </w:trPr>
        <w:tc>
          <w:tcPr>
            <w:tcW w:type="dxa" w:w="26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bCs/>
                <w:color w:val="1E293B"/>
                <w:sz w:val="19"/>
                <w:szCs w:val="19"/>
              </w:rPr>
              <w:t xml:space="preserve">server.ts</w:t>
            </w:r>
          </w:p>
        </w:tc>
        <w:tc>
          <w:tcPr>
            <w:tcW w:type="dxa" w:w="2800"/>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Express.js &amp; Vite Hybrid Server</w:t>
            </w:r>
          </w:p>
        </w:tc>
        <w:tc>
          <w:tcPr>
            <w:tcW w:type="dxa" w:w="39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Listens on port 3000. Provides the POST /api/chat endpoint proxying user prompts to @google/genai (Gemini 2.5 Flash). Serves static assets in production and attaches Vite middleware in development.</w:t>
            </w:r>
          </w:p>
        </w:tc>
      </w:tr>
      <w:tr>
        <w:trPr>
          <w:tblHeader w:val="false"/>
        </w:trPr>
        <w:tc>
          <w:tcPr>
            <w:tcW w:type="dxa" w:w="26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bCs/>
                <w:color w:val="1E293B"/>
                <w:sz w:val="19"/>
                <w:szCs w:val="19"/>
              </w:rPr>
              <w:t xml:space="preserve">index.html</w:t>
            </w:r>
          </w:p>
        </w:tc>
        <w:tc>
          <w:tcPr>
            <w:tcW w:type="dxa" w:w="2800"/>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HTML5 Shell Entry Point</w:t>
            </w:r>
          </w:p>
        </w:tc>
        <w:tc>
          <w:tcPr>
            <w:tcW w:type="dxa" w:w="39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Single-page application host containing responsive meta tags, Google Fonts, PWA viewport settings, and root DOM mount point &lt;div id='root'&gt;&lt;/div&gt;.</w:t>
            </w:r>
          </w:p>
        </w:tc>
      </w:tr>
      <w:tr>
        <w:trPr>
          <w:tblHeader w:val="false"/>
        </w:trPr>
        <w:tc>
          <w:tcPr>
            <w:tcW w:type="dxa" w:w="26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bCs/>
                <w:color w:val="1E293B"/>
                <w:sz w:val="19"/>
                <w:szCs w:val="19"/>
              </w:rPr>
              <w:t xml:space="preserve">src/main.tsx</w:t>
            </w:r>
          </w:p>
        </w:tc>
        <w:tc>
          <w:tcPr>
            <w:tcW w:type="dxa" w:w="2800"/>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React Mounting Entry</w:t>
            </w:r>
          </w:p>
        </w:tc>
        <w:tc>
          <w:tcPr>
            <w:tcW w:type="dxa" w:w="39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Bootstraps React 19 using createRoot() and strictly binds the root App component to the DOM document.</w:t>
            </w:r>
          </w:p>
        </w:tc>
      </w:tr>
      <w:tr>
        <w:trPr>
          <w:tblHeader w:val="false"/>
        </w:trPr>
        <w:tc>
          <w:tcPr>
            <w:tcW w:type="dxa" w:w="26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bCs/>
                <w:color w:val="1E293B"/>
                <w:sz w:val="19"/>
                <w:szCs w:val="19"/>
              </w:rPr>
              <w:t xml:space="preserve">src/App.tsx</w:t>
            </w:r>
          </w:p>
        </w:tc>
        <w:tc>
          <w:tcPr>
            <w:tcW w:type="dxa" w:w="2800"/>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Root State Orchestrator</w:t>
            </w:r>
          </w:p>
        </w:tc>
        <w:tc>
          <w:tcPr>
            <w:tcW w:type="dxa" w:w="39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Coordinates global state: user profile, active navigation tab, monthly income, transactions list, savings targets, and financial quiz history. Computes aggregate user context and synchronizes with localStorage.</w:t>
            </w:r>
          </w:p>
        </w:tc>
      </w:tr>
      <w:tr>
        <w:trPr>
          <w:tblHeader w:val="false"/>
        </w:trPr>
        <w:tc>
          <w:tcPr>
            <w:tcW w:type="dxa" w:w="26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bCs/>
                <w:color w:val="1E293B"/>
                <w:sz w:val="19"/>
                <w:szCs w:val="19"/>
              </w:rPr>
              <w:t xml:space="preserve">src/types.ts</w:t>
            </w:r>
          </w:p>
        </w:tc>
        <w:tc>
          <w:tcPr>
            <w:tcW w:type="dxa" w:w="2800"/>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TypeScript Type Definitions</w:t>
            </w:r>
          </w:p>
        </w:tc>
        <w:tc>
          <w:tcPr>
            <w:tcW w:type="dxa" w:w="39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Declares contracts: Transaction, SavingsGoal, UserProfile, UserFinancialContext, LearningModule, and QuizQuestion to ensure complete end-to-end type safety.</w:t>
            </w:r>
          </w:p>
        </w:tc>
      </w:tr>
      <w:tr>
        <w:trPr>
          <w:tblHeader w:val="false"/>
        </w:trPr>
        <w:tc>
          <w:tcPr>
            <w:tcW w:type="dxa" w:w="26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bCs/>
                <w:color w:val="1E293B"/>
                <w:sz w:val="19"/>
                <w:szCs w:val="19"/>
              </w:rPr>
              <w:t xml:space="preserve">src/index.css</w:t>
            </w:r>
          </w:p>
        </w:tc>
        <w:tc>
          <w:tcPr>
            <w:tcW w:type="dxa" w:w="2800"/>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Global Styling &amp; Theme</w:t>
            </w:r>
          </w:p>
        </w:tc>
        <w:tc>
          <w:tcPr>
            <w:tcW w:type="dxa" w:w="39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Imports Tailwind CSS (@import 'tailwindcss';), defines dark obsidian canvas gradients, emerald accents, and custom scrollbar styling.</w:t>
            </w:r>
          </w:p>
        </w:tc>
      </w:tr>
      <w:tr>
        <w:trPr>
          <w:tblHeader w:val="false"/>
        </w:trPr>
        <w:tc>
          <w:tcPr>
            <w:tcW w:type="dxa" w:w="26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bCs/>
                <w:color w:val="1E293B"/>
                <w:sz w:val="19"/>
                <w:szCs w:val="19"/>
              </w:rPr>
              <w:t xml:space="preserve">src/components/Navbar.tsx</w:t>
            </w:r>
          </w:p>
        </w:tc>
        <w:tc>
          <w:tcPr>
            <w:tcW w:type="dxa" w:w="2800"/>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Navigation &amp; Global Header</w:t>
            </w:r>
          </w:p>
        </w:tc>
        <w:tc>
          <w:tcPr>
            <w:tcW w:type="dxa" w:w="39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Sticky header providing tab routing (Home, Learn, Tools, Budget, Savings, Quiz, AI Assistant, Dashboard), profile currency switcher, and one-click Netlify deploy package download.</w:t>
            </w:r>
          </w:p>
        </w:tc>
      </w:tr>
      <w:tr>
        <w:trPr>
          <w:tblHeader w:val="false"/>
        </w:trPr>
        <w:tc>
          <w:tcPr>
            <w:tcW w:type="dxa" w:w="26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bCs/>
                <w:color w:val="1E293B"/>
                <w:sz w:val="19"/>
                <w:szCs w:val="19"/>
              </w:rPr>
              <w:t xml:space="preserve">src/components/HomeView.tsx</w:t>
            </w:r>
          </w:p>
        </w:tc>
        <w:tc>
          <w:tcPr>
            <w:tcW w:type="dxa" w:w="2800"/>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Hero &amp; Platform Overview</w:t>
            </w:r>
          </w:p>
        </w:tc>
        <w:tc>
          <w:tcPr>
            <w:tcW w:type="dxa" w:w="39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Interactive landing dashboard introducing the 4 pillars of FinWise: Learn, Calculate, Budget, and AI Guidance, with live metric counters and quick-launch action triggers.</w:t>
            </w:r>
          </w:p>
        </w:tc>
      </w:tr>
      <w:tr>
        <w:trPr>
          <w:tblHeader w:val="false"/>
        </w:trPr>
        <w:tc>
          <w:tcPr>
            <w:tcW w:type="dxa" w:w="26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bCs/>
                <w:color w:val="1E293B"/>
                <w:sz w:val="19"/>
                <w:szCs w:val="19"/>
              </w:rPr>
              <w:t xml:space="preserve">src/components/BudgetView.tsx</w:t>
            </w:r>
          </w:p>
        </w:tc>
        <w:tc>
          <w:tcPr>
            <w:tcW w:type="dxa" w:w="2800"/>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50/30/20 Budget Planner</w:t>
            </w:r>
          </w:p>
        </w:tc>
        <w:tc>
          <w:tcPr>
            <w:tcW w:type="dxa" w:w="39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Interactive budget engine classifying user cashflow into Needs (50%), Wants (30%), and Savings (20%). Supports adding/editing transactions, categorical breakdown charts, and budget health alerts.</w:t>
            </w:r>
          </w:p>
        </w:tc>
      </w:tr>
      <w:tr>
        <w:trPr>
          <w:tblHeader w:val="false"/>
        </w:trPr>
        <w:tc>
          <w:tcPr>
            <w:tcW w:type="dxa" w:w="26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bCs/>
                <w:color w:val="1E293B"/>
                <w:sz w:val="19"/>
                <w:szCs w:val="19"/>
              </w:rPr>
              <w:t xml:space="preserve">src/components/SavingsView.tsx</w:t>
            </w:r>
          </w:p>
        </w:tc>
        <w:tc>
          <w:tcPr>
            <w:tcW w:type="dxa" w:w="2800"/>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Goal Visualizer &amp; Tracker</w:t>
            </w:r>
          </w:p>
        </w:tc>
        <w:tc>
          <w:tcPr>
            <w:tcW w:type="dxa" w:w="39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Visualizes target milestones (Emergency fund, college laptop, investment). Calculates percentage progress, estimated completion months, and allows deposit increments.</w:t>
            </w:r>
          </w:p>
        </w:tc>
      </w:tr>
      <w:tr>
        <w:trPr>
          <w:tblHeader w:val="false"/>
        </w:trPr>
        <w:tc>
          <w:tcPr>
            <w:tcW w:type="dxa" w:w="26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bCs/>
                <w:color w:val="1E293B"/>
                <w:sz w:val="19"/>
                <w:szCs w:val="19"/>
              </w:rPr>
              <w:t xml:space="preserve">src/components/ToolsView.tsx</w:t>
            </w:r>
          </w:p>
        </w:tc>
        <w:tc>
          <w:tcPr>
            <w:tcW w:type="dxa" w:w="2800"/>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Financial Calculators Hub</w:t>
            </w:r>
          </w:p>
        </w:tc>
        <w:tc>
          <w:tcPr>
            <w:tcW w:type="dxa" w:w="39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Hosts 4 specialized financial engines: SIP / Mutual Fund Wealth Calculator, Compound Interest Engine, Emergency Fund Runway Calculator, and Debt Payoff (Snowball/Avalanche) Planner.</w:t>
            </w:r>
          </w:p>
        </w:tc>
      </w:tr>
      <w:tr>
        <w:trPr>
          <w:tblHeader w:val="false"/>
        </w:trPr>
        <w:tc>
          <w:tcPr>
            <w:tcW w:type="dxa" w:w="26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bCs/>
                <w:color w:val="1E293B"/>
                <w:sz w:val="19"/>
                <w:szCs w:val="19"/>
              </w:rPr>
              <w:t xml:space="preserve">src/components/LearnView.tsx</w:t>
            </w:r>
          </w:p>
        </w:tc>
        <w:tc>
          <w:tcPr>
            <w:tcW w:type="dxa" w:w="2800"/>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Curated Educational Modules</w:t>
            </w:r>
          </w:p>
        </w:tc>
        <w:tc>
          <w:tcPr>
            <w:tcW w:type="dxa" w:w="39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Presents structured financial literacy lessons spanning Budgeting 101, Debt Management, Stock Market Investing, and Tax Planning with interactive expandable lesson cards.</w:t>
            </w:r>
          </w:p>
        </w:tc>
      </w:tr>
      <w:tr>
        <w:trPr>
          <w:tblHeader w:val="false"/>
        </w:trPr>
        <w:tc>
          <w:tcPr>
            <w:tcW w:type="dxa" w:w="26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bCs/>
                <w:color w:val="1E293B"/>
                <w:sz w:val="19"/>
                <w:szCs w:val="19"/>
              </w:rPr>
              <w:t xml:space="preserve">src/components/QuizView.tsx</w:t>
            </w:r>
          </w:p>
        </w:tc>
        <w:tc>
          <w:tcPr>
            <w:tcW w:type="dxa" w:w="2800"/>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Gamified Knowledge Quiz</w:t>
            </w:r>
          </w:p>
        </w:tc>
        <w:tc>
          <w:tcPr>
            <w:tcW w:type="dxa" w:w="39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Interactive multi-question financial literacy test with real-time feedback, detailed conceptual explanations for each answer, score tracking, and visual achievement badges.</w:t>
            </w:r>
          </w:p>
        </w:tc>
      </w:tr>
      <w:tr>
        <w:trPr>
          <w:tblHeader w:val="false"/>
        </w:trPr>
        <w:tc>
          <w:tcPr>
            <w:tcW w:type="dxa" w:w="26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bCs/>
                <w:color w:val="1E293B"/>
                <w:sz w:val="19"/>
                <w:szCs w:val="19"/>
              </w:rPr>
              <w:t xml:space="preserve">src/components/AssistantView.tsx</w:t>
            </w:r>
          </w:p>
        </w:tc>
        <w:tc>
          <w:tcPr>
            <w:tcW w:type="dxa" w:w="2800"/>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AI Financial Advisor UI</w:t>
            </w:r>
          </w:p>
        </w:tc>
        <w:tc>
          <w:tcPr>
            <w:tcW w:type="dxa" w:w="39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Chat interface delivering tailored guidance. Seamlessly switches between the backend Gemini API and the local mathematical rule engine. Features starter prompt chips and markdown rendering.</w:t>
            </w:r>
          </w:p>
        </w:tc>
      </w:tr>
      <w:tr>
        <w:trPr>
          <w:tblHeader w:val="false"/>
        </w:trPr>
        <w:tc>
          <w:tcPr>
            <w:tcW w:type="dxa" w:w="26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bCs/>
                <w:color w:val="1E293B"/>
                <w:sz w:val="19"/>
                <w:szCs w:val="19"/>
              </w:rPr>
              <w:t xml:space="preserve">src/components/DashboardView.tsx</w:t>
            </w:r>
          </w:p>
        </w:tc>
        <w:tc>
          <w:tcPr>
            <w:tcW w:type="dxa" w:w="2800"/>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Unified Financial Pulse</w:t>
            </w:r>
          </w:p>
        </w:tc>
        <w:tc>
          <w:tcPr>
            <w:tcW w:type="dxa" w:w="39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Consolidates net worth estimation, savings rate percentage, spending distribution, emergency buffer health score, and learning achievements in one high-contrast dashboard.</w:t>
            </w:r>
          </w:p>
        </w:tc>
      </w:tr>
      <w:tr>
        <w:trPr>
          <w:tblHeader w:val="false"/>
        </w:trPr>
        <w:tc>
          <w:tcPr>
            <w:tcW w:type="dxa" w:w="26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bCs/>
                <w:color w:val="1E293B"/>
                <w:sz w:val="19"/>
                <w:szCs w:val="19"/>
              </w:rPr>
              <w:t xml:space="preserve">src/components/AuthModal.tsx</w:t>
            </w:r>
          </w:p>
        </w:tc>
        <w:tc>
          <w:tcPr>
            <w:tcW w:type="dxa" w:w="2800"/>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User Profile Modal</w:t>
            </w:r>
          </w:p>
        </w:tc>
        <w:tc>
          <w:tcPr>
            <w:tcW w:type="dxa" w:w="39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Allows switching user profile names, currency symbols (₹, $, €, £), and resets demo data securely to factory standards.</w:t>
            </w:r>
          </w:p>
        </w:tc>
      </w:tr>
      <w:tr>
        <w:trPr>
          <w:tblHeader w:val="false"/>
        </w:trPr>
        <w:tc>
          <w:tcPr>
            <w:tcW w:type="dxa" w:w="26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bCs/>
                <w:color w:val="1E293B"/>
                <w:sz w:val="19"/>
                <w:szCs w:val="19"/>
              </w:rPr>
              <w:t xml:space="preserve">src/components/Footer.tsx</w:t>
            </w:r>
          </w:p>
        </w:tc>
        <w:tc>
          <w:tcPr>
            <w:tcW w:type="dxa" w:w="2800"/>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Global Footer &amp; Quick Links</w:t>
            </w:r>
          </w:p>
        </w:tc>
        <w:tc>
          <w:tcPr>
            <w:tcW w:type="dxa" w:w="39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Contains platform metadata, privacy and financial disclaimer badges, and developer repository links.</w:t>
            </w:r>
          </w:p>
        </w:tc>
      </w:tr>
      <w:tr>
        <w:trPr>
          <w:tblHeader w:val="false"/>
        </w:trPr>
        <w:tc>
          <w:tcPr>
            <w:tcW w:type="dxa" w:w="26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bCs/>
                <w:color w:val="1E293B"/>
                <w:sz w:val="19"/>
                <w:szCs w:val="19"/>
              </w:rPr>
              <w:t xml:space="preserve">src/utils/financialFallback.ts</w:t>
            </w:r>
          </w:p>
        </w:tc>
        <w:tc>
          <w:tcPr>
            <w:tcW w:type="dxa" w:w="2800"/>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Offline Financial Rule Engine</w:t>
            </w:r>
          </w:p>
        </w:tc>
        <w:tc>
          <w:tcPr>
            <w:tcW w:type="dxa" w:w="39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A robust algorithm that interprets user financial ratios (Savings Ratio, Housing Burden, Need vs Want balance) to produce intelligent, personalized financial advice without any external API.</w:t>
            </w:r>
          </w:p>
        </w:tc>
      </w:tr>
      <w:tr>
        <w:trPr>
          <w:tblHeader w:val="false"/>
        </w:trPr>
        <w:tc>
          <w:tcPr>
            <w:tcW w:type="dxa" w:w="26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bCs/>
                <w:color w:val="1E293B"/>
                <w:sz w:val="19"/>
                <w:szCs w:val="19"/>
              </w:rPr>
              <w:t xml:space="preserve">src/data/learningModules.ts</w:t>
            </w:r>
          </w:p>
        </w:tc>
        <w:tc>
          <w:tcPr>
            <w:tcW w:type="dxa" w:w="2800"/>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Curriculum Knowledge Base</w:t>
            </w:r>
          </w:p>
        </w:tc>
        <w:tc>
          <w:tcPr>
            <w:tcW w:type="dxa" w:w="39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Static structured database of financial topics, core takeaways, actionable rules of thumb, and practical exercises.</w:t>
            </w:r>
          </w:p>
        </w:tc>
      </w:tr>
      <w:tr>
        <w:trPr>
          <w:tblHeader w:val="false"/>
        </w:trPr>
        <w:tc>
          <w:tcPr>
            <w:tcW w:type="dxa" w:w="26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bCs/>
                <w:color w:val="1E293B"/>
                <w:sz w:val="19"/>
                <w:szCs w:val="19"/>
              </w:rPr>
              <w:t xml:space="preserve">src/data/quizData.ts</w:t>
            </w:r>
          </w:p>
        </w:tc>
        <w:tc>
          <w:tcPr>
            <w:tcW w:type="dxa" w:w="2800"/>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Financial Quiz Question Bank</w:t>
            </w:r>
          </w:p>
        </w:tc>
        <w:tc>
          <w:tcPr>
            <w:tcW w:type="dxa" w:w="39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Comprehensive question dataset testing knowledge on interest rates, inflation, credit scores, diversification, and emergency funds.</w:t>
            </w:r>
          </w:p>
        </w:tc>
      </w:tr>
      <w:tr>
        <w:trPr>
          <w:tblHeader w:val="false"/>
        </w:trPr>
        <w:tc>
          <w:tcPr>
            <w:tcW w:type="dxa" w:w="26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bCs/>
                <w:color w:val="1E293B"/>
                <w:sz w:val="19"/>
                <w:szCs w:val="19"/>
              </w:rPr>
              <w:t xml:space="preserve">package.json</w:t>
            </w:r>
          </w:p>
        </w:tc>
        <w:tc>
          <w:tcPr>
            <w:tcW w:type="dxa" w:w="2800"/>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Project Manifest &amp; Scripts</w:t>
            </w:r>
          </w:p>
        </w:tc>
        <w:tc>
          <w:tcPr>
            <w:tcW w:type="dxa" w:w="39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Defines project dependencies (React 19, Tailwind, Express, Motion, Lucide) and scripts (dev, build, start, preview, lint).</w:t>
            </w:r>
          </w:p>
        </w:tc>
      </w:tr>
      <w:tr>
        <w:trPr>
          <w:tblHeader w:val="false"/>
        </w:trPr>
        <w:tc>
          <w:tcPr>
            <w:tcW w:type="dxa" w:w="26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bCs/>
                <w:color w:val="1E293B"/>
                <w:sz w:val="19"/>
                <w:szCs w:val="19"/>
              </w:rPr>
              <w:t xml:space="preserve">netlify.toml</w:t>
            </w:r>
          </w:p>
        </w:tc>
        <w:tc>
          <w:tcPr>
            <w:tcW w:type="dxa" w:w="2800"/>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Netlify Build &amp; Routing Config</w:t>
            </w:r>
          </w:p>
        </w:tc>
        <w:tc>
          <w:tcPr>
            <w:tcW w:type="dxa" w:w="39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Instructs Netlify to execute 'npm run build', set 'dist' as the publish directory, and redirect all route paths (/*) to /index.html for client-side routing.</w:t>
            </w:r>
          </w:p>
        </w:tc>
      </w:tr>
      <w:tr>
        <w:trPr>
          <w:tblHeader w:val="false"/>
        </w:trPr>
        <w:tc>
          <w:tcPr>
            <w:tcW w:type="dxa" w:w="26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bCs/>
                <w:color w:val="1E293B"/>
                <w:sz w:val="19"/>
                <w:szCs w:val="19"/>
              </w:rPr>
              <w:t xml:space="preserve">vite.config.ts</w:t>
            </w:r>
          </w:p>
        </w:tc>
        <w:tc>
          <w:tcPr>
            <w:tcW w:type="dxa" w:w="2800"/>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Vite Bundler Configuration</w:t>
            </w:r>
          </w:p>
        </w:tc>
        <w:tc>
          <w:tcPr>
            <w:tcW w:type="dxa" w:w="39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Configures @vitejs/plugin-react and Tailwind CSS plugins for sub-second hot-reloads and optimized minified production bundle distribution.</w:t>
            </w:r>
          </w:p>
        </w:tc>
      </w:tr>
      <w:tr>
        <w:trPr>
          <w:tblHeader w:val="false"/>
        </w:trPr>
        <w:tc>
          <w:tcPr>
            <w:tcW w:type="dxa" w:w="26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bCs/>
                <w:color w:val="1E293B"/>
                <w:sz w:val="19"/>
                <w:szCs w:val="19"/>
              </w:rPr>
              <w:t xml:space="preserve">tsconfig.json</w:t>
            </w:r>
          </w:p>
        </w:tc>
        <w:tc>
          <w:tcPr>
            <w:tcW w:type="dxa" w:w="2800"/>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TypeScript Compiler Config</w:t>
            </w:r>
          </w:p>
        </w:tc>
        <w:tc>
          <w:tcPr>
            <w:tcW w:type="dxa" w:w="390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r>
              <w:rPr>
                <w:rFonts w:ascii="Calibri" w:cs="Calibri" w:eastAsia="Calibri" w:hAnsi="Calibri"/>
                <w:b w:val="false"/>
                <w:bCs w:val="false"/>
                <w:color w:val="334155"/>
                <w:sz w:val="19"/>
                <w:szCs w:val="19"/>
              </w:rPr>
              <w:t xml:space="preserve">Specifies modern ESNext compiler targets, strict mode type validation, JSX transform settings, and module resolution rules.</w:t>
            </w:r>
          </w:p>
        </w:tc>
      </w:tr>
    </w:tbl>
    <w:p>
      <w:pPr>
        <w:pStyle w:val="Heading1"/>
        <w:spacing w:after="140" w:before="360"/>
      </w:pPr>
      <w:r>
        <w:rPr>
          <w:rFonts w:ascii="Calibri" w:cs="Calibri" w:eastAsia="Calibri" w:hAnsi="Calibri"/>
          <w:b/>
          <w:bCs/>
          <w:color w:val="0F766E"/>
          <w:sz w:val="32"/>
          <w:szCs w:val="32"/>
        </w:rPr>
        <w:t xml:space="preserve">4. Core Mathematical Formulas Implemented</w:t>
      </w:r>
    </w:p>
    <w:p>
      <w:pPr>
        <w:spacing w:after="100" w:before="60"/>
      </w:pPr>
      <w:r>
        <w:rPr>
          <w:rFonts w:ascii="Calibri" w:cs="Calibri" w:eastAsia="Calibri" w:hAnsi="Calibri"/>
          <w:color w:val="334155"/>
          <w:sz w:val="22"/>
          <w:szCs w:val="22"/>
        </w:rPr>
        <w:t xml:space="preserve">Be prepared to explain these formulas during the viva examination, as examiners love asking about the underlying algorithms:</w:t>
      </w:r>
    </w:p>
    <w:p>
      <w:pPr>
        <w:pStyle w:val="Heading2"/>
        <w:spacing w:after="100" w:before="240"/>
      </w:pPr>
      <w:r>
        <w:rPr>
          <w:rFonts w:ascii="Calibri" w:cs="Calibri" w:eastAsia="Calibri" w:hAnsi="Calibri"/>
          <w:b/>
          <w:bCs/>
          <w:color w:val="1E293B"/>
          <w:sz w:val="26"/>
          <w:szCs w:val="26"/>
        </w:rPr>
        <w:t xml:space="preserve">A. Compound Interest Formula</w:t>
      </w:r>
    </w:p>
    <w:p>
      <w:pPr>
        <w:spacing w:after="100" w:before="60"/>
      </w:pPr>
      <w:r>
        <w:rPr>
          <w:rFonts w:ascii="Calibri" w:cs="Calibri" w:eastAsia="Calibri" w:hAnsi="Calibri"/>
          <w:b/>
          <w:bCs/>
          <w:color w:val="1E293B"/>
          <w:sz w:val="22"/>
          <w:szCs w:val="22"/>
        </w:rPr>
        <w:t xml:space="preserve">Formula: </w:t>
      </w:r>
      <w:r>
        <w:rPr>
          <w:rFonts w:ascii="Calibri" w:cs="Calibri" w:eastAsia="Calibri" w:hAnsi="Calibri"/>
          <w:color w:val="334155"/>
          <w:sz w:val="22"/>
          <w:szCs w:val="22"/>
        </w:rPr>
        <w:t xml:space="preserve">A = P × (1 + r / n)^(n × t)</w:t>
      </w:r>
    </w:p>
    <w:p>
      <w:pPr>
        <w:pStyle w:val="ListParagraph"/>
        <w:numPr>
          <w:ilvl w:val="0"/>
          <w:numId w:val="1"/>
        </w:numPr>
        <w:spacing w:after="60" w:before="40"/>
      </w:pPr>
      <w:r>
        <w:rPr>
          <w:rFonts w:ascii="Calibri" w:cs="Calibri" w:eastAsia="Calibri" w:hAnsi="Calibri"/>
          <w:b/>
          <w:bCs/>
          <w:color w:val="1E293B"/>
          <w:sz w:val="22"/>
          <w:szCs w:val="22"/>
        </w:rPr>
        <w:t xml:space="preserve">P: </w:t>
      </w:r>
      <w:r>
        <w:rPr>
          <w:rFonts w:ascii="Calibri" w:cs="Calibri" w:eastAsia="Calibri" w:hAnsi="Calibri"/>
          <w:color w:val="334155"/>
          <w:sz w:val="22"/>
          <w:szCs w:val="22"/>
        </w:rPr>
        <w:t xml:space="preserve">Principal investment amount</w:t>
      </w:r>
    </w:p>
    <w:p>
      <w:pPr>
        <w:pStyle w:val="ListParagraph"/>
        <w:numPr>
          <w:ilvl w:val="0"/>
          <w:numId w:val="1"/>
        </w:numPr>
        <w:spacing w:after="60" w:before="40"/>
      </w:pPr>
      <w:r>
        <w:rPr>
          <w:rFonts w:ascii="Calibri" w:cs="Calibri" w:eastAsia="Calibri" w:hAnsi="Calibri"/>
          <w:b/>
          <w:bCs/>
          <w:color w:val="1E293B"/>
          <w:sz w:val="22"/>
          <w:szCs w:val="22"/>
        </w:rPr>
        <w:t xml:space="preserve">r: </w:t>
      </w:r>
      <w:r>
        <w:rPr>
          <w:rFonts w:ascii="Calibri" w:cs="Calibri" w:eastAsia="Calibri" w:hAnsi="Calibri"/>
          <w:color w:val="334155"/>
          <w:sz w:val="22"/>
          <w:szCs w:val="22"/>
        </w:rPr>
        <w:t xml:space="preserve">Annual nominal interest rate (in decimal, e.g., 0.08 for 8%)</w:t>
      </w:r>
    </w:p>
    <w:p>
      <w:pPr>
        <w:pStyle w:val="ListParagraph"/>
        <w:numPr>
          <w:ilvl w:val="0"/>
          <w:numId w:val="1"/>
        </w:numPr>
        <w:spacing w:after="60" w:before="40"/>
      </w:pPr>
      <w:r>
        <w:rPr>
          <w:rFonts w:ascii="Calibri" w:cs="Calibri" w:eastAsia="Calibri" w:hAnsi="Calibri"/>
          <w:b/>
          <w:bCs/>
          <w:color w:val="1E293B"/>
          <w:sz w:val="22"/>
          <w:szCs w:val="22"/>
        </w:rPr>
        <w:t xml:space="preserve">n: </w:t>
      </w:r>
      <w:r>
        <w:rPr>
          <w:rFonts w:ascii="Calibri" w:cs="Calibri" w:eastAsia="Calibri" w:hAnsi="Calibri"/>
          <w:color w:val="334155"/>
          <w:sz w:val="22"/>
          <w:szCs w:val="22"/>
        </w:rPr>
        <w:t xml:space="preserve">Compounding frequency per year (e.g., 12 for monthly, 1 for annual)</w:t>
      </w:r>
    </w:p>
    <w:p>
      <w:pPr>
        <w:pStyle w:val="ListParagraph"/>
        <w:numPr>
          <w:ilvl w:val="0"/>
          <w:numId w:val="1"/>
        </w:numPr>
        <w:spacing w:after="60" w:before="40"/>
      </w:pPr>
      <w:r>
        <w:rPr>
          <w:rFonts w:ascii="Calibri" w:cs="Calibri" w:eastAsia="Calibri" w:hAnsi="Calibri"/>
          <w:b/>
          <w:bCs/>
          <w:color w:val="1E293B"/>
          <w:sz w:val="22"/>
          <w:szCs w:val="22"/>
        </w:rPr>
        <w:t xml:space="preserve">t: </w:t>
      </w:r>
      <w:r>
        <w:rPr>
          <w:rFonts w:ascii="Calibri" w:cs="Calibri" w:eastAsia="Calibri" w:hAnsi="Calibri"/>
          <w:color w:val="334155"/>
          <w:sz w:val="22"/>
          <w:szCs w:val="22"/>
        </w:rPr>
        <w:t xml:space="preserve">Time duration in years</w:t>
      </w:r>
    </w:p>
    <w:p>
      <w:pPr>
        <w:pStyle w:val="ListParagraph"/>
        <w:numPr>
          <w:ilvl w:val="0"/>
          <w:numId w:val="1"/>
        </w:numPr>
        <w:spacing w:after="60" w:before="40"/>
      </w:pPr>
      <w:r>
        <w:rPr>
          <w:rFonts w:ascii="Calibri" w:cs="Calibri" w:eastAsia="Calibri" w:hAnsi="Calibri"/>
          <w:b/>
          <w:bCs/>
          <w:color w:val="1E293B"/>
          <w:sz w:val="22"/>
          <w:szCs w:val="22"/>
        </w:rPr>
        <w:t xml:space="preserve">A: </w:t>
      </w:r>
      <w:r>
        <w:rPr>
          <w:rFonts w:ascii="Calibri" w:cs="Calibri" w:eastAsia="Calibri" w:hAnsi="Calibri"/>
          <w:color w:val="334155"/>
          <w:sz w:val="22"/>
          <w:szCs w:val="22"/>
        </w:rPr>
        <w:t xml:space="preserve">Final accumulated maturity value (Principal + Compound Interest)</w:t>
      </w:r>
    </w:p>
    <w:p>
      <w:pPr>
        <w:pStyle w:val="Heading2"/>
        <w:spacing w:after="100" w:before="240"/>
      </w:pPr>
      <w:r>
        <w:rPr>
          <w:rFonts w:ascii="Calibri" w:cs="Calibri" w:eastAsia="Calibri" w:hAnsi="Calibri"/>
          <w:b/>
          <w:bCs/>
          <w:color w:val="1E293B"/>
          <w:sz w:val="26"/>
          <w:szCs w:val="26"/>
        </w:rPr>
        <w:t xml:space="preserve">B. Systematic Investment Plan (SIP) Future Value</w:t>
      </w:r>
    </w:p>
    <w:p>
      <w:pPr>
        <w:spacing w:after="100" w:before="60"/>
      </w:pPr>
      <w:r>
        <w:rPr>
          <w:rFonts w:ascii="Calibri" w:cs="Calibri" w:eastAsia="Calibri" w:hAnsi="Calibri"/>
          <w:b/>
          <w:bCs/>
          <w:color w:val="1E293B"/>
          <w:sz w:val="22"/>
          <w:szCs w:val="22"/>
        </w:rPr>
        <w:t xml:space="preserve">Formula: </w:t>
      </w:r>
      <w:r>
        <w:rPr>
          <w:rFonts w:ascii="Calibri" w:cs="Calibri" w:eastAsia="Calibri" w:hAnsi="Calibri"/>
          <w:color w:val="334155"/>
          <w:sz w:val="22"/>
          <w:szCs w:val="22"/>
        </w:rPr>
        <w:t xml:space="preserve">M = P × [ ( (1 + i)^n - 1 ) / i ] × (1 + i)</w:t>
      </w:r>
    </w:p>
    <w:p>
      <w:pPr>
        <w:pStyle w:val="ListParagraph"/>
        <w:numPr>
          <w:ilvl w:val="0"/>
          <w:numId w:val="1"/>
        </w:numPr>
        <w:spacing w:after="60" w:before="40"/>
      </w:pPr>
      <w:r>
        <w:rPr>
          <w:rFonts w:ascii="Calibri" w:cs="Calibri" w:eastAsia="Calibri" w:hAnsi="Calibri"/>
          <w:b/>
          <w:bCs/>
          <w:color w:val="1E293B"/>
          <w:sz w:val="22"/>
          <w:szCs w:val="22"/>
        </w:rPr>
        <w:t xml:space="preserve">P: </w:t>
      </w:r>
      <w:r>
        <w:rPr>
          <w:rFonts w:ascii="Calibri" w:cs="Calibri" w:eastAsia="Calibri" w:hAnsi="Calibri"/>
          <w:color w:val="334155"/>
          <w:sz w:val="22"/>
          <w:szCs w:val="22"/>
        </w:rPr>
        <w:t xml:space="preserve">Monthly installment amount</w:t>
      </w:r>
    </w:p>
    <w:p>
      <w:pPr>
        <w:pStyle w:val="ListParagraph"/>
        <w:numPr>
          <w:ilvl w:val="0"/>
          <w:numId w:val="1"/>
        </w:numPr>
        <w:spacing w:after="60" w:before="40"/>
      </w:pPr>
      <w:r>
        <w:rPr>
          <w:rFonts w:ascii="Calibri" w:cs="Calibri" w:eastAsia="Calibri" w:hAnsi="Calibri"/>
          <w:b/>
          <w:bCs/>
          <w:color w:val="1E293B"/>
          <w:sz w:val="22"/>
          <w:szCs w:val="22"/>
        </w:rPr>
        <w:t xml:space="preserve">i: </w:t>
      </w:r>
      <w:r>
        <w:rPr>
          <w:rFonts w:ascii="Calibri" w:cs="Calibri" w:eastAsia="Calibri" w:hAnsi="Calibri"/>
          <w:color w:val="334155"/>
          <w:sz w:val="22"/>
          <w:szCs w:val="22"/>
        </w:rPr>
        <w:t xml:space="preserve">Periodic monthly interest rate (Annual Rate / 12 / 100)</w:t>
      </w:r>
    </w:p>
    <w:p>
      <w:pPr>
        <w:pStyle w:val="ListParagraph"/>
        <w:numPr>
          <w:ilvl w:val="0"/>
          <w:numId w:val="1"/>
        </w:numPr>
        <w:spacing w:after="60" w:before="40"/>
      </w:pPr>
      <w:r>
        <w:rPr>
          <w:rFonts w:ascii="Calibri" w:cs="Calibri" w:eastAsia="Calibri" w:hAnsi="Calibri"/>
          <w:b/>
          <w:bCs/>
          <w:color w:val="1E293B"/>
          <w:sz w:val="22"/>
          <w:szCs w:val="22"/>
        </w:rPr>
        <w:t xml:space="preserve">n: </w:t>
      </w:r>
      <w:r>
        <w:rPr>
          <w:rFonts w:ascii="Calibri" w:cs="Calibri" w:eastAsia="Calibri" w:hAnsi="Calibri"/>
          <w:color w:val="334155"/>
          <w:sz w:val="22"/>
          <w:szCs w:val="22"/>
        </w:rPr>
        <w:t xml:space="preserve">Total number of monthly installments (Years × 12)</w:t>
      </w:r>
    </w:p>
    <w:p>
      <w:pPr>
        <w:pStyle w:val="ListParagraph"/>
        <w:numPr>
          <w:ilvl w:val="0"/>
          <w:numId w:val="1"/>
        </w:numPr>
        <w:spacing w:after="60" w:before="40"/>
      </w:pPr>
      <w:r>
        <w:rPr>
          <w:rFonts w:ascii="Calibri" w:cs="Calibri" w:eastAsia="Calibri" w:hAnsi="Calibri"/>
          <w:b/>
          <w:bCs/>
          <w:color w:val="1E293B"/>
          <w:sz w:val="22"/>
          <w:szCs w:val="22"/>
        </w:rPr>
        <w:t xml:space="preserve">M: </w:t>
      </w:r>
      <w:r>
        <w:rPr>
          <w:rFonts w:ascii="Calibri" w:cs="Calibri" w:eastAsia="Calibri" w:hAnsi="Calibri"/>
          <w:color w:val="334155"/>
          <w:sz w:val="22"/>
          <w:szCs w:val="22"/>
        </w:rPr>
        <w:t xml:space="preserve">Expected total maturity value</w:t>
      </w:r>
    </w:p>
    <w:p>
      <w:pPr>
        <w:pStyle w:val="Heading2"/>
        <w:spacing w:after="100" w:before="240"/>
      </w:pPr>
      <w:r>
        <w:rPr>
          <w:rFonts w:ascii="Calibri" w:cs="Calibri" w:eastAsia="Calibri" w:hAnsi="Calibri"/>
          <w:b/>
          <w:bCs/>
          <w:color w:val="1E293B"/>
          <w:sz w:val="26"/>
          <w:szCs w:val="26"/>
        </w:rPr>
        <w:t xml:space="preserve">C. 50/30/20 Budgeting Rule Calculation</w:t>
      </w:r>
    </w:p>
    <w:p>
      <w:pPr>
        <w:pStyle w:val="ListParagraph"/>
        <w:numPr>
          <w:ilvl w:val="0"/>
          <w:numId w:val="1"/>
        </w:numPr>
        <w:spacing w:after="60" w:before="40"/>
      </w:pPr>
      <w:r>
        <w:rPr>
          <w:rFonts w:ascii="Calibri" w:cs="Calibri" w:eastAsia="Calibri" w:hAnsi="Calibri"/>
          <w:b/>
          <w:bCs/>
          <w:color w:val="1E293B"/>
          <w:sz w:val="22"/>
          <w:szCs w:val="22"/>
        </w:rPr>
        <w:t xml:space="preserve">Needs (50%): </w:t>
      </w:r>
      <w:r>
        <w:rPr>
          <w:rFonts w:ascii="Calibri" w:cs="Calibri" w:eastAsia="Calibri" w:hAnsi="Calibri"/>
          <w:color w:val="334155"/>
          <w:sz w:val="22"/>
          <w:szCs w:val="22"/>
        </w:rPr>
        <w:t xml:space="preserve">Rent, groceries, utilities, transit, loan minimums. (Income × 0.50)</w:t>
      </w:r>
    </w:p>
    <w:p>
      <w:pPr>
        <w:pStyle w:val="ListParagraph"/>
        <w:numPr>
          <w:ilvl w:val="0"/>
          <w:numId w:val="1"/>
        </w:numPr>
        <w:spacing w:after="60" w:before="40"/>
      </w:pPr>
      <w:r>
        <w:rPr>
          <w:rFonts w:ascii="Calibri" w:cs="Calibri" w:eastAsia="Calibri" w:hAnsi="Calibri"/>
          <w:b/>
          <w:bCs/>
          <w:color w:val="1E293B"/>
          <w:sz w:val="22"/>
          <w:szCs w:val="22"/>
        </w:rPr>
        <w:t xml:space="preserve">Wants (30%): </w:t>
      </w:r>
      <w:r>
        <w:rPr>
          <w:rFonts w:ascii="Calibri" w:cs="Calibri" w:eastAsia="Calibri" w:hAnsi="Calibri"/>
          <w:color w:val="334155"/>
          <w:sz w:val="22"/>
          <w:szCs w:val="22"/>
        </w:rPr>
        <w:t xml:space="preserve">Dining, entertainment, OTT subscriptions, hobbies. (Income × 0.30)</w:t>
      </w:r>
    </w:p>
    <w:p>
      <w:pPr>
        <w:pStyle w:val="ListParagraph"/>
        <w:numPr>
          <w:ilvl w:val="0"/>
          <w:numId w:val="1"/>
        </w:numPr>
        <w:spacing w:after="60" w:before="40"/>
      </w:pPr>
      <w:r>
        <w:rPr>
          <w:rFonts w:ascii="Calibri" w:cs="Calibri" w:eastAsia="Calibri" w:hAnsi="Calibri"/>
          <w:b/>
          <w:bCs/>
          <w:color w:val="1E293B"/>
          <w:sz w:val="22"/>
          <w:szCs w:val="22"/>
        </w:rPr>
        <w:t xml:space="preserve">Savings &amp; Debt (20%): </w:t>
      </w:r>
      <w:r>
        <w:rPr>
          <w:rFonts w:ascii="Calibri" w:cs="Calibri" w:eastAsia="Calibri" w:hAnsi="Calibri"/>
          <w:color w:val="334155"/>
          <w:sz w:val="22"/>
          <w:szCs w:val="22"/>
        </w:rPr>
        <w:t xml:space="preserve">Emergency fund deposits, SIPs, stock investments. (Income × 0.20)</w:t>
      </w:r>
    </w:p>
    <w:p>
      <w:pPr>
        <w:pStyle w:val="Heading2"/>
        <w:spacing w:after="100" w:before="240"/>
      </w:pPr>
      <w:r>
        <w:rPr>
          <w:rFonts w:ascii="Calibri" w:cs="Calibri" w:eastAsia="Calibri" w:hAnsi="Calibri"/>
          <w:b/>
          <w:bCs/>
          <w:color w:val="1E293B"/>
          <w:sz w:val="26"/>
          <w:szCs w:val="26"/>
        </w:rPr>
        <w:t xml:space="preserve">D. Emergency Fund Runway Ratio</w:t>
      </w:r>
    </w:p>
    <w:p>
      <w:pPr>
        <w:spacing w:after="100" w:before="60"/>
      </w:pPr>
      <w:r>
        <w:rPr>
          <w:rFonts w:ascii="Calibri" w:cs="Calibri" w:eastAsia="Calibri" w:hAnsi="Calibri"/>
          <w:b/>
          <w:bCs/>
          <w:color w:val="1E293B"/>
          <w:sz w:val="22"/>
          <w:szCs w:val="22"/>
        </w:rPr>
        <w:t xml:space="preserve">Formula: </w:t>
      </w:r>
      <w:r>
        <w:rPr>
          <w:rFonts w:ascii="Calibri" w:cs="Calibri" w:eastAsia="Calibri" w:hAnsi="Calibri"/>
          <w:color w:val="334155"/>
          <w:sz w:val="22"/>
          <w:szCs w:val="22"/>
        </w:rPr>
        <w:t xml:space="preserve">Runway (Months) = Total Liquid Savings / Monthly Essential Needs</w:t>
      </w:r>
    </w:p>
    <w:p>
      <w:pPr>
        <w:spacing w:after="100" w:before="60"/>
      </w:pPr>
      <w:r>
        <w:rPr>
          <w:rFonts w:ascii="Calibri" w:cs="Calibri" w:eastAsia="Calibri" w:hAnsi="Calibri"/>
          <w:color w:val="334155"/>
          <w:sz w:val="22"/>
          <w:szCs w:val="22"/>
        </w:rPr>
        <w:t xml:space="preserve">FinWise evaluates financial health based on runway: &lt; 3 months is flagged High Risk (Amber/Red), 3-6 months is Healthy (Emerald), and &gt; 6 months is Optimal.</w:t>
      </w:r>
    </w:p>
    <w:p>
      <w:pPr>
        <w:pStyle w:val="Heading1"/>
        <w:spacing w:after="140" w:before="360"/>
      </w:pPr>
      <w:r>
        <w:rPr>
          <w:rFonts w:ascii="Calibri" w:cs="Calibri" w:eastAsia="Calibri" w:hAnsi="Calibri"/>
          <w:b/>
          <w:bCs/>
          <w:color w:val="0F766E"/>
          <w:sz w:val="32"/>
          <w:szCs w:val="32"/>
        </w:rPr>
        <w:t xml:space="preserve">5. Top 15 Viva Questions &amp; Winning Model Answers</w:t>
      </w:r>
    </w:p>
    <w:p>
      <w:pPr>
        <w:pStyle w:val="Heading3"/>
        <w:spacing w:after="80" w:before="180"/>
      </w:pPr>
      <w:r>
        <w:rPr>
          <w:rFonts w:ascii="Calibri" w:cs="Calibri" w:eastAsia="Calibri" w:hAnsi="Calibri"/>
          <w:b/>
          <w:bCs/>
          <w:color w:val="334155"/>
          <w:sz w:val="22"/>
          <w:szCs w:val="22"/>
        </w:rPr>
        <w:t xml:space="preserve">Q1: What problem does FinWise solve?</w:t>
      </w:r>
    </w:p>
    <w:p>
      <w:pPr>
        <w:spacing w:after="100" w:before="60"/>
      </w:pPr>
      <w:r>
        <w:rPr>
          <w:rFonts w:ascii="Calibri" w:cs="Calibri" w:eastAsia="Calibri" w:hAnsi="Calibri"/>
          <w:color w:val="334155"/>
          <w:sz w:val="22"/>
          <w:szCs w:val="22"/>
        </w:rPr>
        <w:t xml:space="preserve">Young adults frequently transition into college or the workforce without practical personal finance training. Existing banking apps are transaction-heavy without educational depth, while financial blogs lack interactive calculators. FinWise combines conceptual education, interactive gamified testing, mathematical budgeting tools, and an AI-driven mentor into a single accessible portal.</w:t>
      </w:r>
    </w:p>
    <w:p>
      <w:pPr>
        <w:pStyle w:val="Heading3"/>
        <w:spacing w:after="80" w:before="180"/>
      </w:pPr>
      <w:r>
        <w:rPr>
          <w:rFonts w:ascii="Calibri" w:cs="Calibri" w:eastAsia="Calibri" w:hAnsi="Calibri"/>
          <w:b/>
          <w:bCs/>
          <w:color w:val="334155"/>
          <w:sz w:val="22"/>
          <w:szCs w:val="22"/>
        </w:rPr>
        <w:t xml:space="preserve">Q2: Why did you choose React with TypeScript instead of vanilla JavaScript?</w:t>
      </w:r>
    </w:p>
    <w:p>
      <w:pPr>
        <w:spacing w:after="100" w:before="60"/>
      </w:pPr>
      <w:r>
        <w:rPr>
          <w:rFonts w:ascii="Calibri" w:cs="Calibri" w:eastAsia="Calibri" w:hAnsi="Calibri"/>
          <w:color w:val="334155"/>
          <w:sz w:val="22"/>
          <w:szCs w:val="22"/>
        </w:rPr>
        <w:t xml:space="preserve">TypeScript enforces strict compile-time type checking. In financial applications where calculations involve floating-point amounts, currency conversions, and structured user transactions, TypeScript prevents runtime bugs (e.g., undefined properties, string-to-number concatenation bugs). React's component hierarchy allows modular reusability between different calculator tabs.</w:t>
      </w:r>
    </w:p>
    <w:p>
      <w:pPr>
        <w:pStyle w:val="Heading3"/>
        <w:spacing w:after="80" w:before="180"/>
      </w:pPr>
      <w:r>
        <w:rPr>
          <w:rFonts w:ascii="Calibri" w:cs="Calibri" w:eastAsia="Calibri" w:hAnsi="Calibri"/>
          <w:b/>
          <w:bCs/>
          <w:color w:val="334155"/>
          <w:sz w:val="22"/>
          <w:szCs w:val="22"/>
        </w:rPr>
        <w:t xml:space="preserve">Q3: How is user data stored? Is a database required?</w:t>
      </w:r>
    </w:p>
    <w:p>
      <w:pPr>
        <w:spacing w:after="100" w:before="60"/>
      </w:pPr>
      <w:r>
        <w:rPr>
          <w:rFonts w:ascii="Calibri" w:cs="Calibri" w:eastAsia="Calibri" w:hAnsi="Calibri"/>
          <w:color w:val="334155"/>
          <w:sz w:val="22"/>
          <w:szCs w:val="22"/>
        </w:rPr>
        <w:t xml:space="preserve">FinWise implements a privacy-first, client-side persistence model using the browser's localStorage API. User financial numbers, transaction histories, and quiz milestones stay strictly on the user's device and are never transmitted to unauthorized remote third parties. The app can seamlessly scale to cloud databases like Supabase or Firebase if multi-device cloud synchronization is required.</w:t>
      </w:r>
    </w:p>
    <w:p>
      <w:pPr>
        <w:pStyle w:val="Heading3"/>
        <w:spacing w:after="80" w:before="180"/>
      </w:pPr>
      <w:r>
        <w:rPr>
          <w:rFonts w:ascii="Calibri" w:cs="Calibri" w:eastAsia="Calibri" w:hAnsi="Calibri"/>
          <w:b/>
          <w:bCs/>
          <w:color w:val="334155"/>
          <w:sz w:val="22"/>
          <w:szCs w:val="22"/>
        </w:rPr>
        <w:t xml:space="preserve">Q4: How does the AI Assistant work? What happens if the API key is missing or internet is down?</w:t>
      </w:r>
    </w:p>
    <w:p>
      <w:pPr>
        <w:spacing w:after="100" w:before="60"/>
      </w:pPr>
      <w:r>
        <w:rPr>
          <w:rFonts w:ascii="Calibri" w:cs="Calibri" w:eastAsia="Calibri" w:hAnsi="Calibri"/>
          <w:color w:val="334155"/>
          <w:sz w:val="22"/>
          <w:szCs w:val="22"/>
        </w:rPr>
        <w:t xml:space="preserve">FinWise uses a resilient hybrid architecture. When running on a server with process.env.GEMINI_API_KEY, requests route via Express to Gemini 2.5 Flash. If deployed as a purely static site on Netlify or if the user is offline, FinWise activates financialFallback.ts—a client-side deterministic rule engine that parses the user's exact budget data to generate personalized financial recommendations with zero latency and 100% uptime.</w:t>
      </w:r>
    </w:p>
    <w:p>
      <w:pPr>
        <w:pStyle w:val="Heading3"/>
        <w:spacing w:after="80" w:before="180"/>
      </w:pPr>
      <w:r>
        <w:rPr>
          <w:rFonts w:ascii="Calibri" w:cs="Calibri" w:eastAsia="Calibri" w:hAnsi="Calibri"/>
          <w:b/>
          <w:bCs/>
          <w:color w:val="334155"/>
          <w:sz w:val="22"/>
          <w:szCs w:val="22"/>
        </w:rPr>
        <w:t xml:space="preserve">Q5: What is the purpose of netlify.toml?</w:t>
      </w:r>
    </w:p>
    <w:p>
      <w:pPr>
        <w:spacing w:after="100" w:before="60"/>
      </w:pPr>
      <w:r>
        <w:rPr>
          <w:rFonts w:ascii="Calibri" w:cs="Calibri" w:eastAsia="Calibri" w:hAnsi="Calibri"/>
          <w:color w:val="334155"/>
          <w:sz w:val="22"/>
          <w:szCs w:val="22"/>
        </w:rPr>
        <w:t xml:space="preserve">netlify.toml contains the build specifications and redirect routing rules for Netlify deployment. Because FinWise is a Single Page Application (SPA), all deep URLs must redirect to /index.html with status 200 so that client-side JavaScript handles routing without causing 404 Not Found errors.</w:t>
      </w:r>
    </w:p>
    <w:p>
      <w:pPr>
        <w:pStyle w:val="Heading3"/>
        <w:spacing w:after="80" w:before="180"/>
      </w:pPr>
      <w:r>
        <w:rPr>
          <w:rFonts w:ascii="Calibri" w:cs="Calibri" w:eastAsia="Calibri" w:hAnsi="Calibri"/>
          <w:b/>
          <w:bCs/>
          <w:color w:val="334155"/>
          <w:sz w:val="22"/>
          <w:szCs w:val="22"/>
        </w:rPr>
        <w:t xml:space="preserve">Q6: How does the SIP calculator differ from regular compound interest?</w:t>
      </w:r>
    </w:p>
    <w:p>
      <w:pPr>
        <w:spacing w:after="100" w:before="60"/>
      </w:pPr>
      <w:r>
        <w:rPr>
          <w:rFonts w:ascii="Calibri" w:cs="Calibri" w:eastAsia="Calibri" w:hAnsi="Calibri"/>
          <w:color w:val="334155"/>
          <w:sz w:val="22"/>
          <w:szCs w:val="22"/>
        </w:rPr>
        <w:t xml:space="preserve">Regular compound interest calculates returns on a single lump-sum initial deposit. SIP calculates the cumulative future value of recurring monthly periodic investments, applying compound interest proportionally to each installment based on how long it remains invested.</w:t>
      </w:r>
    </w:p>
    <w:p>
      <w:pPr>
        <w:pStyle w:val="Heading3"/>
        <w:spacing w:after="80" w:before="180"/>
      </w:pPr>
      <w:r>
        <w:rPr>
          <w:rFonts w:ascii="Calibri" w:cs="Calibri" w:eastAsia="Calibri" w:hAnsi="Calibri"/>
          <w:b/>
          <w:bCs/>
          <w:color w:val="334155"/>
          <w:sz w:val="22"/>
          <w:szCs w:val="22"/>
        </w:rPr>
        <w:t xml:space="preserve">Q7: What is Vite and why was it chosen over Create React App (CRA)?</w:t>
      </w:r>
    </w:p>
    <w:p>
      <w:pPr>
        <w:spacing w:after="100" w:before="60"/>
      </w:pPr>
      <w:r>
        <w:rPr>
          <w:rFonts w:ascii="Calibri" w:cs="Calibri" w:eastAsia="Calibri" w:hAnsi="Calibri"/>
          <w:color w:val="334155"/>
          <w:sz w:val="22"/>
          <w:szCs w:val="22"/>
        </w:rPr>
        <w:t xml:space="preserve">Vite uses native ES Modules (ESM) and an esbuild pre-bundler written in Go. It delivers sub-second server startup times and instantaneous Hot Module Replacement (HMR), whereas CRA relies on Webpack which requires bundling the entire codebase in memory before serving, resulting in significantly slower build times.</w:t>
      </w:r>
    </w:p>
    <w:p>
      <w:pPr>
        <w:pStyle w:val="Heading3"/>
        <w:spacing w:after="80" w:before="180"/>
      </w:pPr>
      <w:r>
        <w:rPr>
          <w:rFonts w:ascii="Calibri" w:cs="Calibri" w:eastAsia="Calibri" w:hAnsi="Calibri"/>
          <w:b/>
          <w:bCs/>
          <w:color w:val="334155"/>
          <w:sz w:val="22"/>
          <w:szCs w:val="22"/>
        </w:rPr>
        <w:t xml:space="preserve">Q8: How is the UI styled? Why Tailwind CSS?</w:t>
      </w:r>
    </w:p>
    <w:p>
      <w:pPr>
        <w:spacing w:after="100" w:before="60"/>
      </w:pPr>
      <w:r>
        <w:rPr>
          <w:rFonts w:ascii="Calibri" w:cs="Calibri" w:eastAsia="Calibri" w:hAnsi="Calibri"/>
          <w:color w:val="334155"/>
          <w:sz w:val="22"/>
          <w:szCs w:val="22"/>
        </w:rPr>
        <w:t xml:space="preserve">We utilized Tailwind CSS v4. Tailwind offers utility-first CSS classes that generate zero unused CSS bloat in production bundles. It provides complete responsive control (sm, md, lg), design consistency through curated color palettes (emerald, obsidian, slate), and rapid UI iteration.</w:t>
      </w:r>
    </w:p>
    <w:p>
      <w:pPr>
        <w:pStyle w:val="Heading3"/>
        <w:spacing w:after="80" w:before="180"/>
      </w:pPr>
      <w:r>
        <w:rPr>
          <w:rFonts w:ascii="Calibri" w:cs="Calibri" w:eastAsia="Calibri" w:hAnsi="Calibri"/>
          <w:b/>
          <w:bCs/>
          <w:color w:val="334155"/>
          <w:sz w:val="22"/>
          <w:szCs w:val="22"/>
        </w:rPr>
        <w:t xml:space="preserve">Q9: What security precautions were implemented?</w:t>
      </w:r>
    </w:p>
    <w:p>
      <w:pPr>
        <w:spacing w:after="100" w:before="60"/>
      </w:pPr>
      <w:r>
        <w:rPr>
          <w:rFonts w:ascii="Calibri" w:cs="Calibri" w:eastAsia="Calibri" w:hAnsi="Calibri"/>
          <w:color w:val="334155"/>
          <w:sz w:val="22"/>
          <w:szCs w:val="22"/>
        </w:rPr>
        <w:t xml:space="preserve">1) Sensitive API keys are never exposed in client-side bundles; 2) All user inputs are sanitized; 3) Form submissions validate numeric bounds to prevent negative or non-numeric values in mathematical calculations; 4) Financial outputs include prominent educational disclaimers indicating the tool is for educational purposes.</w:t>
      </w:r>
    </w:p>
    <w:p>
      <w:pPr>
        <w:pStyle w:val="Heading3"/>
        <w:spacing w:after="80" w:before="180"/>
      </w:pPr>
      <w:r>
        <w:rPr>
          <w:rFonts w:ascii="Calibri" w:cs="Calibri" w:eastAsia="Calibri" w:hAnsi="Calibri"/>
          <w:b/>
          <w:bCs/>
          <w:color w:val="334155"/>
          <w:sz w:val="22"/>
          <w:szCs w:val="22"/>
        </w:rPr>
        <w:t xml:space="preserve">Q10: What are the key performance metrics of this web application?</w:t>
      </w:r>
    </w:p>
    <w:p>
      <w:pPr>
        <w:spacing w:after="100" w:before="60"/>
      </w:pPr>
      <w:r>
        <w:rPr>
          <w:rFonts w:ascii="Calibri" w:cs="Calibri" w:eastAsia="Calibri" w:hAnsi="Calibri"/>
          <w:color w:val="334155"/>
          <w:sz w:val="22"/>
          <w:szCs w:val="22"/>
        </w:rPr>
        <w:t xml:space="preserve">The production bundle is minified and gzipped down to ~211 kB. By code-splitting and bundling external dependencies with modern Rollup/Vite pipelines, the application achieves a sub-second First Contentful Paint (FCP) and a 100% responsive score across mobile, tablet, and desktop screens.</w:t>
      </w:r>
    </w:p>
    <w:p>
      <w:pPr>
        <w:pStyle w:val="Heading1"/>
        <w:spacing w:after="140" w:before="360"/>
      </w:pPr>
      <w:r>
        <w:rPr>
          <w:rFonts w:ascii="Calibri" w:cs="Calibri" w:eastAsia="Calibri" w:hAnsi="Calibri"/>
          <w:b/>
          <w:bCs/>
          <w:color w:val="0F766E"/>
          <w:sz w:val="32"/>
          <w:szCs w:val="32"/>
        </w:rPr>
        <w:t xml:space="preserve">6. Final Viva Presentation Tips</w:t>
      </w:r>
    </w:p>
    <w:p>
      <w:pPr>
        <w:pStyle w:val="ListParagraph"/>
        <w:numPr>
          <w:ilvl w:val="0"/>
          <w:numId w:val="1"/>
        </w:numPr>
        <w:spacing w:after="60" w:before="40"/>
      </w:pPr>
      <w:r>
        <w:rPr>
          <w:rFonts w:ascii="Calibri" w:cs="Calibri" w:eastAsia="Calibri" w:hAnsi="Calibri"/>
          <w:b/>
          <w:bCs/>
          <w:color w:val="1E293B"/>
          <w:sz w:val="22"/>
          <w:szCs w:val="22"/>
        </w:rPr>
        <w:t xml:space="preserve">Confidence in Demonstration: </w:t>
      </w:r>
      <w:r>
        <w:rPr>
          <w:rFonts w:ascii="Calibri" w:cs="Calibri" w:eastAsia="Calibri" w:hAnsi="Calibri"/>
          <w:color w:val="334155"/>
          <w:sz w:val="22"/>
          <w:szCs w:val="22"/>
        </w:rPr>
        <w:t xml:space="preserve">Begin by showing the Home Dashboard, jump into the 50/30/20 Budget Planner to add an expense, then showcase the SIP calculator with a live slider adjustment.</w:t>
      </w:r>
    </w:p>
    <w:p>
      <w:pPr>
        <w:pStyle w:val="ListParagraph"/>
        <w:numPr>
          <w:ilvl w:val="0"/>
          <w:numId w:val="1"/>
        </w:numPr>
        <w:spacing w:after="60" w:before="40"/>
      </w:pPr>
      <w:r>
        <w:rPr>
          <w:rFonts w:ascii="Calibri" w:cs="Calibri" w:eastAsia="Calibri" w:hAnsi="Calibri"/>
          <w:b/>
          <w:bCs/>
          <w:color w:val="1E293B"/>
          <w:sz w:val="22"/>
          <w:szCs w:val="22"/>
        </w:rPr>
        <w:t xml:space="preserve">Highlight the Fallback Engine: </w:t>
      </w:r>
      <w:r>
        <w:rPr>
          <w:rFonts w:ascii="Calibri" w:cs="Calibri" w:eastAsia="Calibri" w:hAnsi="Calibri"/>
          <w:color w:val="334155"/>
          <w:sz w:val="22"/>
          <w:szCs w:val="22"/>
        </w:rPr>
        <w:t xml:space="preserve">Examiners love robust engineering. Explain that even if external AI APIs fail or network drops, your custom financialFallback.ts rule engine guarantees the user always receives valid advice.</w:t>
      </w:r>
    </w:p>
    <w:p>
      <w:pPr>
        <w:pStyle w:val="ListParagraph"/>
        <w:numPr>
          <w:ilvl w:val="0"/>
          <w:numId w:val="1"/>
        </w:numPr>
        <w:spacing w:after="60" w:before="40"/>
      </w:pPr>
      <w:r>
        <w:rPr>
          <w:rFonts w:ascii="Calibri" w:cs="Calibri" w:eastAsia="Calibri" w:hAnsi="Calibri"/>
          <w:b/>
          <w:bCs/>
          <w:color w:val="1E293B"/>
          <w:sz w:val="22"/>
          <w:szCs w:val="22"/>
        </w:rPr>
        <w:t xml:space="preserve">Emphasize Social Impact: </w:t>
      </w:r>
      <w:r>
        <w:rPr>
          <w:rFonts w:ascii="Calibri" w:cs="Calibri" w:eastAsia="Calibri" w:hAnsi="Calibri"/>
          <w:color w:val="334155"/>
          <w:sz w:val="22"/>
          <w:szCs w:val="22"/>
        </w:rPr>
        <w:t xml:space="preserve">Reinforce that FinWise empowers young adults with financial literacy before they make critical real-world monetary mistakes.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2026-09-20T18:08:08.170Z</dcterms:created>
  <dcterms:modified xsi:type="dcterms:W3CDTF">2026-09-20T18:08:08.170Z</dcterms:modified>
</cp:coreProperties>
</file>

<file path=docProps/custom.xml><?xml version="1.0" encoding="utf-8"?>
<Properties xmlns="http://schemas.openxmlformats.org/officeDocument/2006/custom-properties" xmlns:vt="http://schemas.openxmlformats.org/officeDocument/2006/docPropsVTypes"/>
</file>