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Times New Roman" w:cs="David" w:eastAsia="David" w:hAnsi="Times New Roman"/>
          <w:b/>
          <w:bCs/>
          <w:i w:val="false"/>
          <w:iCs w:val="false"/>
          <w:sz w:val="28"/>
          <w:szCs w:val="28"/>
          <w:rtl/>
        </w:rPr>
        <w:t xml:space="preserve">[שם המוסד האקדמי]</w:t>
      </w:r>
    </w:p>
    <w:p>
      <w:pPr>
        <w:bidi/>
        <w:spacing w:after="1800" w:line="360"/>
        <w:jc w:val="center"/>
      </w:pPr>
      <w:r>
        <w:rPr>
          <w:rFonts w:ascii="Times New Roman" w:cs="David" w:eastAsia="David" w:hAnsi="Times New Roman"/>
          <w:b w:val="false"/>
          <w:bCs w:val="false"/>
          <w:i w:val="false"/>
          <w:iCs w:val="false"/>
          <w:sz w:val="26"/>
          <w:szCs w:val="26"/>
          <w:rtl/>
        </w:rPr>
        <w:t xml:space="preserve">[שם החוג / התוכנית]</w:t>
      </w:r>
    </w:p>
    <w:p>
      <w:pPr>
        <w:bidi/>
        <w:spacing w:after="1200" w:line="360"/>
        <w:jc w:val="center"/>
      </w:pPr>
      <w:r>
        <w:rPr>
          <w:rFonts w:ascii="Times New Roman" w:cs="David" w:eastAsia="David" w:hAnsi="Times New Roman"/>
          <w:b/>
          <w:bCs/>
          <w:i w:val="false"/>
          <w:iCs w:val="false"/>
          <w:sz w:val="30"/>
          <w:szCs w:val="30"/>
          <w:rtl/>
        </w:rPr>
        <w:t xml:space="preserve">עבודה סמינריונית</w:t>
      </w:r>
    </w:p>
    <w:p>
      <w:pPr>
        <w:bidi/>
        <w:spacing w:after="240" w:line="360"/>
        <w:jc w:val="center"/>
      </w:pPr>
      <w:r>
        <w:rPr>
          <w:rFonts w:ascii="Times New Roman" w:cs="David" w:eastAsia="David" w:hAnsi="Times New Roman"/>
          <w:b/>
          <w:bCs/>
          <w:i w:val="false"/>
          <w:iCs w:val="false"/>
          <w:sz w:val="36"/>
          <w:szCs w:val="36"/>
          <w:rtl/>
        </w:rPr>
        <w:t xml:space="preserve">"וַחֲמוֹר אֵבוּס בְּעָלָיו לֹא יָדַע"</w:t>
      </w:r>
    </w:p>
    <w:p>
      <w:pPr>
        <w:bidi/>
        <w:spacing w:after="2000" w:line="360"/>
        <w:jc w:val="center"/>
      </w:pPr>
      <w:r>
        <w:rPr>
          <w:rFonts w:ascii="Times New Roman" w:cs="David" w:eastAsia="David" w:hAnsi="Times New Roman"/>
          <w:b/>
          <w:bCs/>
          <w:i w:val="false"/>
          <w:iCs w:val="false"/>
          <w:sz w:val="32"/>
          <w:szCs w:val="32"/>
          <w:rtl/>
        </w:rPr>
        <w:t xml:space="preserve">דמות החמור במשלי שועלים לרבי ברכיה הנקדן</w:t>
      </w:r>
    </w:p>
    <w:p>
      <w:pPr>
        <w:bidi/>
        <w:spacing w:after="120" w:line="360"/>
        <w:jc w:val="center"/>
      </w:pPr>
      <w:r>
        <w:rPr>
          <w:rFonts w:ascii="Times New Roman" w:cs="David" w:eastAsia="David" w:hAnsi="Times New Roman"/>
          <w:b w:val="false"/>
          <w:bCs w:val="false"/>
          <w:i w:val="false"/>
          <w:iCs w:val="false"/>
          <w:sz w:val="24"/>
          <w:szCs w:val="24"/>
          <w:rtl/>
        </w:rPr>
        <w:t xml:space="preserve">הקורס: [שם הקורס ומספרו]</w:t>
      </w:r>
    </w:p>
    <w:p>
      <w:pPr>
        <w:bidi/>
        <w:spacing w:after="1400" w:line="360"/>
        <w:jc w:val="center"/>
      </w:pPr>
      <w:r>
        <w:rPr>
          <w:rFonts w:ascii="Times New Roman" w:cs="David" w:eastAsia="David" w:hAnsi="Times New Roman"/>
          <w:b w:val="false"/>
          <w:bCs w:val="false"/>
          <w:i w:val="false"/>
          <w:iCs w:val="false"/>
          <w:sz w:val="24"/>
          <w:szCs w:val="24"/>
          <w:rtl/>
        </w:rPr>
        <w:t xml:space="preserve">המרצה: [שם המרצה]</w:t>
      </w:r>
    </w:p>
    <w:p>
      <w:pPr>
        <w:bidi/>
        <w:spacing w:after="120" w:line="360"/>
        <w:jc w:val="center"/>
      </w:pPr>
      <w:r>
        <w:rPr>
          <w:rFonts w:ascii="Times New Roman" w:cs="David" w:eastAsia="David" w:hAnsi="Times New Roman"/>
          <w:b w:val="false"/>
          <w:bCs w:val="false"/>
          <w:i w:val="false"/>
          <w:iCs w:val="false"/>
          <w:sz w:val="24"/>
          <w:szCs w:val="24"/>
          <w:rtl/>
        </w:rPr>
        <w:t xml:space="preserve">מגיש/ה: [שם מלא], ת"ז [מספר]</w:t>
      </w:r>
    </w:p>
    <w:p>
      <w:pPr>
        <w:bidi/>
        <w:spacing w:after="0" w:line="360"/>
        <w:jc w:val="center"/>
      </w:pPr>
      <w:r>
        <w:rPr>
          <w:rFonts w:ascii="Times New Roman" w:cs="David" w:eastAsia="David" w:hAnsi="Times New Roman"/>
          <w:b w:val="false"/>
          <w:bCs w:val="false"/>
          <w:i w:val="false"/>
          <w:iCs w:val="false"/>
          <w:sz w:val="24"/>
          <w:szCs w:val="24"/>
          <w:rtl/>
        </w:rPr>
        <w:t xml:space="preserve">תשרי תשפ"ז, ספטמבר 2026</w:t>
      </w:r>
    </w:p>
    <w:p>
      <w:pPr>
        <w:pageBreakBefore/>
        <w:bidi/>
        <w:spacing w:after="360" w:line="360"/>
        <w:jc w:val="center"/>
      </w:pPr>
      <w:r>
        <w:rPr>
          <w:rFonts w:ascii="Times New Roman" w:cs="David" w:eastAsia="David" w:hAnsi="Times New Roman"/>
          <w:b/>
          <w:bCs/>
          <w:i w:val="false"/>
          <w:iCs w:val="false"/>
          <w:sz w:val="32"/>
          <w:szCs w:val="32"/>
          <w:rtl/>
        </w:rPr>
        <w:t xml:space="preserve">תוכן עניינים</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מבוא</w:t>
      </w:r>
      <w:r>
        <w:rPr>
          <w:rFonts w:ascii="Times New Roman" w:cs="David" w:eastAsia="David" w:hAnsi="Times New Roman"/>
          <w:sz w:val="24"/>
          <w:szCs w:val="24"/>
          <w:rtl/>
        </w:rPr>
        <w:t xml:space="preserve">	1</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1: החמור: זואולוגיה, מקורות יהודיים ומקורות כלליים</w:t>
      </w:r>
      <w:r>
        <w:rPr>
          <w:rFonts w:ascii="Times New Roman" w:cs="David" w:eastAsia="David" w:hAnsi="Times New Roman"/>
          <w:sz w:val="24"/>
          <w:szCs w:val="24"/>
          <w:rt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1.1 החמור מבחינה זואולוגית</w:t>
      </w:r>
      <w:r>
        <w:rPr>
          <w:rFonts w:ascii="Times New Roman" w:cs="David" w:eastAsia="David" w:hAnsi="Times New Roman"/>
          <w:sz w:val="24"/>
          <w:szCs w:val="24"/>
          <w:rt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1.2 החמור במקורות היהודיים</w:t>
      </w:r>
      <w:r>
        <w:rPr>
          <w:rFonts w:ascii="Times New Roman" w:cs="David" w:eastAsia="David" w:hAnsi="Times New Roman"/>
          <w:sz w:val="24"/>
          <w:szCs w:val="24"/>
          <w:rt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1.3 החמור במקורות הכלליים</w:t>
      </w:r>
      <w:r>
        <w:rPr>
          <w:rFonts w:ascii="Times New Roman" w:cs="David" w:eastAsia="David" w:hAnsi="Times New Roman"/>
          <w:sz w:val="24"/>
          <w:szCs w:val="24"/>
          <w:rtl/>
        </w:rPr>
        <w:t xml:space="preserve">	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1.4 החמור במקורות הנוצריים והמוסלמיים ובפולקלור</w:t>
      </w:r>
      <w:r>
        <w:rPr>
          <w:rFonts w:ascii="Times New Roman" w:cs="David" w:eastAsia="David" w:hAnsi="Times New Roman"/>
          <w:sz w:val="24"/>
          <w:szCs w:val="24"/>
          <w:rtl/>
        </w:rPr>
        <w:t xml:space="preserve">	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1.5 קורפוס משלי החמור: סיכום</w:t>
      </w:r>
      <w:r>
        <w:rPr>
          <w:rFonts w:ascii="Times New Roman" w:cs="David" w:eastAsia="David" w:hAnsi="Times New Roman"/>
          <w:sz w:val="24"/>
          <w:szCs w:val="24"/>
          <w:rtl/>
        </w:rPr>
        <w:t xml:space="preserve">	5</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2: היוצר, הספר וההקדמה</w:t>
      </w:r>
      <w:r>
        <w:rPr>
          <w:rFonts w:ascii="Times New Roman" w:cs="David" w:eastAsia="David" w:hAnsi="Times New Roman"/>
          <w:sz w:val="24"/>
          <w:szCs w:val="24"/>
          <w:rt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2.1 רבי ברכיה בן נטרונאי הנקדן</w:t>
      </w:r>
      <w:r>
        <w:rPr>
          <w:rFonts w:ascii="Times New Roman" w:cs="David" w:eastAsia="David" w:hAnsi="Times New Roman"/>
          <w:sz w:val="24"/>
          <w:szCs w:val="24"/>
          <w:rt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2.2 הספר: משלי שועלים</w:t>
      </w:r>
      <w:r>
        <w:rPr>
          <w:rFonts w:ascii="Times New Roman" w:cs="David" w:eastAsia="David" w:hAnsi="Times New Roman"/>
          <w:sz w:val="24"/>
          <w:szCs w:val="24"/>
          <w:rt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2.3 הקדמת המחבר</w:t>
      </w:r>
      <w:r>
        <w:rPr>
          <w:rFonts w:ascii="Times New Roman" w:cs="David" w:eastAsia="David" w:hAnsi="Times New Roman"/>
          <w:sz w:val="24"/>
          <w:szCs w:val="24"/>
          <w:rtl/>
        </w:rPr>
        <w:t xml:space="preserve">	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2.4 ארבעת המשלים הנבחרים: סקירה ונמשל</w:t>
      </w:r>
      <w:r>
        <w:rPr>
          <w:rFonts w:ascii="Times New Roman" w:cs="David" w:eastAsia="David" w:hAnsi="Times New Roman"/>
          <w:sz w:val="24"/>
          <w:szCs w:val="24"/>
          <w:rtl/>
        </w:rPr>
        <w:t xml:space="preserve">	8</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3: "חמור, דבורים וצרעה": ניתוח</w:t>
      </w:r>
      <w:r>
        <w:rPr>
          <w:rFonts w:ascii="Times New Roman" w:cs="David" w:eastAsia="David" w:hAnsi="Times New Roman"/>
          <w:sz w:val="24"/>
          <w:szCs w:val="24"/>
          <w:rt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3.1 מבנה המשל ומהלך העלילה</w:t>
      </w:r>
      <w:r>
        <w:rPr>
          <w:rFonts w:ascii="Times New Roman" w:cs="David" w:eastAsia="David" w:hAnsi="Times New Roman"/>
          <w:sz w:val="24"/>
          <w:szCs w:val="24"/>
          <w:rt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3.2 השיבוצים</w:t>
      </w:r>
      <w:r>
        <w:rPr>
          <w:rFonts w:ascii="Times New Roman" w:cs="David" w:eastAsia="David" w:hAnsi="Times New Roman"/>
          <w:sz w:val="24"/>
          <w:szCs w:val="24"/>
          <w:rt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3.3 הפואטיקה של המשל</w:t>
      </w:r>
      <w:r>
        <w:rPr>
          <w:rFonts w:ascii="Times New Roman" w:cs="David" w:eastAsia="David" w:hAnsi="Times New Roman"/>
          <w:sz w:val="24"/>
          <w:szCs w:val="24"/>
          <w:rtl/>
        </w:rPr>
        <w:t xml:space="preserve">	11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3.4 הקשר בין המשל לנמשל</w:t>
      </w:r>
      <w:r>
        <w:rPr>
          <w:rFonts w:ascii="Times New Roman" w:cs="David" w:eastAsia="David" w:hAnsi="Times New Roman"/>
          <w:sz w:val="24"/>
          <w:szCs w:val="24"/>
          <w:rtl/>
        </w:rPr>
        <w:t xml:space="preserve">	12</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4: "חמור בעור ארי" (משל מז): ניתוח</w:t>
      </w:r>
      <w:r>
        <w:rPr>
          <w:rFonts w:ascii="Times New Roman" w:cs="David" w:eastAsia="David" w:hAnsi="Times New Roman"/>
          <w:sz w:val="24"/>
          <w:szCs w:val="24"/>
          <w:rt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4.1 מבנה המשל ומהלך העלילה</w:t>
      </w:r>
      <w:r>
        <w:rPr>
          <w:rFonts w:ascii="Times New Roman" w:cs="David" w:eastAsia="David" w:hAnsi="Times New Roman"/>
          <w:sz w:val="24"/>
          <w:szCs w:val="24"/>
          <w:rt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4.2 השיבוצים</w:t>
      </w:r>
      <w:r>
        <w:rPr>
          <w:rFonts w:ascii="Times New Roman" w:cs="David" w:eastAsia="David" w:hAnsi="Times New Roman"/>
          <w:sz w:val="24"/>
          <w:szCs w:val="24"/>
          <w:rt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4.3 הפואטיקה של המשל</w:t>
      </w:r>
      <w:r>
        <w:rPr>
          <w:rFonts w:ascii="Times New Roman" w:cs="David" w:eastAsia="David" w:hAnsi="Times New Roman"/>
          <w:sz w:val="24"/>
          <w:szCs w:val="24"/>
          <w:rtl/>
        </w:rPr>
        <w:t xml:space="preserve">	14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4.4 הקשר בין המשל לנמשל</w:t>
      </w:r>
      <w:r>
        <w:rPr>
          <w:rFonts w:ascii="Times New Roman" w:cs="David" w:eastAsia="David" w:hAnsi="Times New Roman"/>
          <w:sz w:val="24"/>
          <w:szCs w:val="24"/>
          <w:rtl/>
        </w:rPr>
        <w:t xml:space="preserve">	15</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5: "חמור, כלב ואדם" (משל יד): ניתוח</w:t>
      </w:r>
      <w:r>
        <w:rPr>
          <w:rFonts w:ascii="Times New Roman" w:cs="David" w:eastAsia="David" w:hAnsi="Times New Roman"/>
          <w:sz w:val="24"/>
          <w:szCs w:val="24"/>
          <w:rt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5.1 מבנה המשל ומהלך העלילה</w:t>
      </w:r>
      <w:r>
        <w:rPr>
          <w:rFonts w:ascii="Times New Roman" w:cs="David" w:eastAsia="David" w:hAnsi="Times New Roman"/>
          <w:sz w:val="24"/>
          <w:szCs w:val="24"/>
          <w:rt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5.2 השיבוצים</w:t>
      </w:r>
      <w:r>
        <w:rPr>
          <w:rFonts w:ascii="Times New Roman" w:cs="David" w:eastAsia="David" w:hAnsi="Times New Roman"/>
          <w:sz w:val="24"/>
          <w:szCs w:val="24"/>
          <w:rt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5.3 הפואטיקה של המשל</w:t>
      </w:r>
      <w:r>
        <w:rPr>
          <w:rFonts w:ascii="Times New Roman" w:cs="David" w:eastAsia="David" w:hAnsi="Times New Roman"/>
          <w:sz w:val="24"/>
          <w:szCs w:val="24"/>
          <w:rtl/>
        </w:rPr>
        <w:t xml:space="preserve">	17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5.4 הקשר בין המשל לנמשל</w:t>
      </w:r>
      <w:r>
        <w:rPr>
          <w:rFonts w:ascii="Times New Roman" w:cs="David" w:eastAsia="David" w:hAnsi="Times New Roman"/>
          <w:sz w:val="24"/>
          <w:szCs w:val="24"/>
          <w:rtl/>
        </w:rPr>
        <w:t xml:space="preserve">	17</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6: "אריה וחמור" (משל סה): ניתוח</w:t>
      </w:r>
      <w:r>
        <w:rPr>
          <w:rFonts w:ascii="Times New Roman" w:cs="David" w:eastAsia="David" w:hAnsi="Times New Roman"/>
          <w:sz w:val="24"/>
          <w:szCs w:val="24"/>
          <w:rt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6.1 מבנה המשל ומהלך העלילה</w:t>
      </w:r>
      <w:r>
        <w:rPr>
          <w:rFonts w:ascii="Times New Roman" w:cs="David" w:eastAsia="David" w:hAnsi="Times New Roman"/>
          <w:sz w:val="24"/>
          <w:szCs w:val="24"/>
          <w:rt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6.2 השיבוצים</w:t>
      </w:r>
      <w:r>
        <w:rPr>
          <w:rFonts w:ascii="Times New Roman" w:cs="David" w:eastAsia="David" w:hAnsi="Times New Roman"/>
          <w:sz w:val="24"/>
          <w:szCs w:val="24"/>
          <w:rt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6.3 הפואטיקה של המשל</w:t>
      </w:r>
      <w:r>
        <w:rPr>
          <w:rFonts w:ascii="Times New Roman" w:cs="David" w:eastAsia="David" w:hAnsi="Times New Roman"/>
          <w:sz w:val="24"/>
          <w:szCs w:val="24"/>
          <w:rtl/>
        </w:rPr>
        <w:t xml:space="preserve">	21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6.4 הקשר בין המשל לנמשל</w:t>
      </w:r>
      <w:r>
        <w:rPr>
          <w:rFonts w:ascii="Times New Roman" w:cs="David" w:eastAsia="David" w:hAnsi="Times New Roman"/>
          <w:sz w:val="24"/>
          <w:szCs w:val="24"/>
          <w:rtl/>
        </w:rPr>
        <w:t xml:space="preserve">	21</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7: סיכום ומסקנות</w:t>
      </w:r>
      <w:r>
        <w:rPr>
          <w:rFonts w:ascii="Times New Roman" w:cs="David" w:eastAsia="David" w:hAnsi="Times New Roman"/>
          <w:sz w:val="24"/>
          <w:szCs w:val="24"/>
          <w:rtl/>
        </w:rPr>
        <w:t xml:space="preserve">	22</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ביבליוגרפיה</w:t>
      </w:r>
      <w:r>
        <w:rPr>
          <w:rFonts w:ascii="Times New Roman" w:cs="David" w:eastAsia="David" w:hAnsi="Times New Roman"/>
          <w:sz w:val="24"/>
          <w:szCs w:val="24"/>
          <w:rtl/>
        </w:rPr>
        <w:t xml:space="preserve">	24</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נספחים: המשלים הנדונים</w:t>
      </w:r>
      <w:r>
        <w:rPr>
          <w:rFonts w:ascii="Times New Roman" w:cs="David" w:eastAsia="David" w:hAnsi="Times New Roman"/>
          <w:sz w:val="24"/>
          <w:szCs w:val="24"/>
          <w:rtl/>
        </w:rPr>
        <w:t xml:space="preserve">	26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נספח א: חמור, דבורים וצרעה</w:t>
      </w:r>
      <w:r>
        <w:rPr>
          <w:rFonts w:ascii="Times New Roman" w:cs="David" w:eastAsia="David" w:hAnsi="Times New Roman"/>
          <w:sz w:val="24"/>
          <w:szCs w:val="24"/>
          <w:rtl/>
        </w:rPr>
        <w:t xml:space="preserve">	26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נספח ב: משל מז: חמור בעור ארי</w:t>
      </w:r>
      <w:r>
        <w:rPr>
          <w:rFonts w:ascii="Times New Roman" w:cs="David" w:eastAsia="David" w:hAnsi="Times New Roman"/>
          <w:sz w:val="24"/>
          <w:szCs w:val="24"/>
          <w:rtl/>
        </w:rPr>
        <w:t xml:space="preserve">	26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נספח ג: משל יד: חמור, כלב ואדם</w:t>
      </w:r>
      <w:r>
        <w:rPr>
          <w:rFonts w:ascii="Times New Roman" w:cs="David" w:eastAsia="David" w:hAnsi="Times New Roman"/>
          <w:sz w:val="24"/>
          <w:szCs w:val="24"/>
          <w:rt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נספח ד: משל סה: אריה וחמור</w:t>
      </w:r>
      <w:r>
        <w:rPr>
          <w:rFonts w:ascii="Times New Roman" w:cs="David" w:eastAsia="David" w:hAnsi="Times New Roman"/>
          <w:sz w:val="24"/>
          <w:szCs w:val="24"/>
          <w:rtl/>
        </w:rPr>
        <w:t xml:space="preserve">	27</w:t>
      </w:r>
    </w:p>
    <w:p>
      <w:pPr>
        <w:sectPr>
          <w:pgSz w:w="11906" w:h="16838" w:orient="portrait"/>
          <w:pgMar w:top="1417" w:right="1417" w:bottom="1417" w:left="1417" w:header="708" w:footer="708" w:gutter="0"/>
          <w:pgNumType/>
          <w:docGrid w:linePitch="360"/>
        </w:sectPr>
      </w:pPr>
    </w:p>
    <w:p>
      <w:pPr>
        <w:pStyle w:val="Heading1"/>
        <w:keepNext/>
        <w:bidi/>
        <w:spacing w:after="360" w:before="0" w:line="360"/>
        <w:jc w:val="center"/>
      </w:pPr>
      <w:r>
        <w:rPr>
          <w:rFonts w:ascii="Times New Roman" w:cs="David" w:eastAsia="David" w:hAnsi="Times New Roman"/>
          <w:b/>
          <w:bCs/>
          <w:i w:val="false"/>
          <w:iCs w:val="false"/>
          <w:sz w:val="32"/>
          <w:szCs w:val="32"/>
          <w:rtl/>
        </w:rPr>
        <w:t xml:space="preserve">מבוא</w:t>
      </w:r>
    </w:p>
    <w:p>
      <w:pPr>
        <w:bidi/>
        <w:spacing w:after="120" w:before="0" w:line="360"/>
        <w:jc w:val="both"/>
      </w:pPr>
      <w:r>
        <w:rPr>
          <w:rFonts w:ascii="Times New Roman" w:cs="David" w:eastAsia="David" w:hAnsi="Times New Roman"/>
          <w:i w:val="false"/>
          <w:iCs w:val="false"/>
          <w:sz w:val="24"/>
          <w:szCs w:val="24"/>
          <w:rtl/>
        </w:rPr>
        <w:t xml:space="preserve">החמור הוא אחד מבעלי החיים הנפוצים ביותר בספרות המשלים, ועם זאת מעטים בעלי החיים שנגזר עליהם דימוי כה יציב וכה לא מחמיא. בפי הבריות "חמור" הוא כינוי לטיפש, לעקשן ולמי שאינו מבין את מקומו. במקרא, לעומת זאת, אותו חמור נושא את אברהם אל העקדה, רואה את המלאך לפני שרואה אותו בלעם, ומשמש רכבו של המלך המשיח. הפער הזה, בין החיה המשרתת והנאמנה ובין הדימוי הספרותי של הכסיל, הוא נקודת המוצא של העבודה.</w:t>
      </w:r>
    </w:p>
    <w:p>
      <w:pPr>
        <w:bidi/>
        <w:spacing w:after="120" w:before="0" w:line="360"/>
        <w:jc w:val="both"/>
      </w:pPr>
      <w:r>
        <w:rPr>
          <w:rFonts w:ascii="Times New Roman" w:cs="David" w:eastAsia="David" w:hAnsi="Times New Roman"/>
          <w:i w:val="false"/>
          <w:iCs w:val="false"/>
          <w:sz w:val="24"/>
          <w:szCs w:val="24"/>
          <w:rtl/>
        </w:rPr>
        <w:t xml:space="preserve">העבודה מתמקדת בארבעה משלים מתוך "משלי שועלים" לרבי ברכיה הנקדן, שחי באנגליה ובצפון צרפת בסוף המאה השתים עשרה ובראשית המאה השלוש עשרה: "חמור, דבורים וצרעה", "חמור בעור ארי" (משל מז), "חמור, כלב ואדם" (משל יד) ו"אריה וחמור" (משל סה).</w:t>
      </w:r>
      <w:r>
        <w:rPr>
          <w:rStyle w:val="FootnoteReference"/>
        </w:rPr>
        <w:footnoteReference w:id="1"/>
      </w:r>
      <w:r>
        <w:rPr>
          <w:rFonts w:ascii="Times New Roman" w:cs="David" w:eastAsia="David" w:hAnsi="Times New Roman"/>
          <w:i w:val="false"/>
          <w:iCs w:val="false"/>
          <w:sz w:val="24"/>
          <w:szCs w:val="24"/>
          <w:rtl/>
        </w:rPr>
        <w:t xml:space="preserve"> בארבעתם החמור הוא הגיבור, ובארבעתם הוא נכשל. שאלת המחקר כפולה: מהי התכונה שהחמור מייצג אצל ברכיה, וכיצד בונה המחבר את הקשר בין סיפור המשל ובין הנמשל באמצעות שיבוצים מן המקרא ומספרות חז"ל.</w:t>
      </w:r>
    </w:p>
    <w:p>
      <w:pPr>
        <w:bidi/>
        <w:spacing w:after="120" w:before="0" w:line="360"/>
        <w:jc w:val="both"/>
      </w:pPr>
      <w:r>
        <w:rPr>
          <w:rFonts w:ascii="Times New Roman" w:cs="David" w:eastAsia="David" w:hAnsi="Times New Roman"/>
          <w:i w:val="false"/>
          <w:iCs w:val="false"/>
          <w:sz w:val="24"/>
          <w:szCs w:val="24"/>
          <w:rtl/>
        </w:rPr>
        <w:t xml:space="preserve">הטענה המרכזית של העבודה היא שהחמור של ברכיה אינו בראש ובראשונה טיפש, אלא מי שאינו יודע את מקומו. בכל אחד מן המשלים החמור מנסה להיות משהו אחר ממה שהוא: שליט שאינו חושש מן הקטן ממנו, אריה, כלב מחמד, משנה למלך. הכישלון בא מבחוץ, כמכה, ומחזיר אותו אל האבוס. ברכיה מעצב את הרעיון הזה לא רק בעלילה אלא בשכבת השיבוצים, שמעמידה מאחורי החמור שורה של דמויות מקראיות שגאוותן נשברה: רחבעם, אמציה, אדוניה, המן, נגיד צור, ארז הלבנון של יחזקאל. הקורא שמזהה את הפסוק יודע כיצד ייגמר המשל עוד לפני שהסיפור מגיע לסופו.</w:t>
      </w:r>
    </w:p>
    <w:p>
      <w:pPr>
        <w:bidi/>
        <w:spacing w:after="120" w:before="0" w:line="360"/>
        <w:jc w:val="both"/>
      </w:pPr>
      <w:r>
        <w:rPr>
          <w:rFonts w:ascii="Times New Roman" w:cs="David" w:eastAsia="David" w:hAnsi="Times New Roman"/>
          <w:i w:val="false"/>
          <w:iCs w:val="false"/>
          <w:sz w:val="24"/>
          <w:szCs w:val="24"/>
          <w:rtl/>
        </w:rPr>
        <w:t xml:space="preserve">מבנה העבודה: פרק 1 סוקר את החמור מן הבחינה הזואולוגית, במקורות היהודיים, במקורות הכלליים, הנוצריים והמוסלמיים ובפולקלור, ומציג את קורפוס משלי החמור בימי הביניים. פרק 2 עוסק ביוצר, בספר ובהקדמתו, וסוקר את ארבעת המשלים הנבחרים ואת הנמשל של כל אחד מהם. פרקים 3 עד 6 מנתחים כל משל בנפרד: מבנהו, השיבוצים שבו, הפואטיקה שלו והקשר בין המשל לנמשל. פרק 7 מסכם ומשיב על שאלת המחקר. בנספחים מובאים ארבעת המשלים במלואם.</w:t>
      </w:r>
    </w:p>
    <w:p>
      <w:pPr>
        <w:bidi/>
        <w:spacing w:after="120" w:before="0" w:line="360"/>
        <w:jc w:val="both"/>
      </w:pPr>
      <w:r>
        <w:rPr>
          <w:rFonts w:ascii="Times New Roman" w:cs="David" w:eastAsia="David" w:hAnsi="Times New Roman"/>
          <w:i w:val="false"/>
          <w:iCs w:val="false"/>
          <w:sz w:val="24"/>
          <w:szCs w:val="24"/>
          <w:rtl/>
        </w:rPr>
        <w:t xml:space="preserve">הערה על השיטה: הציטוטים מן המשלים מובאים על פי הנוסח המנוקד שנמסר בקורס, שנבדק מול מהדורת הברמן. הפניות למקרא הן לפי ספר, פרק ופסוק, והפניות לספרות חז"ל לפי המסכת והדף. ההערות והביבליוגרפיה כתובות בשיטה אחת לאורך כל העבודה: בהערה הראשונה פרט ביבליוגרפי מלא, ולאחר מכן צורה מקוצרת. מקומות שבהם עדיין נדרשת השלמה של מספר עמוד או בדיקה במהדורה סומנו בסוגריים מרובעים.</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1: החמור: זואולוגיה, מקורות יהודיים ומקורות כלליים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1.1 החמור מבחינה זואולוגית</w:t>
      </w:r>
    </w:p>
    <w:p>
      <w:pPr>
        <w:bidi/>
        <w:spacing w:after="120" w:before="0" w:line="360"/>
        <w:jc w:val="both"/>
      </w:pPr>
      <w:r>
        <w:rPr>
          <w:rFonts w:ascii="Times New Roman" w:cs="David" w:eastAsia="David" w:hAnsi="Times New Roman"/>
          <w:i w:val="false"/>
          <w:iCs w:val="false"/>
          <w:sz w:val="24"/>
          <w:szCs w:val="24"/>
          <w:rtl/>
        </w:rPr>
        <w:t xml:space="preserve">החמור (</w:t>
      </w:r>
      <w:r>
        <w:rPr>
          <w:rFonts w:ascii="Times New Roman" w:cs="David" w:eastAsia="David" w:hAnsi="Times New Roman"/>
          <w:i w:val="false"/>
          <w:iCs w:val="false"/>
          <w:sz w:val="24"/>
          <w:szCs w:val="24"/>
          <w:rtl w:val="false"/>
        </w:rPr>
        <w:t xml:space="preserve">Equus asinus) </w:t>
      </w:r>
      <w:r>
        <w:rPr>
          <w:rFonts w:ascii="Times New Roman" w:cs="David" w:eastAsia="David" w:hAnsi="Times New Roman"/>
          <w:i w:val="false"/>
          <w:iCs w:val="false"/>
          <w:sz w:val="24"/>
          <w:szCs w:val="24"/>
          <w:rtl/>
        </w:rPr>
        <w:t xml:space="preserve">הוא בן משפחת הסוסיים. הוא בוית מן הפרא האפריקני (</w:t>
      </w:r>
      <w:r>
        <w:rPr>
          <w:rFonts w:ascii="Times New Roman" w:cs="David" w:eastAsia="David" w:hAnsi="Times New Roman"/>
          <w:i w:val="false"/>
          <w:iCs w:val="false"/>
          <w:sz w:val="24"/>
          <w:szCs w:val="24"/>
          <w:rtl w:val="false"/>
        </w:rPr>
        <w:t xml:space="preserve">Equus africanus) </w:t>
      </w:r>
      <w:r>
        <w:rPr>
          <w:rFonts w:ascii="Times New Roman" w:cs="David" w:eastAsia="David" w:hAnsi="Times New Roman"/>
          <w:i w:val="false"/>
          <w:iCs w:val="false"/>
          <w:sz w:val="24"/>
          <w:szCs w:val="24"/>
          <w:rtl/>
        </w:rPr>
        <w:t xml:space="preserve">בצפון מזרח אפריקה לפני כחמשת אלפים עד ששת אלפים שנה, ככל הנראה בסביבת מצרים ונוביה, והיה בעל החיים הראשון ששימש לנשיאת משאות למרחקים. הממצא הארכיאולוגי מאבידוס שבמצרים, שבו נקברו חמורים בסמוך לקברי מלוכה מראשית האלף השלישי לפני הספירה, מלמד עד כמה היה החמור חשוב לכלכלה ולתנועה בעולם העתיק.</w:t>
      </w:r>
      <w:r>
        <w:rPr>
          <w:rStyle w:val="FootnoteReference"/>
        </w:rPr>
        <w:footnoteReference w:id="2"/>
      </w:r>
    </w:p>
    <w:p>
      <w:pPr>
        <w:bidi/>
        <w:spacing w:after="120" w:before="0" w:line="360"/>
        <w:jc w:val="both"/>
      </w:pPr>
      <w:r>
        <w:rPr>
          <w:rFonts w:ascii="Times New Roman" w:cs="David" w:eastAsia="David" w:hAnsi="Times New Roman"/>
          <w:i w:val="false"/>
          <w:iCs w:val="false"/>
          <w:sz w:val="24"/>
          <w:szCs w:val="24"/>
          <w:rtl/>
        </w:rPr>
        <w:t xml:space="preserve">כמה מתכונותיו הגופניות של החמור מזינות ישירות את דימויו בספרות. אוזניו הארוכות, שתפקידן שמיעה וויסות חום, הפכו לסימן ההיכר שלו, וגם לסימן שמסגיר אותו כשהוא מנסה להתחפש. קולו, הנעירה, חזק וצורם ונשמע למרחק. הוא חיה קשוחה, מסתפקת במעט מים ומזון, נושאת משא כבד ביחס לגודלה ובעלת סף כאב גבוה. הנטייה שלו לעצור ולסרב לזוז כשהוא חש סכנה, שהאדם מפרש אותה כעקשנות, היא התנהגות הגנתית של בעל חיים שאינו יכול לברוח במהירות כמו הסוס. גם החיכוך בעצים ובסלעים, שמופיע במשל הצרעה, הוא התנהגות טבעית של החמור להסרת טפילים מעורו. שלוש התכונות, האוזניים, הקול והגוף המגושם והכבד, הן בדיוק התכונות שברכיה מפעיל בארבעת המשלים.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1.2 החמור במקורות היהודיים</w:t>
      </w:r>
    </w:p>
    <w:p>
      <w:pPr>
        <w:bidi/>
        <w:spacing w:after="120" w:before="0" w:line="360"/>
        <w:jc w:val="both"/>
      </w:pPr>
      <w:r>
        <w:rPr>
          <w:rFonts w:ascii="Times New Roman" w:cs="David" w:eastAsia="David" w:hAnsi="Times New Roman"/>
          <w:i w:val="false"/>
          <w:iCs w:val="false"/>
          <w:sz w:val="24"/>
          <w:szCs w:val="24"/>
          <w:rtl/>
        </w:rPr>
        <w:t xml:space="preserve">במקרא החמור נזכר יותר ממאה ושלושים פעם, בדרך כלל כבהמת עבודה ורכיבה של כל שכבות העם. הוא מלווה את אברהם בדרכו לעקדה (בראשית כב, ג), נושא את משפחת משה למצרים (שמות ד, כ), והוא הבהמה שעליה נצטווה האדם לחוס גם כשהיא של שונאו: "כי תראה חמור שנאך רבץ תחת משאו וחדלת מעזב לו, עזב תעזב עמו" (שמות כג, ה). מעמדו ההלכתי מיוחד: הוא הבהמה הטמאה היחידה שבכורה טעון פדיון, "וכל פטר חמר תפדה בשה" (שמות יג, יג), ואסור לחרוש בו יחד עם השור (דברים כב, י). קנת ויי, שהקדיש לחמור המקראי מונוגרפיה שלמה, מראה שהחמור נושא במקרא גם משמעות טקסית וסמלית, ולא רק כלכלית.</w:t>
      </w:r>
      <w:r>
        <w:rPr>
          <w:rStyle w:val="FootnoteReference"/>
        </w:rPr>
        <w:footnoteReference w:id="3"/>
      </w:r>
    </w:p>
    <w:p>
      <w:pPr>
        <w:bidi/>
        <w:spacing w:after="120" w:before="0" w:line="360"/>
        <w:jc w:val="both"/>
      </w:pPr>
      <w:r>
        <w:rPr>
          <w:rFonts w:ascii="Times New Roman" w:cs="David" w:eastAsia="David" w:hAnsi="Times New Roman"/>
          <w:i w:val="false"/>
          <w:iCs w:val="false"/>
          <w:sz w:val="24"/>
          <w:szCs w:val="24"/>
          <w:rtl/>
        </w:rPr>
        <w:t xml:space="preserve">שלוש דמויות של חמור במקרא חשובות במיוחד לעבודה זו, מפני שברכיה מרמז אליהן במשלים הנדונים. הראשונה היא אתונו של בלעם, החיה היחידה במקרא שמדברת, והרואה את מלאך ה' בשעה שהנביא עצמו עיוור לו (במדבר כב, כא-לג). הנוסחה שברכיה חותם בה את משליו, "ואשא משלי ואומר", לקוחה מן הפסוק "וישא משלו ויאמר" (במדבר כג, ז) הפותח את נבואות בלעם. יש אירוניה בכך שספר שלם של משלי חיות חתום בנוסחה של הנביא שאתונו ראתה יותר ממנו. השנייה היא אתונות קיש, שאובדנן שלח את שאול לדרך שבסופה נמשח למלך ונתנבא (שמואל א ט-י). ברכיה מזכיר אותן במפורש בשיר החותם את משל יד. השלישית היא החמור של ישעיהו: "ידע שור קנהו וחמור אבוס בעליו, ישראל לא ידע עמי לא התבונן" (ישעיהו א, ג). כאן החמור הוא דווקא דוגמה לידיעה ולהכרת הטוב, וישראל הם שאינם יודעים. ברכיה הופך את הפסוק במשל מז: "וחמור אבוס בעליו לא ידע". החמור שלו הוא בדיוק החמור שישעיהו לא הכיר.</w:t>
      </w:r>
    </w:p>
    <w:p>
      <w:pPr>
        <w:bidi/>
        <w:spacing w:after="120" w:before="0" w:line="360"/>
        <w:jc w:val="both"/>
      </w:pPr>
      <w:r>
        <w:rPr>
          <w:rFonts w:ascii="Times New Roman" w:cs="David" w:eastAsia="David" w:hAnsi="Times New Roman"/>
          <w:i w:val="false"/>
          <w:iCs w:val="false"/>
          <w:sz w:val="24"/>
          <w:szCs w:val="24"/>
          <w:rtl/>
        </w:rPr>
        <w:t xml:space="preserve">יש להוסיף את יששכר "חמר גרם רבץ בין המשפתים" (בראשית מט, יד), את לחי החמור של שמשון (שופטים טו, טו-טז), את "קבורת חמור" שנגזרה על יהויקים (ירמיהו כב, יט), ואת המלך המשיח "עני ורכב על חמור" (זכריה ט, ט). הפרא, חמור הבר, מופיע באיוב לט, ה-ח כסמל לחירות שאין לאדם שליטה בה. יהודה פליקס דן בהבחנה בין החמור לפרא ובזיהוים הזואולוגי.</w:t>
      </w:r>
      <w:r>
        <w:rPr>
          <w:rStyle w:val="FootnoteReference"/>
        </w:rPr>
        <w:footnoteReference w:id="4"/>
      </w:r>
    </w:p>
    <w:p>
      <w:pPr>
        <w:bidi/>
        <w:spacing w:after="120" w:before="0" w:line="360"/>
        <w:jc w:val="both"/>
      </w:pPr>
      <w:r>
        <w:rPr>
          <w:rFonts w:ascii="Times New Roman" w:cs="David" w:eastAsia="David" w:hAnsi="Times New Roman"/>
          <w:i w:val="false"/>
          <w:iCs w:val="false"/>
          <w:sz w:val="24"/>
          <w:szCs w:val="24"/>
          <w:rtl/>
        </w:rPr>
        <w:t xml:space="preserve">בספרות חז"ל החמור מופיע במשנה בעיקר בהקשרים הלכתיים של עבודה, משא וכלאיים (למשל משנה כלאים ח, ב-ד), אך באגדה הוא זוכה לדמות עשירה יותר. חמורו של רבי פנחס בן יאיר סירב לאכול שעורים שלא עושרו (בבלי חולין ז ע"א-ע"ב), ומכאן הכלל "אפילו בהמתן של צדיקים אין הקדוש ברוך הוא מביא תקלה על ידן". לעומת זאת הביטוי "עם הדומה לחמור" (בבלי יבמות סב ע"א, על פי בראשית כב, ה) הפך במסורת המאוחרת לכינוי גנאי. במדרש נאמר שאותו חמור שחבש אברהם הוא שרכב עליו משה ושעליו עתיד לרכוב המשיח (פרקי דרבי אליעזר, פרק לא), ובתלמוד מוצג המשיח כמי שיבוא "עני ורוכב על חמור" אם לא יזכו ישראל (בבלי סנהדרין צח ע"א). כך נוצר בעברית מתח קבוע: החמור הוא גם חיית הצדיקים והמשיח, וגם סמל הכסילות. עלי יסיף מראה שהמשל החייתי בספרות חז"ל, ובכלל זה משלי השועלים של רבי מאיר (בבלי סנהדרין לח ע"ב), הוא ז'אנר שבו החיה נושאת תכונה אנושית קבועה שהקהל מזהה מיד, ומכאן כוחו הרטורי.</w:t>
      </w:r>
      <w:r>
        <w:rPr>
          <w:rStyle w:val="FootnoteReference"/>
        </w:rPr>
        <w:footnoteReference w:id="5"/>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1.3 החמור במקורות הכלליים</w:t>
      </w:r>
    </w:p>
    <w:p>
      <w:pPr>
        <w:bidi/>
        <w:spacing w:after="120" w:before="0" w:line="360"/>
        <w:jc w:val="both"/>
      </w:pPr>
      <w:r>
        <w:rPr>
          <w:rFonts w:ascii="Times New Roman" w:cs="David" w:eastAsia="David" w:hAnsi="Times New Roman"/>
          <w:i w:val="false"/>
          <w:iCs w:val="false"/>
          <w:sz w:val="24"/>
          <w:szCs w:val="24"/>
          <w:rtl/>
        </w:rPr>
        <w:t xml:space="preserve">בקורפוס האיזופי החמור הוא אחד הגיבורים השכיחים, וכמעט תמיד הוא לקוי בשיפוט. במפתח פרי, המפתח המקובל למשלי איזופוס, מופיעים בין השאר: החמור והכלבלב (פרי 91), שבו החמור המקנא מנסה לקפוץ על אדוניו כמו הכלב ומוכה; החמור נושא המלח (פרי 180), שלמד שהמלח נמס במים וטבע כשניסה את התחבולה עם ספוגים; החמור נושא פסל האל (פרי 182), שחשב שהעוברים משתחווים לו; החמור בעור האריה (פרי 188, וגרסה נוספת פרי 358), שנחשף בגלל אוזניו או קולו; והאריה והחמור היוצאים לצוד (פרי 151, אצל פדרוס א, יא), שבו החמור נוער כדי להבריח את החיות אל האריה, ואחר כך שואל אם קולו מצא חן, והאריה משיב שאילולא ידע מי הוא היה בורח גם הוא.</w:t>
      </w:r>
      <w:r>
        <w:rPr>
          <w:rStyle w:val="FootnoteReference"/>
        </w:rPr>
        <w:footnoteReference w:id="6"/>
      </w:r>
      <w:r>
        <w:rPr>
          <w:rFonts w:ascii="Times New Roman" w:cs="David" w:eastAsia="David" w:hAnsi="Times New Roman"/>
          <w:i w:val="false"/>
          <w:iCs w:val="false"/>
          <w:sz w:val="24"/>
          <w:szCs w:val="24"/>
          <w:rtl/>
        </w:rPr>
        <w:t xml:space="preserve"> במשלים אלה החמור מייצג את מי שמעריך את עצמו בטעות: הוא חושב שהכבוד שניתן לפסל ניתן לו, שהאהבה שניתנת לכלב תינתן גם לו, ושהעור יהפוך אותו לאריה. שלושה מן המשלים האלה הם המקורות הישירים של משלים יד, מז ו-סה אצל ברכיה, ומשל עור האריה הגיע אליו כנראה דרך אביאנוס (משל 5) ולא ישירות מן היוונית.</w:t>
      </w:r>
      <w:r>
        <w:rPr>
          <w:rStyle w:val="FootnoteReference"/>
        </w:rPr>
        <w:footnoteReference w:id="7"/>
      </w:r>
    </w:p>
    <w:p>
      <w:pPr>
        <w:bidi/>
        <w:spacing w:after="120" w:before="0" w:line="360"/>
        <w:jc w:val="both"/>
      </w:pPr>
      <w:r>
        <w:rPr>
          <w:rFonts w:ascii="Times New Roman" w:cs="David" w:eastAsia="David" w:hAnsi="Times New Roman"/>
          <w:i w:val="false"/>
          <w:iCs w:val="false"/>
          <w:sz w:val="24"/>
          <w:szCs w:val="24"/>
          <w:rtl/>
        </w:rPr>
        <w:t xml:space="preserve">במפתחות הבינלאומיים של סיפורי העם שניים מן הטיפוסים רשומים: </w:t>
      </w:r>
      <w:r>
        <w:rPr>
          <w:rFonts w:ascii="Times New Roman" w:cs="David" w:eastAsia="David" w:hAnsi="Times New Roman"/>
          <w:i w:val="false"/>
          <w:iCs w:val="false"/>
          <w:sz w:val="24"/>
          <w:szCs w:val="24"/>
          <w:rtl w:val="false"/>
        </w:rPr>
        <w:t xml:space="preserve">ATU 214, "</w:t>
      </w:r>
      <w:r>
        <w:rPr>
          <w:rFonts w:ascii="Times New Roman" w:cs="David" w:eastAsia="David" w:hAnsi="Times New Roman"/>
          <w:i w:val="false"/>
          <w:iCs w:val="false"/>
          <w:sz w:val="24"/>
          <w:szCs w:val="24"/>
          <w:rtl/>
        </w:rPr>
        <w:t xml:space="preserve">החמור המנסה ללטף את אדוניו כמו הכלב", ו-</w:t>
      </w:r>
      <w:r>
        <w:rPr>
          <w:rFonts w:ascii="Times New Roman" w:cs="David" w:eastAsia="David" w:hAnsi="Times New Roman"/>
          <w:i w:val="false"/>
          <w:iCs w:val="false"/>
          <w:sz w:val="24"/>
          <w:szCs w:val="24"/>
          <w:rtl w:val="false"/>
        </w:rPr>
        <w:t xml:space="preserve">ATU 214B, "</w:t>
      </w:r>
      <w:r>
        <w:rPr>
          <w:rFonts w:ascii="Times New Roman" w:cs="David" w:eastAsia="David" w:hAnsi="Times New Roman"/>
          <w:i w:val="false"/>
          <w:iCs w:val="false"/>
          <w:sz w:val="24"/>
          <w:szCs w:val="24"/>
          <w:rtl/>
        </w:rPr>
        <w:t xml:space="preserve">החמור בעור האריה".</w:t>
      </w:r>
      <w:r>
        <w:rPr>
          <w:rStyle w:val="FootnoteReference"/>
        </w:rPr>
        <w:footnoteReference w:id="8"/>
      </w:r>
      <w:r>
        <w:rPr>
          <w:rFonts w:ascii="Times New Roman" w:cs="David" w:eastAsia="David" w:hAnsi="Times New Roman"/>
          <w:i w:val="false"/>
          <w:iCs w:val="false"/>
          <w:sz w:val="24"/>
          <w:szCs w:val="24"/>
          <w:rtl/>
        </w:rPr>
        <w:t xml:space="preserve"> במפתח המוטיבים של תומפסון החמור נקשר בעיקר לפרק </w:t>
      </w:r>
      <w:r>
        <w:rPr>
          <w:rFonts w:ascii="Times New Roman" w:cs="David" w:eastAsia="David" w:hAnsi="Times New Roman"/>
          <w:i w:val="false"/>
          <w:iCs w:val="false"/>
          <w:sz w:val="24"/>
          <w:szCs w:val="24"/>
          <w:rtl w:val="false"/>
        </w:rPr>
        <w:t xml:space="preserve">J (</w:t>
      </w:r>
      <w:r>
        <w:rPr>
          <w:rFonts w:ascii="Times New Roman" w:cs="David" w:eastAsia="David" w:hAnsi="Times New Roman"/>
          <w:i w:val="false"/>
          <w:iCs w:val="false"/>
          <w:sz w:val="24"/>
          <w:szCs w:val="24"/>
          <w:rtl/>
        </w:rPr>
        <w:t xml:space="preserve">חוכמה וטיפשות): המוטיב </w:t>
      </w:r>
      <w:r>
        <w:rPr>
          <w:rFonts w:ascii="Times New Roman" w:cs="David" w:eastAsia="David" w:hAnsi="Times New Roman"/>
          <w:i w:val="false"/>
          <w:iCs w:val="false"/>
          <w:sz w:val="24"/>
          <w:szCs w:val="24"/>
          <w:rtl w:val="false"/>
        </w:rPr>
        <w:t xml:space="preserve">J951.1 "</w:t>
      </w:r>
      <w:r>
        <w:rPr>
          <w:rFonts w:ascii="Times New Roman" w:cs="David" w:eastAsia="David" w:hAnsi="Times New Roman"/>
          <w:i w:val="false"/>
          <w:iCs w:val="false"/>
          <w:sz w:val="24"/>
          <w:szCs w:val="24"/>
          <w:rtl/>
        </w:rPr>
        <w:t xml:space="preserve">חמור בעור אריה" והמוטיב </w:t>
      </w:r>
      <w:r>
        <w:rPr>
          <w:rFonts w:ascii="Times New Roman" w:cs="David" w:eastAsia="David" w:hAnsi="Times New Roman"/>
          <w:i w:val="false"/>
          <w:iCs w:val="false"/>
          <w:sz w:val="24"/>
          <w:szCs w:val="24"/>
          <w:rtl w:val="false"/>
        </w:rPr>
        <w:t xml:space="preserve">J2413.1 "</w:t>
      </w:r>
      <w:r>
        <w:rPr>
          <w:rFonts w:ascii="Times New Roman" w:cs="David" w:eastAsia="David" w:hAnsi="Times New Roman"/>
          <w:i w:val="false"/>
          <w:iCs w:val="false"/>
          <w:sz w:val="24"/>
          <w:szCs w:val="24"/>
          <w:rtl/>
        </w:rPr>
        <w:t xml:space="preserve">חמור מנסה ללטף את אדוניו כמו הכלב". במשל הצרעה פועל מוטיב מפרק אחר, </w:t>
      </w:r>
      <w:r>
        <w:rPr>
          <w:rFonts w:ascii="Times New Roman" w:cs="David" w:eastAsia="David" w:hAnsi="Times New Roman"/>
          <w:i w:val="false"/>
          <w:iCs w:val="false"/>
          <w:sz w:val="24"/>
          <w:szCs w:val="24"/>
          <w:rtl w:val="false"/>
        </w:rPr>
        <w:t xml:space="preserve">L315, "</w:t>
      </w:r>
      <w:r>
        <w:rPr>
          <w:rFonts w:ascii="Times New Roman" w:cs="David" w:eastAsia="David" w:hAnsi="Times New Roman"/>
          <w:i w:val="false"/>
          <w:iCs w:val="false"/>
          <w:sz w:val="24"/>
          <w:szCs w:val="24"/>
          <w:rtl/>
        </w:rPr>
        <w:t xml:space="preserve">בעל חיים קטן מנצח בעל חיים גדול", ובמשל הציד המשותף מוטיב הציד בשותפות עם האריה, שסופו תמיד רע לשותף החלש.</w:t>
      </w:r>
      <w:r>
        <w:rPr>
          <w:rStyle w:val="FootnoteReference"/>
        </w:rPr>
        <w:footnoteReference w:id="9"/>
      </w:r>
      <w:r>
        <w:rPr>
          <w:rFonts w:ascii="Times New Roman" w:cs="David" w:eastAsia="David" w:hAnsi="Times New Roman"/>
          <w:i w:val="false"/>
          <w:iCs w:val="false"/>
          <w:sz w:val="24"/>
          <w:szCs w:val="24"/>
          <w:rtl/>
        </w:rPr>
        <w:t xml:space="preserve"> למשל הצרעה לא מצאתי מקבילה איזופית ישירה, והקרוב אליו ברוחו הוא משל היתוש והאריה (פרי 255), שבו היתוש מנצח את מלך החיות בעקיצות. את מקבילותיו של המשל יש לבדוק ברשימת המקבילות של שורצבוים.</w:t>
      </w:r>
    </w:p>
    <w:p>
      <w:pPr>
        <w:bidi/>
        <w:spacing w:after="120" w:before="0" w:line="360"/>
        <w:jc w:val="both"/>
      </w:pPr>
      <w:r>
        <w:rPr>
          <w:rFonts w:ascii="Times New Roman" w:cs="David" w:eastAsia="David" w:hAnsi="Times New Roman"/>
          <w:i w:val="false"/>
          <w:iCs w:val="false"/>
          <w:sz w:val="24"/>
          <w:szCs w:val="24"/>
          <w:rtl/>
        </w:rPr>
        <w:t xml:space="preserve">ב"כלילה ודמנה", ספר המשלים ההודי שהגיע לעברית דרך העיבוד הערבי של אבן אלמקפע ותורגם פעמיים בימי הביניים, מופיע החמור בסיפור "האריה, השועל והחמור": השועל מפתה את החמור לבוא אל האריה החולה, החמור נמלט מן הטריפה הראשונה, ובכל זאת נענה לפיתוי שני ונטרף. השועל, שאכל בסתר את לב החמור ואת אוזניו, טוען שלחמור לא היו מעולם לא לב ולא אוזניים, שאם לא כן לא היה חוזר. כאן החמור מייצג פתיות שאינה לומדת מניסיון.</w:t>
      </w:r>
      <w:r>
        <w:rPr>
          <w:rStyle w:val="FootnoteReference"/>
        </w:rPr>
        <w:footnoteReference w:id="10"/>
      </w:r>
      <w:r>
        <w:rPr>
          <w:rFonts w:ascii="Times New Roman" w:cs="David" w:eastAsia="David" w:hAnsi="Times New Roman"/>
          <w:i w:val="false"/>
          <w:iCs w:val="false"/>
          <w:sz w:val="24"/>
          <w:szCs w:val="24"/>
          <w:rtl/>
        </w:rPr>
        <w:t xml:space="preserve"> בסיפור המסגרת של "אלף לילה ולילה", עוד לפני ששהרזאד פותחת בסיפוריה, מובא "מעשה השור והחמור": החמור החכם מייעץ לשור להעמיד פני חולה כדי להשתמט מן החרישה, ובעל הבית, שמבין שפת חיות, מטיל את החרישה על החמור עצמו. כאן החמור ערמומי, אבל ערמומיותו מתהפכת עליו.</w:t>
      </w:r>
      <w:r>
        <w:rPr>
          <w:rStyle w:val="FootnoteReference"/>
        </w:rPr>
        <w:footnoteReference w:id="11"/>
      </w:r>
      <w:r>
        <w:rPr>
          <w:rFonts w:ascii="Times New Roman" w:cs="David" w:eastAsia="David" w:hAnsi="Times New Roman"/>
          <w:i w:val="false"/>
          <w:iCs w:val="false"/>
          <w:sz w:val="24"/>
          <w:szCs w:val="24"/>
          <w:rtl/>
        </w:rPr>
        <w:t xml:space="preserve"> ב"משל הקדמוני" לרבי יצחק אבן סהולה (1281) לא איתרתי משל שהחמור עומד במרכזו, ולכן החיבור אינו נכלל בקורפוס.</w:t>
      </w:r>
      <w:r>
        <w:rPr>
          <w:rStyle w:val="FootnoteReference"/>
        </w:rPr>
        <w:footnoteReference w:id="12"/>
      </w:r>
      <w:r>
        <w:rPr>
          <w:rFonts w:ascii="Times New Roman" w:cs="David" w:eastAsia="David" w:hAnsi="Times New Roman"/>
          <w:i w:val="false"/>
          <w:iCs w:val="false"/>
          <w:sz w:val="24"/>
          <w:szCs w:val="24"/>
          <w:rtl/>
        </w:rPr>
        <w:t xml:space="preserve"> מקבילה ישירה למשל יד יש אצל מארי דה פראנס, בת דורו של ברכיה, במשל "על החמור שרצה לשחק עם אדוניו".</w:t>
      </w:r>
      <w:r>
        <w:rPr>
          <w:rStyle w:val="FootnoteReference"/>
        </w:rPr>
        <w:footnoteReference w:id="13"/>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1.4 החמור במקורות הנוצריים והמוסלמיים ובפולקלור</w:t>
      </w:r>
    </w:p>
    <w:p>
      <w:pPr>
        <w:bidi/>
        <w:spacing w:after="120" w:before="0" w:line="360"/>
        <w:jc w:val="both"/>
      </w:pPr>
      <w:r>
        <w:rPr>
          <w:rFonts w:ascii="Times New Roman" w:cs="David" w:eastAsia="David" w:hAnsi="Times New Roman"/>
          <w:i w:val="false"/>
          <w:iCs w:val="false"/>
          <w:sz w:val="24"/>
          <w:szCs w:val="24"/>
          <w:rtl/>
        </w:rPr>
        <w:t xml:space="preserve">במסורת הנוצרית החמור נוכח בשלוש תמונות מרכזיות, ושלושתן נשענות על המקרא. הראשונה היא האבוס: הבשורות הקנוניות מספרות רק שישוע הושכב באבוס (לוקס ב, ז), אבל הבשורה החיצונית של פסאודו-מתי מוסיפה שור וחמור שכרעו לפניו, וקושרת זאת במפורש לישעיהו א, ג, "ידע שור קנהו וחמור אבוס בעליו".</w:t>
      </w:r>
      <w:r>
        <w:rPr>
          <w:rStyle w:val="FootnoteReference"/>
        </w:rPr>
        <w:footnoteReference w:id="14"/>
      </w:r>
      <w:r>
        <w:rPr>
          <w:rFonts w:ascii="Times New Roman" w:cs="David" w:eastAsia="David" w:hAnsi="Times New Roman"/>
          <w:i w:val="false"/>
          <w:iCs w:val="false"/>
          <w:sz w:val="24"/>
          <w:szCs w:val="24"/>
          <w:rtl/>
        </w:rPr>
        <w:t xml:space="preserve"> הפסוק שברכיה הופך במשל מז הוא אפוא גם הפסוק שעומד מאחורי כל תמונת מולד נוצרית בימי הביניים, וקוראיו של ברכיה בצרפת ובאנגליה ראו את השור והחמור האלה בכנסיות. השנייה היא הכניסה לירושלים על חמור (מתי כא, א-ז), המצוטטת מזכריה ט, ט. השלישית היא אתונו של בלעם, שאיגרת פטרוס השנייה (ב, טז) מביאה כדוגמה לבהמה אילמת שהוכיחה נביא. בספרות הטבע של ימי הביניים החמור מוגדר בעיקר כאיטי וכסיל: איזידורוס מסביליה גוזר את שמו הלטיני, </w:t>
      </w:r>
      <w:r>
        <w:rPr>
          <w:rFonts w:ascii="Times New Roman" w:cs="David" w:eastAsia="David" w:hAnsi="Times New Roman"/>
          <w:i w:val="false"/>
          <w:iCs w:val="false"/>
          <w:sz w:val="24"/>
          <w:szCs w:val="24"/>
          <w:rtl w:val="false"/>
        </w:rPr>
        <w:t xml:space="preserve">asinus, </w:t>
      </w:r>
      <w:r>
        <w:rPr>
          <w:rFonts w:ascii="Times New Roman" w:cs="David" w:eastAsia="David" w:hAnsi="Times New Roman"/>
          <w:i w:val="false"/>
          <w:iCs w:val="false"/>
          <w:sz w:val="24"/>
          <w:szCs w:val="24"/>
          <w:rtl/>
        </w:rPr>
        <w:t xml:space="preserve">מן הפועל "לשבת", מפני שהוא בהמה איטית שאין בה תבונה,</w:t>
      </w:r>
      <w:r>
        <w:rPr>
          <w:rStyle w:val="FootnoteReference"/>
        </w:rPr>
        <w:footnoteReference w:id="15"/>
      </w:r>
      <w:r>
        <w:rPr>
          <w:rFonts w:ascii="Times New Roman" w:cs="David" w:eastAsia="David" w:hAnsi="Times New Roman"/>
          <w:i w:val="false"/>
          <w:iCs w:val="false"/>
          <w:sz w:val="24"/>
          <w:szCs w:val="24"/>
          <w:rtl/>
        </w:rPr>
        <w:t xml:space="preserve"> והבסטיאריום, ספר החיות המוסרי שהיה נפוץ באנגליה במאה השתים עשרה, בדיוק בזמנו ובמקומו של ברכיה, מבחין בין החמור הביתי ובין הפרא ומייחס לשניהם כסילות ותאווה.</w:t>
      </w:r>
      <w:r>
        <w:rPr>
          <w:rStyle w:val="FootnoteReference"/>
        </w:rPr>
        <w:footnoteReference w:id="16"/>
      </w:r>
      <w:r>
        <w:rPr>
          <w:rFonts w:ascii="Times New Roman" w:cs="David" w:eastAsia="David" w:hAnsi="Times New Roman"/>
          <w:i w:val="false"/>
          <w:iCs w:val="false"/>
          <w:sz w:val="24"/>
          <w:szCs w:val="24"/>
          <w:rtl/>
        </w:rPr>
        <w:t xml:space="preserve"> ובכנסיות של צפון צרפת נחוג בימי הביניים "חג החמור", טקס עממי שבו הובל חמור אל הכנסייה ונשמעה נעירה במקום "אמן"; החמור היה גם בתרבות הסובבת חיה של צחוק והיפוך סדרים.</w:t>
      </w:r>
      <w:r>
        <w:rPr>
          <w:rStyle w:val="FootnoteReference"/>
        </w:rPr>
        <w:footnoteReference w:id="17"/>
      </w:r>
    </w:p>
    <w:p>
      <w:pPr>
        <w:bidi/>
        <w:spacing w:after="120" w:before="0" w:line="360"/>
        <w:jc w:val="both"/>
      </w:pPr>
      <w:r>
        <w:rPr>
          <w:rFonts w:ascii="Times New Roman" w:cs="David" w:eastAsia="David" w:hAnsi="Times New Roman"/>
          <w:i w:val="false"/>
          <w:iCs w:val="false"/>
          <w:sz w:val="24"/>
          <w:szCs w:val="24"/>
          <w:rtl/>
        </w:rPr>
        <w:t xml:space="preserve">בקוראן החמור מופיע בארבעה הקשרים, ושלושה מהם נוגעים ישירות לתכונות שברכיה מפעיל. בסורה 62, פסוק 5, מי שהופקדו על התורה ולא נשאו אותה נמשלים ל"חמור נושא ספרים": ידע שנישא על הגב ואינו נכנס לראש, ממש כמו "לא ידע" של ישעיהו. בסורה 31, פסוק 19, נאמר שהנתעב שבקולות הוא קול החמורים, וזה בדיוק הקול שהחמור במשל סה מתפאר בו. ובסורה 74, פסוקים 50-51, הכופרים הבורחים מן התוכחה נמשלים לחמורי בר נבהלים הנסים מפני אריה, תמונה שהיא כמעט הציד של משל סה.</w:t>
      </w:r>
      <w:r>
        <w:rPr>
          <w:rStyle w:val="FootnoteReference"/>
        </w:rPr>
        <w:footnoteReference w:id="18"/>
      </w:r>
      <w:r>
        <w:rPr>
          <w:rFonts w:ascii="Times New Roman" w:cs="David" w:eastAsia="David" w:hAnsi="Times New Roman"/>
          <w:i w:val="false"/>
          <w:iCs w:val="false"/>
          <w:sz w:val="24"/>
          <w:szCs w:val="24"/>
          <w:rtl/>
        </w:rPr>
        <w:t xml:space="preserve"> הדימוי "חמור נושא ספרים" עבר מן הערבית לעברית ורווח בספרות המוסר של ימי הביניים ככינוי למי שלמד ולא הבין.</w:t>
      </w:r>
      <w:r>
        <w:rPr>
          <w:rStyle w:val="FootnoteReference"/>
        </w:rPr>
        <w:footnoteReference w:id="19"/>
      </w:r>
      <w:r>
        <w:rPr>
          <w:rFonts w:ascii="Times New Roman" w:cs="David" w:eastAsia="David" w:hAnsi="Times New Roman"/>
          <w:i w:val="false"/>
          <w:iCs w:val="false"/>
          <w:sz w:val="24"/>
          <w:szCs w:val="24"/>
          <w:rtl/>
        </w:rPr>
        <w:t xml:space="preserve"> בספרות העממית הערבית החמור הוא בן לווייתו הקבוע של ג'וחא, הטיפש-חכם, ורבים מן הסיפורים על ג'וחא וחמורו הגיעו גם לפולקלור היהודי במזרח.</w:t>
      </w:r>
      <w:r>
        <w:rPr>
          <w:rStyle w:val="FootnoteReference"/>
        </w:rPr>
        <w:footnoteReference w:id="20"/>
      </w:r>
    </w:p>
    <w:p>
      <w:pPr>
        <w:bidi/>
        <w:spacing w:after="120" w:before="0" w:line="360"/>
        <w:jc w:val="both"/>
      </w:pPr>
      <w:r>
        <w:rPr>
          <w:rFonts w:ascii="Times New Roman" w:cs="David" w:eastAsia="David" w:hAnsi="Times New Roman"/>
          <w:i w:val="false"/>
          <w:iCs w:val="false"/>
          <w:sz w:val="24"/>
          <w:szCs w:val="24"/>
          <w:rtl/>
        </w:rPr>
        <w:t xml:space="preserve">בפולקלור האירופי המאוחר יותר החמור שומר על שתי פניו. הוא הכסיל שבפתגמים ובבדיחות, אבל הוא גם הפועל הזקן שנזרק אחרי שנות עבודה, כמו החמור של "נגני העיר ברמן" אצל האחים גרים (טיפוס </w:t>
      </w:r>
      <w:r>
        <w:rPr>
          <w:rFonts w:ascii="Times New Roman" w:cs="David" w:eastAsia="David" w:hAnsi="Times New Roman"/>
          <w:i w:val="false"/>
          <w:iCs w:val="false"/>
          <w:sz w:val="24"/>
          <w:szCs w:val="24"/>
          <w:rtl w:val="false"/>
        </w:rPr>
        <w:t xml:space="preserve">ATU 130), </w:t>
      </w:r>
      <w:r>
        <w:rPr>
          <w:rFonts w:ascii="Times New Roman" w:cs="David" w:eastAsia="David" w:hAnsi="Times New Roman"/>
          <w:i w:val="false"/>
          <w:iCs w:val="false"/>
          <w:sz w:val="24"/>
          <w:szCs w:val="24"/>
          <w:rtl/>
        </w:rPr>
        <w:t xml:space="preserve">שמנהיג את החיות המשוחררות.</w:t>
      </w:r>
      <w:r>
        <w:rPr>
          <w:rStyle w:val="FootnoteReference"/>
        </w:rPr>
        <w:footnoteReference w:id="21"/>
      </w:r>
      <w:r>
        <w:rPr>
          <w:rFonts w:ascii="Times New Roman" w:cs="David" w:eastAsia="David" w:hAnsi="Times New Roman"/>
          <w:i w:val="false"/>
          <w:iCs w:val="false"/>
          <w:sz w:val="24"/>
          <w:szCs w:val="24"/>
          <w:rtl/>
        </w:rPr>
        <w:t xml:space="preserve"> המסורת העממית משמרת אפוא את המתח שנמצא כבר במקרא: החמור הוא בעל החיים הנלעג ביותר ובעל החיים העמל ביותר. ברכיה בוחר בצד הלעג, אבל שלושת המשלים שמסתיימים בעבודה, בעבדות ובאבוס מזכירים גם את הצד השני.</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1.5 קורפוס משלי החמור: סיכום</w:t>
      </w:r>
    </w:p>
    <w:p>
      <w:pPr>
        <w:bidi/>
        <w:spacing w:after="120" w:before="0" w:line="360"/>
        <w:jc w:val="both"/>
      </w:pPr>
      <w:r>
        <w:rPr>
          <w:rFonts w:ascii="Times New Roman" w:cs="David" w:eastAsia="David" w:hAnsi="Times New Roman"/>
          <w:i w:val="false"/>
          <w:iCs w:val="false"/>
          <w:sz w:val="24"/>
          <w:szCs w:val="24"/>
          <w:rtl/>
        </w:rPr>
        <w:t xml:space="preserve">הטבלה שלהלן מרכזת את משלי החמור שנסקרו, את תוכנם בקצרה ואת התכונה שהחמור מייצג בכל אחד מהם. השורות האחרונות הן ארבעת המשלים של ברכיה שינותחו בפרקים 3 עד 6.</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472"/>
        <w:gridCol w:w="20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המשל</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המקור</w:t>
            </w:r>
          </w:p>
        </w:tc>
        <w:tc>
          <w:tcPr>
            <w:tcW w:type="dxa" w:w="3472"/>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במה עוסק המשל</w:t>
            </w:r>
          </w:p>
        </w:tc>
        <w:tc>
          <w:tcPr>
            <w:tcW w:type="dxa" w:w="20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התכונה שהחמור מייצג</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והכלבלב</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91; </w:t>
            </w:r>
            <w:r>
              <w:rPr>
                <w:rFonts w:ascii="Times New Roman" w:cs="David" w:eastAsia="David" w:hAnsi="Times New Roman"/>
                <w:b w:val="false"/>
                <w:bCs w:val="false"/>
                <w:i w:val="false"/>
                <w:iCs w:val="false"/>
                <w:sz w:val="20"/>
                <w:szCs w:val="20"/>
                <w:rtl w:val="false"/>
              </w:rPr>
              <w:t xml:space="preserve">ATU 214</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מקנא בכלב המחמד ומנסה לקפוץ על אדוניו. מוכה.</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קנאה, אי־ידיעת מקומו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בעור האריה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188; אביאנוס 5; </w:t>
            </w:r>
            <w:r>
              <w:rPr>
                <w:rFonts w:ascii="Times New Roman" w:cs="David" w:eastAsia="David" w:hAnsi="Times New Roman"/>
                <w:b w:val="false"/>
                <w:bCs w:val="false"/>
                <w:i w:val="false"/>
                <w:iCs w:val="false"/>
                <w:sz w:val="20"/>
                <w:szCs w:val="20"/>
                <w:rtl w:val="false"/>
              </w:rPr>
              <w:t xml:space="preserve">ATU 214B</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לובש עור אריה ומפחיד את הבריות עד שאוזניו או קולו מסגירים אותו.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התחזות, גאווה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האריה והחמור יוצאים לצוד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151; פדרוס א, יא</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נוער והחיות נסות אל האריה. כששואל אם קולו יפה, האריה עונה שרק מי שאינו מכירו נבהל ממנו.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התפארות בקול ריק</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נושא פסל האל</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182</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סבור שההשתחוויות לפסל שעל גבו מכוונות אליו.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הערכה עצמית מוטעית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נושא המלח</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180</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לומד שהמלח נמס במים, מנסה זאת עם ספוגים וטובע.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ערמה חסרת הבנה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האריה, השועל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כלילה ודמנה</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מתפתה פעמיים ללכת אל האריה ונטרף. "לא היו לו לב ואוזניים".</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פתיות שאינה לומדת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השור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אלף לילה ולילה, סיפור המסגרת</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מייעץ לשור להתחלות, והעבודה מוטלת על החמור.</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ערמומיות שמתהפכת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כלב ואדם (יד)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מחקה את הכלב, מפיל את אדוניו מכיסאו ומוכה עד אבוסו.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קנאה, שאיפה למעמד שאינו שלו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בעור ארי (מז)</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מולך על הארץ בעור אריה עד שאדוניו מזהה אותו ומפשיטו.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גאווה, התחזות, שכחת המוצא</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דבורים וצרעה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מזמין את הצרעה לקרב, סותם את נקביו בעצת האריה ונכנע.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זלזול בקטן, כוח בלי תחבולה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אריה וחמור (סה)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האריה מקרב את החמור לציד. החמור סבור שהוא משנה למלך, מתפאר בקולו, והאריה משיב לו בבוז.</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גאוות הקול, שכחת השפלות</w:t>
            </w:r>
          </w:p>
        </w:tc>
      </w:tr>
    </w:tbl>
    <w:p>
      <w:pPr>
        <w:spacing w:after="120"/>
      </w:pP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2: היוצר, הספר וההקדמה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2.1 רבי ברכיה בן נטרונאי הנקדן</w:t>
      </w:r>
    </w:p>
    <w:p>
      <w:pPr>
        <w:bidi/>
        <w:spacing w:after="120" w:before="0" w:line="360"/>
        <w:jc w:val="both"/>
      </w:pPr>
      <w:r>
        <w:rPr>
          <w:rFonts w:ascii="Times New Roman" w:cs="David" w:eastAsia="David" w:hAnsi="Times New Roman"/>
          <w:i w:val="false"/>
          <w:iCs w:val="false"/>
          <w:sz w:val="24"/>
          <w:szCs w:val="24"/>
          <w:rtl/>
        </w:rPr>
        <w:t xml:space="preserve">ברכיה בן נטרונאי הנקדן חי, ככל הנראה, בסוף המאה השתים עשרה ובראשית המאה השלוש עשרה, בין נורמנדי לאנגליה. ג'וזף ג'ייקובס הציע לזהותו עם "בנדיקטוס לה פונקטור" (</w:t>
      </w:r>
      <w:r>
        <w:rPr>
          <w:rFonts w:ascii="Times New Roman" w:cs="David" w:eastAsia="David" w:hAnsi="Times New Roman"/>
          <w:i w:val="false"/>
          <w:iCs w:val="false"/>
          <w:sz w:val="24"/>
          <w:szCs w:val="24"/>
          <w:rtl w:val="false"/>
        </w:rPr>
        <w:t xml:space="preserve">Benedictus le Puncteur), </w:t>
      </w:r>
      <w:r>
        <w:rPr>
          <w:rFonts w:ascii="Times New Roman" w:cs="David" w:eastAsia="David" w:hAnsi="Times New Roman"/>
          <w:i w:val="false"/>
          <w:iCs w:val="false"/>
          <w:sz w:val="24"/>
          <w:szCs w:val="24"/>
          <w:rtl/>
        </w:rPr>
        <w:t xml:space="preserve">יהודי מאוקספורד הנזכר במסמך אנגלי משנת 1194, והזיהוי מקובל על רוב החוקרים אף שאינו ודאי.</w:t>
      </w:r>
      <w:r>
        <w:rPr>
          <w:rStyle w:val="FootnoteReference"/>
        </w:rPr>
        <w:footnoteReference w:id="22"/>
      </w:r>
      <w:r>
        <w:rPr>
          <w:rFonts w:ascii="Times New Roman" w:cs="David" w:eastAsia="David" w:hAnsi="Times New Roman"/>
          <w:i w:val="false"/>
          <w:iCs w:val="false"/>
          <w:sz w:val="24"/>
          <w:szCs w:val="24"/>
          <w:rtl/>
        </w:rPr>
        <w:t xml:space="preserve"> הכינוי "הנקדן" מעיד על עיסוקו בניקוד ובמסורה, כלומר במלאכת הדיוק בטקסט המקראי, וזו עובדה חשובה להבנת סגנונו: אדם שמקצועו הוא הפסוק ניגש אל המשל החייתי מתוך הפסוק. מלבד משלי שועלים חיבר ברכיה את ספר המוסר "ספר המצרף", עיבד לעברית את "שאלות הטבע" של אדלרד מבאת' בשם "דודי ונכדי", ותרגם ספר על סגולות האבנים.</w:t>
      </w:r>
      <w:r>
        <w:rPr>
          <w:rStyle w:val="FootnoteReference"/>
        </w:rPr>
        <w:footnoteReference w:id="23"/>
      </w:r>
      <w:r>
        <w:rPr>
          <w:rFonts w:ascii="Times New Roman" w:cs="David" w:eastAsia="David" w:hAnsi="Times New Roman"/>
          <w:i w:val="false"/>
          <w:iCs w:val="false"/>
          <w:sz w:val="24"/>
          <w:szCs w:val="24"/>
          <w:rtl/>
        </w:rPr>
        <w:t xml:space="preserve"> הוא אפוא איש ביניים: בין התרבות הלטינית והצרפתית שסביבו ובין הספרייה העברית שבתוכו. הספרות הלטינית של ימי הביניים הכירה היטב את שירת החיות המדברות, ובמאה השתים עשרה פרחו בצרפת ובאנגליה קובצי משלים בלטינית ובצרפתית עתיקה.</w:t>
      </w:r>
      <w:r>
        <w:rPr>
          <w:rStyle w:val="FootnoteReference"/>
        </w:rPr>
        <w:footnoteReference w:id="24"/>
      </w:r>
      <w:r>
        <w:rPr>
          <w:rFonts w:ascii="Times New Roman" w:cs="David" w:eastAsia="David" w:hAnsi="Times New Roman"/>
          <w:i w:val="false"/>
          <w:iCs w:val="false"/>
          <w:sz w:val="24"/>
          <w:szCs w:val="24"/>
          <w:rtl/>
        </w:rPr>
        <w:t xml:space="preserve"> ברכיה כתב בתוך הפריחה הזאת, אך בעברית.</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2.2 הספר: משלי שועלים</w:t>
      </w:r>
    </w:p>
    <w:p>
      <w:pPr>
        <w:bidi/>
        <w:spacing w:after="120" w:before="0" w:line="360"/>
        <w:jc w:val="both"/>
      </w:pPr>
      <w:r>
        <w:rPr>
          <w:rFonts w:ascii="Times New Roman" w:cs="David" w:eastAsia="David" w:hAnsi="Times New Roman"/>
          <w:i w:val="false"/>
          <w:iCs w:val="false"/>
          <w:sz w:val="24"/>
          <w:szCs w:val="24"/>
          <w:rtl/>
        </w:rPr>
        <w:t xml:space="preserve">"משלי שועלים" הוא קובץ של כמאה ועשרים משלי חיות (119 במהדורת הברמן), שנדפס לראשונה במנטובה בשנת שי"ז (1557) ויצא במהדורה מדעית על ידי אברהם מאיר הברמן בשנת תש"ו. משה הדס תרגמו לאנגלית בשם "משלי איזופוס היהודי", וחיים שורצבוים הקדיש לו מחקר השוואתי מקיף שבו נבדקו המקבילות של כל משל ומשל בפולקלור העולמי.</w:t>
      </w:r>
      <w:r>
        <w:rPr>
          <w:rStyle w:val="FootnoteReference"/>
        </w:rPr>
        <w:footnoteReference w:id="25"/>
      </w:r>
      <w:r>
        <w:rPr>
          <w:rFonts w:ascii="Times New Roman" w:cs="David" w:eastAsia="David" w:hAnsi="Times New Roman"/>
          <w:i w:val="false"/>
          <w:iCs w:val="false"/>
          <w:sz w:val="24"/>
          <w:szCs w:val="24"/>
          <w:rtl/>
        </w:rPr>
        <w:t xml:space="preserve"> השם עצמו לקוח מן התלמוד: על רבי מאיר נאמר שהיו לו שלוש מאות משלי שועלים (בבלי סנהדרין לח ע"ב), ועל רבן יוחנן בן זכאי שידע "משלות שועלים" (בבלי סוכה כח ע"א). ברכיה מציב את עצמו במודע כממשיך המסורת הזאת, אף על פי שרוב משליו לקוחים ממקורות לטיניים וצרפתיים: קובצי "רומולוס", שהם העיבודים הלטיניים של פדרוס, משלי אביאנוס, וכנראה גם קובץ המשלים הצרפתי של מארי דה פראנס. שורצבוים הראה שברכיה לא תרגם אלא עיבד: הוא משנה סיומים, מוסיף נמשלים, ומחליף את הצבע האלילי בצבע מקראי.</w:t>
      </w:r>
      <w:r>
        <w:rPr>
          <w:rStyle w:val="FootnoteReference"/>
        </w:rPr>
        <w:footnoteReference w:id="26"/>
      </w:r>
    </w:p>
    <w:p>
      <w:pPr>
        <w:bidi/>
        <w:spacing w:after="120" w:before="0" w:line="360"/>
        <w:jc w:val="both"/>
      </w:pPr>
      <w:r>
        <w:rPr>
          <w:rFonts w:ascii="Times New Roman" w:cs="David" w:eastAsia="David" w:hAnsi="Times New Roman"/>
          <w:i w:val="false"/>
          <w:iCs w:val="false"/>
          <w:sz w:val="24"/>
          <w:szCs w:val="24"/>
          <w:rtl/>
        </w:rPr>
        <w:t xml:space="preserve">המבנה של כל משל קבוע ברובו. הוא נפתח בחרוז מוסרי קצר, שהוא מעין כותרת רעיונית. אחריו בא גוף הסיפור בפרוזה מחורזת. "והמשל" הוא הנמשל, שבו מפרש המחבר את הסיפור על בני אדם. במשלים רבים באה גם חתימה בשיר שקול קצר הפותח ב"ואשא משלי ואומר". שניים מארבעת המשלים הנדונים בעבודה מכילים את כל ארבעת החלקים; במשל הצרעה ובמשל סה אין שיר חותם. הסגנון הוא פרוזה מחורזת שכמעט כל צלע שלה נשענת על שיבוץ, כלומר על שילוב לשון המקרא בתוך משפט חדש, לעיתים תוך שינוי משמעות. דן פגיס תיאר את השיבוץ כאמצעי מרכזי בפואטיקה העברית של ימי הביניים, שבו הקורא המשכיל מזהה את הפסוק ונהנה מן הפער בין ההקשר המקורי ובין ההקשר החדש.</w:t>
      </w:r>
      <w:r>
        <w:rPr>
          <w:rStyle w:val="FootnoteReference"/>
        </w:rPr>
        <w:footnoteReference w:id="27"/>
      </w:r>
      <w:r>
        <w:rPr>
          <w:rFonts w:ascii="Times New Roman" w:cs="David" w:eastAsia="David" w:hAnsi="Times New Roman"/>
          <w:i w:val="false"/>
          <w:iCs w:val="false"/>
          <w:sz w:val="24"/>
          <w:szCs w:val="24"/>
          <w:rtl/>
        </w:rPr>
        <w:t xml:space="preserve"> במשלי שועלים הפער הזה הוא לב העניין. כשחמור מדבר בלשונו של רחבעם, הקורא יודע איך זה ייגמר.</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2.3 הקדמת המחבר</w:t>
      </w:r>
    </w:p>
    <w:p>
      <w:pPr>
        <w:bidi/>
        <w:spacing w:after="120" w:before="0" w:line="360"/>
        <w:jc w:val="both"/>
      </w:pPr>
      <w:r>
        <w:rPr>
          <w:rFonts w:ascii="Times New Roman" w:cs="David" w:eastAsia="David" w:hAnsi="Times New Roman"/>
          <w:i w:val="false"/>
          <w:iCs w:val="false"/>
          <w:sz w:val="24"/>
          <w:szCs w:val="24"/>
          <w:rtl/>
        </w:rPr>
        <w:t xml:space="preserve">ברכיה פותח את ספרו בהקדמה מחורזת שבה הוא מסביר מדוע כתב. בלשון קודרת הוא מתאר דור שבו המשפט נהפך ואיש ישר אין, דור שגלגל המזל מרים בו שפלים ומשפיל גבוהים, ומצהיר שהמשלים נועדו להוכיח את בני דורו בדרך עקיפה, שכן תוכחה ישירה אינה נשמעת.</w:t>
      </w:r>
      <w:r>
        <w:rPr>
          <w:rStyle w:val="FootnoteReference"/>
        </w:rPr>
        <w:footnoteReference w:id="28"/>
      </w:r>
      <w:r>
        <w:rPr>
          <w:rFonts w:ascii="Times New Roman" w:cs="David" w:eastAsia="David" w:hAnsi="Times New Roman"/>
          <w:i w:val="false"/>
          <w:iCs w:val="false"/>
          <w:sz w:val="24"/>
          <w:szCs w:val="24"/>
          <w:rtl/>
        </w:rPr>
        <w:t xml:space="preserve"> הוא מודה שהמשלים מצויים בכל לשון, אך טוען שהוא הוסיף עליהם ותיקנם. שתי נקודות בהקדמה חשובות לענייננו. הראשונה היא ההצדקה הדתית של הז'אנר: ברכיה נשען על שלמה, שאף הוא "וידבר על הבהמה ועל העוף" (מלכים א ה, יג), ועל משלי החכמים. השנייה היא הנימה החברתית: הרעה שבדור היא בעיקר גאוותם של מי שעלו לגדולה שלא בזכות. ארבעת משלי החמור שנבחרו לעבודה עוסקים בדיוק בכך, ואפשר לקרוא אותם כיישום של ההקדמה.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2.4 ארבעת המשלים הנבחרים: סקירה ונמשל</w:t>
      </w:r>
    </w:p>
    <w:p>
      <w:pPr>
        <w:bidi/>
        <w:spacing w:after="120" w:before="0" w:line="360"/>
        <w:jc w:val="both"/>
      </w:pPr>
      <w:r>
        <w:rPr>
          <w:rFonts w:ascii="Times New Roman" w:cs="David" w:eastAsia="David" w:hAnsi="Times New Roman"/>
          <w:i w:val="false"/>
          <w:iCs w:val="false"/>
          <w:sz w:val="24"/>
          <w:szCs w:val="24"/>
          <w:rtl/>
        </w:rPr>
        <w:t xml:space="preserve">"חמור, דבורים וצרעה". צרעה נכנסת לאוזנו של חמור. החמור, שאינו יכול לשאת את הזמזום, קורא לה לצאת ולהילחם בו פנים אל פנים, ונקבע מועד לקרב בין עדת הדבורים לחבורת החמורים. החמור נמלך באריה, והאריה מייעץ לו לסתום ברצועות את כל נקביו. במועד הקרב הצרעות מגלות שכל חור סתום, מתחבאות תחת הבטן ועוקצות שם. החמורים מתחככים בעצים עד שהרצועות ניתקות, הצרעות חודרות לחורים, והחמורים נכנעים: "הננו לכם לעבדים". הנמשל: המתגאה בגובהו ייכשל בידי הקטן בעל התחבולות, ואל יאמר אדם לקטן ממנו "קטני עבה ממתניך". החמור מייצג כאן את הכוח הגס שמזלזל בקטן ממנו.</w:t>
      </w:r>
    </w:p>
    <w:p>
      <w:pPr>
        <w:bidi/>
        <w:spacing w:after="120" w:before="0" w:line="360"/>
        <w:jc w:val="both"/>
      </w:pPr>
      <w:r>
        <w:rPr>
          <w:rFonts w:ascii="Times New Roman" w:cs="David" w:eastAsia="David" w:hAnsi="Times New Roman"/>
          <w:i w:val="false"/>
          <w:iCs w:val="false"/>
          <w:sz w:val="24"/>
          <w:szCs w:val="24"/>
          <w:rtl/>
        </w:rPr>
        <w:t xml:space="preserve">"חמור בעור ארי" (משל מז). חמור מוצא עור אריה מופשט, לובש אותו ומטיל אימה על החיות, על הרועים ועל עובדי האדמה. הוא מסרב לחזור אל אדוניו ולשאת משא. אדוניו יוצא לחפשו, מזהה אותו על פי קומתו, זנבו ואוזניו, נוזף בו בנאום ארוך, מפשיט ממנו את העור ומעניש אותו במשא כפול. הנמשל: בן בליעל חסר שם שרוח גאווה נכנסה בו, שמכבדים אותו רק בגלל לבושו, ושכבודו יומר בקלון ברגע שיוכר מומו. החמור מייצג התחזות וגאווה של מי ששכח מאין בא.</w:t>
      </w:r>
    </w:p>
    <w:p>
      <w:pPr>
        <w:bidi/>
        <w:spacing w:after="120" w:before="0" w:line="360"/>
        <w:jc w:val="both"/>
      </w:pPr>
      <w:r>
        <w:rPr>
          <w:rFonts w:ascii="Times New Roman" w:cs="David" w:eastAsia="David" w:hAnsi="Times New Roman"/>
          <w:i w:val="false"/>
          <w:iCs w:val="false"/>
          <w:sz w:val="24"/>
          <w:szCs w:val="24"/>
          <w:rtl/>
        </w:rPr>
        <w:t xml:space="preserve">"חמור, כלב ואדם" (משל יד). כלב קטן חי בבית פקיד, אוכל מפתו ושוכב בחיקו. החמור שבבית מקנא ומחליט לעשות כמוהו: הוא רץ אל אדוניו, מלקק אותו, מחבק אותו ברגליו ונוער עליו עד שהוא מפיל אותו מכיסאו. האדון זועק, וכל בני הבית מכים את החמור ורודפים אותו עד אבוסו. הנמשל: איש גבה לב שרוצה למשול ונופל פתאום. החמור מייצג קנאה ואי־ידיעת מקומו, וברכיה חותם בהזכרת שאול, שיצא לחפש אתונות ומצא מלוכה.</w:t>
      </w:r>
    </w:p>
    <w:p>
      <w:pPr>
        <w:bidi/>
        <w:spacing w:after="120" w:before="0" w:line="360"/>
        <w:jc w:val="both"/>
      </w:pPr>
      <w:r>
        <w:rPr>
          <w:rFonts w:ascii="Times New Roman" w:cs="David" w:eastAsia="David" w:hAnsi="Times New Roman"/>
          <w:i w:val="false"/>
          <w:iCs w:val="false"/>
          <w:sz w:val="24"/>
          <w:szCs w:val="24"/>
          <w:rtl/>
        </w:rPr>
        <w:t xml:space="preserve">"אריה וחמור" (משל סה). האריה קורא לחמור להראות לו את יקר תפארת גדולתו ולוקח אותו לציד. החמור מתגאה בלבו שהמלך בחר בו וכבר רואה את עצמו משנה למלך. הוא מבטיח להפחיד את הבהמות בקולו, והאריה מחלק ביניהם את התפקידים: החמור ישאג והאריה יטרוף. הנעירה מבריחה את הצאן והבקר, האריה טורף ושובע, ומצווה על החמור להפסיק. ליד הנבלה החמור מתפאר בקולו וברעמתו ומבקש להתמנות לצייד קבוע. האריה משיב: מי שמכיר את מוצאו אינו נבהל מקולו, ובזוי וקשה עורף כמוהו לא יצוד טרף ללביא; עוד יאמרו גוריו איך טרף בצאן ולא שבר את החמור. הנמשל: איש נכבד שמקרב אליו בזוי ונקלה, והבזוי מתגאה ואינו מכיר את שפלותו, ולשונו מדברת גדולות. תשובת החכם לכסיל היא שתיקה. החמור מייצג התפארות בקול ריק ושכחת השפלות.</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3: "חמור, דבורים וצרעה": 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3.1 מבנה המשל ומהלך העלילה</w:t>
      </w:r>
    </w:p>
    <w:p>
      <w:pPr>
        <w:bidi/>
        <w:spacing w:after="120" w:before="0" w:line="360"/>
        <w:jc w:val="both"/>
      </w:pPr>
      <w:r>
        <w:rPr>
          <w:rFonts w:ascii="Times New Roman" w:cs="David" w:eastAsia="David" w:hAnsi="Times New Roman"/>
          <w:i w:val="false"/>
          <w:iCs w:val="false"/>
          <w:sz w:val="24"/>
          <w:szCs w:val="24"/>
          <w:rtl/>
        </w:rPr>
        <w:t xml:space="preserve">המשל נפתח בחרוז המוסרי "אל תהי בז לכל דבר / כי לכל עת וזמן יגבר", ובנוי משלוש תנועות. הראשונה היא המצוקה: צרעה נחבאת באוזנו של החמור, והחמור רועש וגועש, מואס בחייו ונושא נאום. השנייה היא האתגר והעצה: החמור קורא לצרעה לצאת לקרב גלוי, הצרעה נענית בשמחה, נקבע מועד, והחמור הולך להימלך באריה שמייעץ לו לסתום את נקביו. השלישית היא הקרב והכניעה: הצרעות מוצאות את הפרצה, החמורים מנתקים בעצמם את הרצועות שהגנו עליהם, ונכנעים.</w:t>
      </w:r>
    </w:p>
    <w:p>
      <w:pPr>
        <w:bidi/>
        <w:spacing w:after="120" w:before="0" w:line="360"/>
        <w:jc w:val="both"/>
      </w:pPr>
      <w:r>
        <w:rPr>
          <w:rFonts w:ascii="Times New Roman" w:cs="David" w:eastAsia="David" w:hAnsi="Times New Roman"/>
          <w:i w:val="false"/>
          <w:iCs w:val="false"/>
          <w:sz w:val="24"/>
          <w:szCs w:val="24"/>
          <w:rtl/>
        </w:rPr>
        <w:t xml:space="preserve">שני דברים בולטים במבנה. הראשון הוא ההתנפחות: מה שמתחיל כצרעה אחת באוזן של חמור אחד הופך למלחמה בין שני עמים, "עדת דבורים" מול "חבורת החמורים", עם מועד קבוע ומערכות ערוכות. החמור הוא שמנפח את העניין, וברכיה נותן לניפוח הזה צורה של דיפלומטיה מלחמתית. השני הוא מקומו של האריה. במשלי איזופוס האריה הוא לרוב הכוח הטורף; כאן הוא היועץ, מלך שמייעץ לנתינו. עצתו אינה טיפשית בפני עצמה, אך היא עצה של גדול שאינו מבין את דרכו של הקטן: לסתום את הגוף כולו. הכישלון אינו כישלון של האריה אלא של החמורים, שאינם מסוגלים לעמוד בעצה שקיבלו ומתחככים בעצים עד שהם מפרקים במו גופם את מגננתם.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3.2 השיבוצים</w:t>
      </w:r>
    </w:p>
    <w:p>
      <w:pPr>
        <w:bidi/>
        <w:spacing w:after="120" w:before="0" w:line="360"/>
        <w:jc w:val="both"/>
      </w:pPr>
      <w:r>
        <w:rPr>
          <w:rFonts w:ascii="Times New Roman" w:cs="David" w:eastAsia="David" w:hAnsi="Times New Roman"/>
          <w:i w:val="false"/>
          <w:iCs w:val="false"/>
          <w:sz w:val="24"/>
          <w:szCs w:val="24"/>
          <w:rtl/>
        </w:rPr>
        <w:t xml:space="preserve">החרוז הפותח מלחים שני מקורות. "אל תהי בז לכל דבר" הוא לשונו של בן עזאי במשנה: "אל תהי בז לכל אדם ואל תהי מפליג לכל דבר, שאין לך אדם שאין לו שעה ואין לך דבר שאין לו מקום" (משנה אבות ד, ג). "כי לכל עת וזמן" מהדהד את "לכל זמן ועת לכל חפץ" (קהלת ג, א). המשנה מספקת את המסר, שגם לקטן יש שעה, וקהלת מספק את הצליל. הצרעה היא "הדבר" שיש לו שעה ומקום, ומקומה הוא, כפשוטו, אוזנו של החמור.</w:t>
      </w:r>
    </w:p>
    <w:p>
      <w:pPr>
        <w:bidi/>
        <w:spacing w:after="120" w:before="0" w:line="360"/>
        <w:jc w:val="both"/>
      </w:pPr>
      <w:r>
        <w:rPr>
          <w:rFonts w:ascii="Times New Roman" w:cs="David" w:eastAsia="David" w:hAnsi="Times New Roman"/>
          <w:i w:val="false"/>
          <w:iCs w:val="false"/>
          <w:sz w:val="24"/>
          <w:szCs w:val="24"/>
          <w:rtl/>
        </w:rPr>
        <w:t xml:space="preserve">נאומו של החמור מורכב מלשונות מלכים. "אין זה כי אם רוח רעה" מזכיר את הרוח הרעה שבעתה את שאול (שמואל א טז, יד-טו), והצרעה באוזן היא אכן מעין רוח רעה שאין להיפטר ממנה. אבל השיבוץ המרכזי הוא "צאי נא והלחם בי / ונתראה פנים אל פנים". זו לשונו של אמציה מלך יהודה, ששלח אל יהואש מלך ישראל: "לכה נתראה פנים" (מלכים ב יד, ח). יהואש השיב לו במשל, משל החוח והארז: החוח שבלבנון ביקש את בת הארז לבנו, ועברה חיית השדה ורמסה את החוח. והוסיף: "הכה הכית את אדום ונשאך לבך, הכבד ושב בביתך ולמה תתגרה ברעה ונפלת" (שם, ט-י). אמציה לא שמע, יצא לקרב והובס. ברכיה שם בפי החמור את מילותיו של המלך שסירב להקשיב למשל, ובכך מכניס לתוך המשל שלו משל מקראי על קטן שהתגרה בגדול ונרמס, אך הפוך: אצל ברכיה הקטן מנצח. הקורא שמזהה את הפסוק יודע שמי שאומר "נתראה פנים" יפסיד.</w:t>
      </w:r>
    </w:p>
    <w:p>
      <w:pPr>
        <w:bidi/>
        <w:spacing w:after="120" w:before="0" w:line="360"/>
        <w:jc w:val="both"/>
      </w:pPr>
      <w:r>
        <w:rPr>
          <w:rFonts w:ascii="Times New Roman" w:cs="David" w:eastAsia="David" w:hAnsi="Times New Roman"/>
          <w:i w:val="false"/>
          <w:iCs w:val="false"/>
          <w:sz w:val="24"/>
          <w:szCs w:val="24"/>
          <w:rtl/>
        </w:rPr>
        <w:t xml:space="preserve">"מערכה מול מערכה" לקוח ממלחמת דוד וגלית: "ויערכו ישראל ופלשתים מערכה לקראת מערכה" (שמואל א יז, כא). גם שם קטן ניצח גדול, וגם שם הגדול לעג לקטן. עצת האריה, "איעצך ושמע בקולי", היא עצת יתרו למשה: "עתה שמע בקלי איעצך" (שמות יח, יט). ההשוואה בין האריה ליתרו מגחיכה את האריה, שעצתו, שלא כעצת יתרו, מכשילה. "ואתה תאזר מתניך" הוא ציווי ה' לירמיהו (ירמיהו א, יז), ו"מחצצים" הוא מילה נדירה משירת דבורה (שופטים ה, יא). כל אלה בונים סביב הקרב הנלעג מסגרת של מלחמת קודש.</w:t>
      </w:r>
    </w:p>
    <w:p>
      <w:pPr>
        <w:bidi/>
        <w:spacing w:after="120" w:before="0" w:line="360"/>
        <w:jc w:val="both"/>
      </w:pPr>
      <w:r>
        <w:rPr>
          <w:rFonts w:ascii="Times New Roman" w:cs="David" w:eastAsia="David" w:hAnsi="Times New Roman"/>
          <w:i w:val="false"/>
          <w:iCs w:val="false"/>
          <w:sz w:val="24"/>
          <w:szCs w:val="24"/>
          <w:rtl/>
        </w:rPr>
        <w:t xml:space="preserve">שיא השיבוצים נמצא בסיום. "ומתנכלים עליהם להמיתם" הוא לשון אחי יוסף: "ויתנכלו אתו להמיתו" (בראשית לז, יח). "עד אשר נתקו מוסרותם" מהדהד את "ננתקה את מוסרותימו" (תהלים ב, ג), אך בהיפוך: בתהלים הגויים מורדים ומנתקים את מוסרות ה', ואילו כאן החמורים מנתקים את הרצועות שהגנו עליהם ומביאים על עצמם את מפלתם. "ויכנע בעמל לבם" הוא ציטוט מדויק מתהלים קז, יב. "לא נהיה עוד ממרים וסוררים" נשען על "בן סורר ומורה" (דברים כא, יח) ועל "דור סורר ומרה" (תהלים עח, ח). והכניעה עצמה, "הננו לכם לעבדים", היא לשון אחי יוסף כשנפלו לפניו: "הננו לך לעבדים" (בראשית נ, יח). ברכיה משתמש בשני קצותיו של סיפור יוסף: החמורים מתנכלים כמו האחים בראשיתו ונכנעים כמו האחים בסופו. הקורא שמכיר את הסיפור מבין שמי שמתנכל יגיע ל"הננו לעבדים".</w:t>
      </w:r>
    </w:p>
    <w:p>
      <w:pPr>
        <w:bidi/>
        <w:spacing w:after="120" w:before="0" w:line="360"/>
        <w:jc w:val="both"/>
      </w:pPr>
      <w:r>
        <w:rPr>
          <w:rFonts w:ascii="Times New Roman" w:cs="David" w:eastAsia="David" w:hAnsi="Times New Roman"/>
          <w:i w:val="false"/>
          <w:iCs w:val="false"/>
          <w:sz w:val="24"/>
          <w:szCs w:val="24"/>
          <w:rtl/>
        </w:rPr>
        <w:t xml:space="preserve">הנמשל שואב את דימוייו מיחזקאל לא, נבואת הארז על אשור: "יען אשר גבהת בקומה ויתן צמרתו אל בין עבותים ורם לבבו בגבהו" (יחזקאל לא, י). "המתגאה בגבהו וברב דליותיו" הוא ארז הלבנון של יחזקאל, וכאן נסגר מעגל עם משל החוח והארז של יהואש. "אל תחטיא בשרך בלשונך" הוא קהלת ה, ה: "אל תתן את פיך לחטיא את בשרך". ואילו "קטני עבה ממתניך" הוא המשפט שיעצו הילדים לרחבעם לומר לעם: "קטני עבה ממתני אבי" (מלכים א יב, י), המשפט שפילג את הממלכה. "כי הרבה נוקשו ונשברו" הוא ישעיהו ח, טו: "וכשלו בם רבים ונפלו ונשברו ונוקשו ונלכדו". הנמשל מציב אפוא את החמור בשורה אחת עם אמציה, עם רחבעם ועם אשור: שלושה שגאוותם הפילה אותם, ושניים מהם נפלו בגלל מילה שאמרו לקטן מהם.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3.3 הפואטיקה של המשל</w:t>
      </w:r>
    </w:p>
    <w:p>
      <w:pPr>
        <w:bidi/>
        <w:spacing w:after="120" w:before="0" w:line="360"/>
        <w:jc w:val="both"/>
      </w:pPr>
      <w:r>
        <w:rPr>
          <w:rFonts w:ascii="Times New Roman" w:cs="David" w:eastAsia="David" w:hAnsi="Times New Roman"/>
          <w:i w:val="false"/>
          <w:iCs w:val="false"/>
          <w:sz w:val="24"/>
          <w:szCs w:val="24"/>
          <w:rtl/>
        </w:rPr>
        <w:t xml:space="preserve">המשל עוסק ברעש, והחרוז שלו מרעיש. "וירעש ויגעש ובקולו נועֵר / הנה והנה הולך וסֹעֵר": ארבעה פעלים של רעש בשתי צלעות, שכולם נשמעים כמו נעירה. הקורא שומע את ההמולה שהחמור שומע. החריזה על סיומות הרבים, "דבורים / חמורים / סודרים / נקיקים / מתחזקים / לוחצים / נפרצים", בונה את ההמון, את הריבוי של הצרעות שנכנסות בכל חור. הצלעות קצרות, ולעיתים קצרות מאוד, "כל חור וחור / פנים ואחור", וקצב הצלעות מחקה את העקיצות.</w:t>
      </w:r>
    </w:p>
    <w:p>
      <w:pPr>
        <w:bidi/>
        <w:spacing w:after="120" w:before="0" w:line="360"/>
        <w:jc w:val="both"/>
      </w:pPr>
      <w:r>
        <w:rPr>
          <w:rFonts w:ascii="Times New Roman" w:cs="David" w:eastAsia="David" w:hAnsi="Times New Roman"/>
          <w:i w:val="false"/>
          <w:iCs w:val="false"/>
          <w:sz w:val="24"/>
          <w:szCs w:val="24"/>
          <w:rtl/>
        </w:rPr>
        <w:t xml:space="preserve">הדיאלוג מנוגד בכוונה. החמור נושא נאום מפואר ומלא שאלות רטוריות: "היש לך כח ואונים / לצאת ולאסף עדת דבורים". הצרעה עונה בקצרה ובשמחה: "מי יתן והיה ככה". הגדול מרבה מילים והקטן ממעט, והמיעוט מנצח. האריה פותח את עצתו במילה "האזן". זה משחק מילים שברכיה אינו מסביר: החמור, שצרתו כולה באוזן, נדרש להאזין, והוא מאזין דווקא לעצה שתכשילו. הצרעה שבאוזן והעצה שבאוזן הן שני פנים של אותו כישלון בשמיעה.</w:t>
      </w:r>
    </w:p>
    <w:p>
      <w:pPr>
        <w:bidi/>
        <w:spacing w:after="120" w:before="0" w:line="360"/>
        <w:jc w:val="both"/>
      </w:pPr>
      <w:r>
        <w:rPr>
          <w:rFonts w:ascii="Times New Roman" w:cs="David" w:eastAsia="David" w:hAnsi="Times New Roman"/>
          <w:i w:val="false"/>
          <w:iCs w:val="false"/>
          <w:sz w:val="24"/>
          <w:szCs w:val="24"/>
          <w:rtl/>
        </w:rPr>
        <w:t xml:space="preserve">יש במשל גם קומדיה גופנית גסה. "סתם וסגר ברצועות כל נקביך", "תחת הבטן נתחבאו", "כל חור וחור פנים ואחור": הגוף של החמור מוצג כאוסף של פתחים, והצבא הגדול מובס דרך הפתחים הקטנים. ההגזמה של החמור, שהפך צרעה למלחמה, מקבלת גמול בהגזמה של המספר, שהופך את הגוף לשדה קרב. ומעל הכול שולטת האירוניה של ההבטחה: האריה מבטיח "ומשלת בם ובך לא ימשלו", והמשל מסתיים ב"הננו לכם לעבדים".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3.4 הקשר בין המשל לנמשל</w:t>
      </w:r>
    </w:p>
    <w:p>
      <w:pPr>
        <w:bidi/>
        <w:spacing w:after="120" w:before="0" w:line="360"/>
        <w:jc w:val="both"/>
      </w:pPr>
      <w:r>
        <w:rPr>
          <w:rFonts w:ascii="Times New Roman" w:cs="David" w:eastAsia="David" w:hAnsi="Times New Roman"/>
          <w:i w:val="false"/>
          <w:iCs w:val="false"/>
          <w:sz w:val="24"/>
          <w:szCs w:val="24"/>
          <w:rtl/>
        </w:rPr>
        <w:t xml:space="preserve">הנמשל של ברכיה כללי: המתגאה בגובהו ייפול בידי הקטן בעל התחבולות, ואל יאמר אדם לקטן ממנו את דברי רחבעם. הסיפור אומר יותר מזה. הוא מוסיף את היועץ החזק שאינו מבין את הקטן; הוא מוסיף את העונש הקיבוצי, שכל החמורים נכנעים בגלל גאוותו של אחד; והוא מוסיף את המוטיב של האוזן ושל ההאזנה, שהנמשל אינו מזכיר כלל. אפשר לומר שהנמשל מתרגם את המשל ללשון החברה, לגדול ולקטן, ואילו המשל עצמו שומר על שכבה נוספת: השכבה של מי שאינו מסוגל להקשיב, ולכן מנפח את הקטן עד שהקטן מנצח אותו באמת.</w:t>
      </w:r>
    </w:p>
    <w:p>
      <w:pPr>
        <w:bidi/>
        <w:spacing w:after="120" w:before="0" w:line="360"/>
        <w:jc w:val="both"/>
      </w:pPr>
      <w:r>
        <w:rPr>
          <w:rFonts w:ascii="Times New Roman" w:cs="David" w:eastAsia="David" w:hAnsi="Times New Roman"/>
          <w:i w:val="false"/>
          <w:iCs w:val="false"/>
          <w:sz w:val="24"/>
          <w:szCs w:val="24"/>
          <w:rtl/>
        </w:rPr>
        <w:t xml:space="preserve">התכונה שהחמור מייצג כאן אינה טיפשות. החמור אינו טיפש: הוא מארגן, קובע מועד, נמלך במלך, מתכונן. הוא מייצג את הכוח שאין לו תחבולה, את הגוף הגדול שאינו יכול לעמוד בגירוי קטן. הנמשל אומר זאת במפורש כשהוא נותן לקטן את "סבות תחבולותיו" ולגדול רק את "גבהו". גדול בגוף וקטן בתחבולה, זה החמור.</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4: "חמור בעור ארי" (משל מז): 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4.1 מבנה המשל ומהלך העלילה</w:t>
      </w:r>
    </w:p>
    <w:p>
      <w:pPr>
        <w:bidi/>
        <w:spacing w:after="120" w:before="0" w:line="360"/>
        <w:jc w:val="both"/>
      </w:pPr>
      <w:r>
        <w:rPr>
          <w:rFonts w:ascii="Times New Roman" w:cs="David" w:eastAsia="David" w:hAnsi="Times New Roman"/>
          <w:i w:val="false"/>
          <w:iCs w:val="false"/>
          <w:sz w:val="24"/>
          <w:szCs w:val="24"/>
          <w:rtl/>
        </w:rPr>
        <w:t xml:space="preserve">החרוז הפותח, "אם רוח גאוה נשבה בו / רוח חכמה אין בקרבו", מציב את שני המושגים שהמשל ינוע ביניהם: גאווה וחוכמה, כשתי רוחות שאינן שוכנות יחד בגוף אחד. העלילה בנויה בארבע תנועות. הראשונה היא המציאה וההתלבשות: החמור יוצא מבית אדוניו לרעות, מוצא עור אריה, פורש אותו על גופו, ולבו רם. השנייה היא האימה בארץ, וזו התנועה הארוכה ביותר: רועים עוזבים צאן, עובדי אדמה נסים, איש צועק לאחיו, וקול נשמע לאסוף חרב ורומח לצוד את האריה. השלישית היא החיפוש וההכרה: האדון יוצא, מכסה פניו באדרתו, רואה את "האריה" ומזהה בו את חמורו לפי קומתו, זנבו ואוזניו. הרביעית היא הנאום והעונש: האדון נושא נאום תוכחה ארוך, מצווה על החמור להוריד את עדיו, והחמור "לוקח כפליים במריו".</w:t>
      </w:r>
    </w:p>
    <w:p>
      <w:pPr>
        <w:bidi/>
        <w:spacing w:after="120" w:before="0" w:line="360"/>
        <w:jc w:val="both"/>
      </w:pPr>
      <w:r>
        <w:rPr>
          <w:rFonts w:ascii="Times New Roman" w:cs="David" w:eastAsia="David" w:hAnsi="Times New Roman"/>
          <w:i w:val="false"/>
          <w:iCs w:val="false"/>
          <w:sz w:val="24"/>
          <w:szCs w:val="24"/>
          <w:rtl/>
        </w:rPr>
        <w:t xml:space="preserve">מה שמייחד את המשל של ברכיה לעומת איזופוס ואביאנוס הוא היחס בין הגילוי לעונש. אצל איזופוס החמור נחשף בגלל קולו או אוזניו, ובזה נגמר המשל. אצל ברכיה הגילוי הוא ראשיתו של נאום. יותר מרבע מן המשל הוא דברי האדון אל החמור, ונאום זה הוא הנושא העיקרי של הניתוח.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4.2 השיבוצים</w:t>
      </w:r>
    </w:p>
    <w:p>
      <w:pPr>
        <w:bidi/>
        <w:spacing w:after="120" w:before="0" w:line="360"/>
        <w:jc w:val="both"/>
      </w:pPr>
      <w:r>
        <w:rPr>
          <w:rFonts w:ascii="Times New Roman" w:cs="David" w:eastAsia="David" w:hAnsi="Times New Roman"/>
          <w:i w:val="false"/>
          <w:iCs w:val="false"/>
          <w:sz w:val="24"/>
          <w:szCs w:val="24"/>
          <w:rtl/>
        </w:rPr>
        <w:t xml:space="preserve">מיד עם ההתלבשות מופיע שיבוץ שמגדיר את החמור: "וירם לבבו ובגאוה ילך הלוך / מתנשא לאמר: אני אמלוך". זו לשון הכתוב על אדוניה בן חגית: "ואדניה בן חגית מתנשא לאמר אני אמלך" (מלכים א א, ה). אדוניה הוא הבן שלקח לעצמו מלכות שלא ניתנה לו, ואיבד בסוף את חייו. החמור מקבל אפוא, במילה הראשונה שהוא אומר, את זהותו של המתיימר למלכות. מיד אחר כך בא הפסוק שנותן לעבודה את שמה: "וחמור אבוס בעליו / לא ידע". ברכיה חוצה את הפסוק מישעיהו א, ג בשתי צלעות, כך שהחרוז מפריד בין "בעליו" ל"לא ידע", ובאותה חציה הופך את משמעותו: החמור של ישעיהו יודע את אבוס בעליו, והחמור של ברכיה אינו יודע. "עם אדניו הלך בקרי" הוא לשון התוכחה שבויקרא כו, כא, "ואם תלכו עמי קרי", והפסוק הזה מציב מאחורי האדון את הקדוש ברוך הוא. מרד החמור באדוניו נעשה, ברמז, מרד ישראל באלוהיו.</w:t>
      </w:r>
    </w:p>
    <w:p>
      <w:pPr>
        <w:bidi/>
        <w:spacing w:after="120" w:before="0" w:line="360"/>
        <w:jc w:val="both"/>
      </w:pPr>
      <w:r>
        <w:rPr>
          <w:rFonts w:ascii="Times New Roman" w:cs="David" w:eastAsia="David" w:hAnsi="Times New Roman"/>
          <w:i w:val="false"/>
          <w:iCs w:val="false"/>
          <w:sz w:val="24"/>
          <w:szCs w:val="24"/>
          <w:rtl/>
        </w:rPr>
        <w:t xml:space="preserve">פחד הבריות מתואר במילותיה של מכת הברד. "שלח העז את מקנך / כי את אשר ימצא בשדה לא יחיה" הוא כמעט מילה במילה שמות ט, יט: "שלח העז את מקנך ואת כל אשר לך בשדה, כל האדם והבהמה אשר ימצא בשדה... ומתו". החמור המחופש הוא מכה ממכות מצרים. הקול הנשמע, "עלה אריה מסבכו", הוא ירמיהו ד, ז על נבוכדנאצר, ו"שימו איש חרבו על ירכו" הוא ציווי משה ללוויים אחרי חטא העגל (שמות לב, כז). זה השיבוץ הראשון מבין שלושה מפרשת העגל, והוא אינו מקרי: העם מתאזר נגד חיה כוזבת, כמו הלוויים שהתאזרו נגד עגל הזהב.</w:t>
      </w:r>
    </w:p>
    <w:p>
      <w:pPr>
        <w:bidi/>
        <w:spacing w:after="120" w:before="0" w:line="360"/>
        <w:jc w:val="both"/>
      </w:pPr>
      <w:r>
        <w:rPr>
          <w:rFonts w:ascii="Times New Roman" w:cs="David" w:eastAsia="David" w:hAnsi="Times New Roman"/>
          <w:i w:val="false"/>
          <w:iCs w:val="false"/>
          <w:sz w:val="24"/>
          <w:szCs w:val="24"/>
          <w:rtl/>
        </w:rPr>
        <w:t xml:space="preserve">האדון יוצא "וילט באדרתו פניו", כאליהו בחורב לפני ההתגלות (מלכים א יט, יג). ההתגלות שמצפה לו היא שהאריה הוא חמור. יש כאן גם התחפשות שכנגד: האדון מכסה את פניו כדי לחשוף את המחופש. ואז בא הנאום, ובו כמעט כל צלע היא נבואת תוכחה על גאוות מלכים ועמים. "יען גבה לבך" הוא הפתיחה לנבואה על נגיד צור שאמר "אל אני" (יחזקאל כח, ב). "ותתן חתיתך בארץ החיים" לקוח מקינת יחזקאל על הממלכות שירדו לשאול, אשור ועילם ומצרים, "אשר נתנו חתיתם בארץ חיים" (יחזקאל לב, כג-לב). "הלוך הלכת נטוי גרון" מעביר לחמור את גאוותן של בנות ציון, "ותלכנה נטויות גרון" (ישעיהו ג, טז). "זדון לבך השיאך" הוא עובדיה א, ג, על אדום היושב בחגווי הסלע ואומר "מי יורדני ארץ". החמור מוצג אפוא כצור, כאשור, כאדום וכבנות ציון בבת אחת, וההגזמה היא כמובן חלק מן הקומדיה: לשון שנועדה לאימפריות מופנית אל חמור.</w:t>
      </w:r>
    </w:p>
    <w:p>
      <w:pPr>
        <w:bidi/>
        <w:spacing w:after="120" w:before="0" w:line="360"/>
        <w:jc w:val="both"/>
      </w:pPr>
      <w:r>
        <w:rPr>
          <w:rFonts w:ascii="Times New Roman" w:cs="David" w:eastAsia="David" w:hAnsi="Times New Roman"/>
          <w:i w:val="false"/>
          <w:iCs w:val="false"/>
          <w:sz w:val="24"/>
          <w:szCs w:val="24"/>
          <w:rtl/>
        </w:rPr>
        <w:t xml:space="preserve">הסיום של הנאום חוזר לפרשת העגל. "ועתה הורד את עדיך" הוא שמות לג, ה, "ועתה הורד עדיך מעליך", ו"ויתנצל החמור מעדיו" הוא שם, פסוק ו, "ויתנצלו בני ישראל את עדים מהר חורב". עור האריה הוא "עדי", תכשיט, וההפשטה שלו היא הפשטת ישראל אחרי העגל. "והצגתיך כיום הולדך" הוא הושע ב, ה, שם מאיים ה' על האישה הבוגדת "פן אפשיטנה ערמה והצגתיה כיום הולדה": שוב הפשטה. "ותדע מי אתה ומאין באת" הוא לשון עקביא בן מהללאל, "דע מאין באת ולאן אתה הולך" (משנה אבות ג, א), ובזה מתמצה חטאו של החמור: הוא לא קיים את מצוות עקביא. והעונש, "ויקח מאדניו כפלים במריו", הוא היפוך של פסוק הנחמה "כי לקחה מיד ה' כפלים בכל חטאתיה" (ישעיהו מ, ב). מה שבישעיהו הוא סוף העונש, אצל ברכיה הוא העונש עצמו, ושוב, "מיד ה'" הופך ל"מאדניו".</w:t>
      </w:r>
    </w:p>
    <w:p>
      <w:pPr>
        <w:bidi/>
        <w:spacing w:after="120" w:before="0" w:line="360"/>
        <w:jc w:val="both"/>
      </w:pPr>
      <w:r>
        <w:rPr>
          <w:rFonts w:ascii="Times New Roman" w:cs="David" w:eastAsia="David" w:hAnsi="Times New Roman"/>
          <w:i w:val="false"/>
          <w:iCs w:val="false"/>
          <w:sz w:val="24"/>
          <w:szCs w:val="24"/>
          <w:rtl/>
        </w:rPr>
        <w:t xml:space="preserve">גם הנמשל בנוי משיבוצים. "בן נבל ובן בלי שם" הוא איוב ל, ח, "בני נבל גם בני בלי שם". "לא נכר בלכתו בחוצות" הוא איכה ד, ח. "ויתן צמרתו אל בין עבותים" ו"ויף בגבהו ואורך דליותיו" הם, פעם נוספת, ארז אשור מיחזקאל לא, ז-י, אותם פסוקים שברכיה השתמש בהם בנמשל של משל הצרעה. הופעת אותה נבואה בשני נמשלים על חמורים מלמדת שיחזקאל לא הוא אצל ברכיה הטקסט הקבוע לגאווה. "כבודו בקלון ימירו" הוא הושע ד, ז: "כבודם בקלון אמיר". בשיר החותם יש משחק מילים אחד: "בן בוז בלבשו בוץ", מי שראוי לבוז לובש בוץ, בד המלכים, ובין בוז לבוץ מפרידה אות אחת.</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4.3 הפואטיקה של המשל</w:t>
      </w:r>
    </w:p>
    <w:p>
      <w:pPr>
        <w:bidi/>
        <w:spacing w:after="120" w:before="0" w:line="360"/>
        <w:jc w:val="both"/>
      </w:pPr>
      <w:r>
        <w:rPr>
          <w:rFonts w:ascii="Times New Roman" w:cs="David" w:eastAsia="David" w:hAnsi="Times New Roman"/>
          <w:i w:val="false"/>
          <w:iCs w:val="false"/>
          <w:sz w:val="24"/>
          <w:szCs w:val="24"/>
          <w:rtl/>
        </w:rPr>
        <w:t xml:space="preserve">האמצעי המרכזי במשל הוא המשלב הנבואי. ברכיה נותן לאדון את קולם של יחזקאל, ישעיהו, הושע ועובדיה, כך שהנאום הוא כמעט פסיפס של תוכחות. האפקט כפול. מצד אחד, החמור מקבל ממדים של אימפריה חוטאת, וזה מגוחך. מצד שני, הגיחוך אינו מבטל את הרצינות: כשהאדון מדבר בלשון הנביאים, המשל מקבל את הסמכות של הנבואה, והמסר על גאווה ונפילה מקבל תוקף שאין למשל איזופי. הפרוזה המחורזת מאפשרת את שני הדברים בבת אחת.</w:t>
      </w:r>
    </w:p>
    <w:p>
      <w:pPr>
        <w:bidi/>
        <w:spacing w:after="120" w:before="0" w:line="360"/>
        <w:jc w:val="both"/>
      </w:pPr>
      <w:r>
        <w:rPr>
          <w:rFonts w:ascii="Times New Roman" w:cs="David" w:eastAsia="David" w:hAnsi="Times New Roman"/>
          <w:i w:val="false"/>
          <w:iCs w:val="false"/>
          <w:sz w:val="24"/>
          <w:szCs w:val="24"/>
          <w:rtl/>
        </w:rPr>
        <w:t xml:space="preserve">אמצעי שני הוא הפוליפוניה של הפחד. במקום לומר "וייראו כולם", ברכיה מביא קולות: הרועים, עובדי האדמה, "איש לאחיו צועק", "הקול נשמע", "ואדוניו אומר אל שכניו". כל קול מוסיף עוד עדות לכוחו של העור, וכל קול מכין את הנפילה. האנטי־קליימקס ניתן בחרוז עצמו: "כי חשבוהו לאריה והנה הוא חמור". החרוז "לשמור / חמור" מוריד את האריה לחמור בתוך צלע אחת, וזה הרגע שבו המספר קורץ לקורא, שיודע את האמת מן ההתחלה.</w:t>
      </w:r>
    </w:p>
    <w:p>
      <w:pPr>
        <w:bidi/>
        <w:spacing w:after="120" w:before="0" w:line="360"/>
        <w:jc w:val="both"/>
      </w:pPr>
      <w:r>
        <w:rPr>
          <w:rFonts w:ascii="Times New Roman" w:cs="David" w:eastAsia="David" w:hAnsi="Times New Roman"/>
          <w:i w:val="false"/>
          <w:iCs w:val="false"/>
          <w:sz w:val="24"/>
          <w:szCs w:val="24"/>
          <w:rtl/>
        </w:rPr>
        <w:t xml:space="preserve">אמצעי שלישי הוא ההכרה, שהיא רגע דרמטי מובהק. ברכיה בוחר לה סימנים חזותיים, "בקומתו ובזנבו ובאזניו", ולא את הקול, שהוא סימן ההיכר במסורת האיזופית. הבחירה משמעותית: החמור של ברכיה אינו נכשל בגלל טעות רגעית, נעירה שפרצה, אלא בגלל מה שהוא, גופו. אי אפשר להסתיר קומה, זנב ואוזניים. "וכראותו אדוניו השפיל עיניו": החמור מוריד את עיניו, ומכאן ואילך הוא שותק. כל מילותיו של החמור במשל היו "אני אמלוך" ושבועתו, ומול נאום האדון אין לו תשובה.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4.4 הקשר בין המשל לנמשל</w:t>
      </w:r>
    </w:p>
    <w:p>
      <w:pPr>
        <w:bidi/>
        <w:spacing w:after="120" w:before="0" w:line="360"/>
        <w:jc w:val="both"/>
      </w:pPr>
      <w:r>
        <w:rPr>
          <w:rFonts w:ascii="Times New Roman" w:cs="David" w:eastAsia="David" w:hAnsi="Times New Roman"/>
          <w:i w:val="false"/>
          <w:iCs w:val="false"/>
          <w:sz w:val="24"/>
          <w:szCs w:val="24"/>
          <w:rtl/>
        </w:rPr>
        <w:t xml:space="preserve">הנמשל מעביר את המשל מן היחס שבין חמור לאדונו אל היחס שבין אדם לחברה. הגיבור הוא "בן בלי שם", אדם ממוצא נמוך שאנשים שאינם מכירים אותו מכבדים אותו בגלל "לבוש ומחלצות". העור נעשה בגד, והאדון נעשה הציבור שיכיר בסוף את "מומו ומום אבותיו". הקשר בין השניים הדוק: בשני המקרים הזהות המזויפת נסמכת על כיסוי חיצוני, ובשני המקרים הגילוי הוא גילוי של גוף, של מוצא, של מה שאי אפשר לשנות. אבל המשל מוסיף מה שהנמשל משמיט: את האדון עצמו ואת המשא הכפול. בנמשל העונש הוא חברתי, "כבודו בקלון ימירו", ואילו במשל העונש הוא חזרה לעבודה, וקשה ממנה. הרובד התיאולוגי שיצרו השיבוצים, האדון כאלוהים והחמור כישראל החוטא, נעלם מן הנמשל לגמרי ונשאר רק למי שקרא את הפסוקים.</w:t>
      </w:r>
    </w:p>
    <w:p>
      <w:pPr>
        <w:bidi/>
        <w:spacing w:after="120" w:before="0" w:line="360"/>
        <w:jc w:val="both"/>
      </w:pPr>
      <w:r>
        <w:rPr>
          <w:rFonts w:ascii="Times New Roman" w:cs="David" w:eastAsia="David" w:hAnsi="Times New Roman"/>
          <w:i w:val="false"/>
          <w:iCs w:val="false"/>
          <w:sz w:val="24"/>
          <w:szCs w:val="24"/>
          <w:rtl/>
        </w:rPr>
        <w:t xml:space="preserve">הנמשל מתקשר ישירות להקדמת הספר: ברכיה התלונן שם על דור שבו עולים לגדולה מי שאינם ראויים. "בן בלי שם" הוא בדיוק האיש הזה. התכונה שהחמור מייצג במשל היא התחזות, אבל השורש שלה, לפי השיבוצים, הוא אי־ידיעה: "לא ידע" בישעיהו, "ותדע מי אתה ומאין באת" מאבות, ו"לא ידע נשא רגליו וראשו" בשיר החותם. החמור אינו יודע מי הוא, ולכן אינו יודע גם איך ללכת.</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5: "חמור, כלב ואדם" (משל יד): 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5.1 מבנה המשל ומהלך העלילה</w:t>
      </w:r>
    </w:p>
    <w:p>
      <w:pPr>
        <w:bidi/>
        <w:spacing w:after="120" w:before="0" w:line="360"/>
        <w:jc w:val="both"/>
      </w:pPr>
      <w:r>
        <w:rPr>
          <w:rFonts w:ascii="Times New Roman" w:cs="David" w:eastAsia="David" w:hAnsi="Times New Roman"/>
          <w:i w:val="false"/>
          <w:iCs w:val="false"/>
          <w:sz w:val="24"/>
          <w:szCs w:val="24"/>
          <w:rtl/>
        </w:rPr>
        <w:t xml:space="preserve">החרוז הפותח, "הקנאה תביא להתאוות / דבר בלתי יאות", מגדיר את המשל כמשל על קנאה, ומכאן שהתכונה שתידון היא הקנאה ולא הטיפשות. המשל בנוי מארבע תנועות. הראשונה היא האקספוזיציה של הכלב: כלב קטן בבית פקיד, שאוכל מפת אדוניו ושוכב בחיקו. השנייה, והארוכה ביותר, היא המונולוג הפנימי של החמור: "ויאמר החמור בלב". זה המשל היחיד מבין השלושה שבו הקורא נכנס לראשו של החמור ושומע את התכנון כולו, פועל אחר פועל, בלשון עתיד. השלישית היא הביצוע, בלשון עבר, פועל אחר פועל, ובסדר כמעט זהה. הרביעית היא התגובה: זעקת האדון, התקהלות בני הבית, המכות, והרדיפה עד האבוס.</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5.2 השיבוצים</w:t>
      </w:r>
    </w:p>
    <w:p>
      <w:pPr>
        <w:bidi/>
        <w:spacing w:after="120" w:before="0" w:line="360"/>
        <w:jc w:val="both"/>
      </w:pPr>
      <w:r>
        <w:rPr>
          <w:rFonts w:ascii="Times New Roman" w:cs="David" w:eastAsia="David" w:hAnsi="Times New Roman"/>
          <w:i w:val="false"/>
          <w:iCs w:val="false"/>
          <w:sz w:val="24"/>
          <w:szCs w:val="24"/>
          <w:rtl/>
        </w:rPr>
        <w:t xml:space="preserve">תיאור הכלב לקוח מן המשל המפורסם ביותר במקרא, משל כבשת הרש של נתן הנביא: "מפתו תאכל ומכסו תשתה ובחיקו תשכב" (שמואל ב יב, ג). ברכיה מקצר: "פתו יאכל חיקו ישכב". השיבוץ עושה שני דברים. הוא מציב את הכלב במקומה של הכבשה האהובה, שהיא כמו בת לבעליה, ובכך מסביר את הקנאה. והוא מזכיר לקורא שמשל נתן היה משל על מי שלקח לעצמו את מה שאינו שלו. החמור, שרוצה את מקום הכלב, הוא במובן זה העשיר שחמד את הכבשה.</w:t>
      </w:r>
    </w:p>
    <w:p>
      <w:pPr>
        <w:bidi/>
        <w:spacing w:after="120" w:before="0" w:line="360"/>
        <w:jc w:val="both"/>
      </w:pPr>
      <w:r>
        <w:rPr>
          <w:rFonts w:ascii="Times New Roman" w:cs="David" w:eastAsia="David" w:hAnsi="Times New Roman"/>
          <w:i w:val="false"/>
          <w:iCs w:val="false"/>
          <w:sz w:val="24"/>
          <w:szCs w:val="24"/>
          <w:rtl/>
        </w:rPr>
        <w:t xml:space="preserve">המונולוג של החמור עשוי אף הוא מן הפסוקים. "לא נופל אנכי מכלב" הוא לשון איוב אל רעיו: "לא נפל אנכי מכם" (איוב יב, ג; יג, ב). "ואשים עיני אצל עיניו / ואת פני למול פניו" מהדהד את אלישע המחיה את בן השונמית: "וישם פיו על פיו ועיניו על עיניו" (מלכים ב ד, לד). התמונה שהחמור מדמיין, גופו הגדול פרוש על אדוניו, נעשית מגוחכת פי כמה על רקע הפסוק. "מחוט ועד השרוך" הוא שבועת אברהם למלך סדום, "אם מחוט ועד שרוך נעל" (בראשית יד, כג), ו"בזה הדבר אבחן" הוא לשון יוסף לאחיו: "בזאת תבחנו" (בראשית מב, טו). החמור מנסח את ניסויו במילים של הצדיקים הגדולים, וזה חלק מן ההגזמה העצמית שלו.</w:t>
      </w:r>
    </w:p>
    <w:p>
      <w:pPr>
        <w:bidi/>
        <w:spacing w:after="120" w:before="0" w:line="360"/>
        <w:jc w:val="both"/>
      </w:pPr>
      <w:r>
        <w:rPr>
          <w:rFonts w:ascii="Times New Roman" w:cs="David" w:eastAsia="David" w:hAnsi="Times New Roman"/>
          <w:i w:val="false"/>
          <w:iCs w:val="false"/>
          <w:sz w:val="24"/>
          <w:szCs w:val="24"/>
          <w:rtl/>
        </w:rPr>
        <w:t xml:space="preserve">התגובה בנויה כסצנה של סקילה קהילתית. "ותקהל כל העדה" הוא לשון התקהלות העדה במדבר (במדבר טז, יט; כ, ב). "וזה באבנים יסקל" הוא לשון הסקילה. ובתוך המכות נשמעת הוראה שהיא ציטוט מדויק מדברי ה' לשטן על איוב: "הנו בידך אך את נפשו שמר" (איוב ב, ו). המכים מצווים "הך אך את נפשו שמור": להכות את החמור אבל לא להרגו. גם כאן, כמו במשל מז, השיבוץ מרים את הסצנה הביתית לגובה של דרמה קוסמית, ובו זמנית משפיל אותה: החמור הוא איוב, ובני הבית הם השטן, ברשות. "הלם כל גוו וכרסו" משתמש בפועל "הלם" משירת דבורה, "והלמה סיסרא מחקה ראשו" (שופטים ה, כו). המרדף מסתיים "עד אבוסו", ובמילה זו נזכר שוב ישעיהו א, ג: האבוס הוא מקומו של החמור, ואליו מחזירים אותו.</w:t>
      </w:r>
    </w:p>
    <w:p>
      <w:pPr>
        <w:bidi/>
        <w:spacing w:after="120" w:before="0" w:line="360"/>
        <w:jc w:val="both"/>
      </w:pPr>
      <w:r>
        <w:rPr>
          <w:rFonts w:ascii="Times New Roman" w:cs="David" w:eastAsia="David" w:hAnsi="Times New Roman"/>
          <w:i w:val="false"/>
          <w:iCs w:val="false"/>
          <w:sz w:val="24"/>
          <w:szCs w:val="24"/>
          <w:rtl/>
        </w:rPr>
        <w:t xml:space="preserve">הנמשל מצטט את תהלים קא, ה, "גבה עינים ורחב לבב אתו לא אוכל", בהיפוך סדר: "רחב עינים וגבה לבב". "איש הולך שובב" הוא ישעיהו נז, יז, ו"פתע פתאם יבא כשל" נשען על "פתע פתאם יבוא שברה" (ישעיהו ל, יג). ואז ברכיה עושה דבר שאינו עושה בשני המשלים האחרים: הוא קורא בשם למקור המוסרי שלו. "ומשל שלמה לא נגרע / כי לא תהיה אחרית לרע", ציטוט ממשלי כד, כ. המשל החייתי מוצג במפורש כאישור למשל שלמה, ובזה ברכיה מקיים את מה שהבטיח בהקדמה: משליו הם המשך למשלי המלך החכם.</w:t>
      </w:r>
    </w:p>
    <w:p>
      <w:pPr>
        <w:bidi/>
        <w:spacing w:after="120" w:before="0" w:line="360"/>
        <w:jc w:val="both"/>
      </w:pPr>
      <w:r>
        <w:rPr>
          <w:rFonts w:ascii="Times New Roman" w:cs="David" w:eastAsia="David" w:hAnsi="Times New Roman"/>
          <w:i w:val="false"/>
          <w:iCs w:val="false"/>
          <w:sz w:val="24"/>
          <w:szCs w:val="24"/>
          <w:rtl/>
        </w:rPr>
        <w:t xml:space="preserve">השיר החותם עוסק בפסוק אחד ממשלי ובסיפור אחד משמואל. "לפני שבר איש דרכיו מעקש / לפני כבוד שפלות לו למוקש" קורא מחדש את משלי יח, יב: "לפני שבר יגבה לב איש ולפני כבוד ענוה". במקור הענווה קודמת לכבוד; אצל ברכיה "שפלות", כלומר מעמדו הנמוך של האיש, היא מוקש למי שרודף כבוד. השפלות אינה הענווה. החמור שפל במעמדו ואינו עניו ברוחו, וזה בדיוק המוקש. ואז: "נא זכר מי מצא מלוכה ונבא / כאשר שב מן האתונות לבקש". שאול יצא לחפש את אתונות אביו, מלאכה שפלה, ומצא מלוכה ונבואה (שמואל א ט-י). הוא היה "מקטני שבטי ישראל" (שם ט, כא) ולא ביקש דבר. הניגוד לחמור מלא: מי שביקש אתונות מצא מלוכה, ומי שביקש חיק מצא מקל. והאתונות עצמן, כמובן, הן קרובות משפחתו של הגיבור.</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5.3 הפואטיקה של המשל</w:t>
      </w:r>
    </w:p>
    <w:p>
      <w:pPr>
        <w:bidi/>
        <w:spacing w:after="120" w:before="0" w:line="360"/>
        <w:jc w:val="both"/>
      </w:pPr>
      <w:r>
        <w:rPr>
          <w:rFonts w:ascii="Times New Roman" w:cs="David" w:eastAsia="David" w:hAnsi="Times New Roman"/>
          <w:i w:val="false"/>
          <w:iCs w:val="false"/>
          <w:sz w:val="24"/>
          <w:szCs w:val="24"/>
          <w:rtl/>
        </w:rPr>
        <w:t xml:space="preserve">האמצעי המרכזי הוא המונולוג הפנימי והאירוניה הדרמטית הנובעת ממנו. החמור מנמק את תוכניתו נימוק אחר נימוק, והנימוקים הגיוניים בתוך עולמו: אם הכלב זוכה לחיבה כשהוא מלקק ומחבק ונובח, גם החמור יזכה בה. הקורא יודע מה שהחמור אינו יודע, שהחיבה אינה תלויה במעשה אלא במי שעושה אותו, והפער הזה בין ידיעת הקורא לידיעת הגיבור הוא מקור הצחוק. ברכיה מחזק את הפער בטכניקה של הכפלה: התוכנית בלשון עתיד, "ואחבקהו ואנשקהו / ובלשוני אלחכהו", והביצוע בלשון עבר, "וילחכהו סביב אזניו / ויחבקהו בשתי רגליו". הקורא רואה את התוכנית מתגשמת בדיוק, וההצלחה של הביצוע היא הכישלון.</w:t>
      </w:r>
    </w:p>
    <w:p>
      <w:pPr>
        <w:bidi/>
        <w:spacing w:after="120" w:before="0" w:line="360"/>
        <w:jc w:val="both"/>
      </w:pPr>
      <w:r>
        <w:rPr>
          <w:rFonts w:ascii="Times New Roman" w:cs="David" w:eastAsia="David" w:hAnsi="Times New Roman"/>
          <w:i w:val="false"/>
          <w:iCs w:val="false"/>
          <w:sz w:val="24"/>
          <w:szCs w:val="24"/>
          <w:rtl/>
        </w:rPr>
        <w:t xml:space="preserve">אמצעי שני הוא הקומדיה של הגודל. כל מה שהכלב הקטן עושה נהיה אלים כשהחמור עושה אותו. "ובצוארו חבקו כרביד / ומשאו עליו הכביד": החמור, בהמת המשא, נעשה בעצמו משא על אדוניו. זהו ההיפוך המרכזי של המשל, והוא מנוסח בחרוז אחד. גם "עולה ויורד", "מפה אל פה הקיפו", "מכסאו הדפו" מתארים אדם קבור תחת חיה. הכיסא, סמל מעמדו של הפקיד, מתהפך, ובני הבית באים עם רומח, מקל ואבנים כאילו מדובר בפלישה.</w:t>
      </w:r>
    </w:p>
    <w:p>
      <w:pPr>
        <w:bidi/>
        <w:spacing w:after="120" w:before="0" w:line="360"/>
        <w:jc w:val="both"/>
      </w:pPr>
      <w:r>
        <w:rPr>
          <w:rFonts w:ascii="Times New Roman" w:cs="David" w:eastAsia="David" w:hAnsi="Times New Roman"/>
          <w:i w:val="false"/>
          <w:iCs w:val="false"/>
          <w:sz w:val="24"/>
          <w:szCs w:val="24"/>
          <w:rtl/>
        </w:rPr>
        <w:t xml:space="preserve">אמצעי שלישי הוא הרקע החברתי המדויק. הכלב חי "בית הפקיד מן הקריה", כלומר בביתו של איש מנהל עירוני, ואינו כלב עבודה אלא כלב מחמד של בעלי אמצעים. החמור הוא הפועל של אותו בית. הקנאה של החמור היא קנאה של מעמד, לא רק של חיבה, וברכיה, שהתלונן בהקדמה על סדרי החברה שנהפכו, רואה בה סכנה.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5.4 הקשר בין המשל לנמשל</w:t>
      </w:r>
    </w:p>
    <w:p>
      <w:pPr>
        <w:bidi/>
        <w:spacing w:after="120" w:before="0" w:line="360"/>
        <w:jc w:val="both"/>
      </w:pPr>
      <w:r>
        <w:rPr>
          <w:rFonts w:ascii="Times New Roman" w:cs="David" w:eastAsia="David" w:hAnsi="Times New Roman"/>
          <w:i w:val="false"/>
          <w:iCs w:val="false"/>
          <w:sz w:val="24"/>
          <w:szCs w:val="24"/>
          <w:rtl/>
        </w:rPr>
        <w:t xml:space="preserve">כאן הפער בין המשל לנמשל גדול משבשני המשלים האחרים. המשל מספר על חמור שרוצה אהבה: לשכב בחיק, להיות מוחבק. הנמשל מדבר על "איש הולך שובב... וישתרר בגאותו... וברצותו להיות מושל". החמור רוצה חיבה, והנמשל מדבר על שלטון. ברכיה קורא את הרצון לחיק כרצון לשררה, מפני שבבית הפקיד מקום החיק הוא מקום של מעמד: מי ששוכב בחיק האדון הוא הקרוב אליו ביותר. ובכל זאת, הקורא מרגיש שהנמשל צר מן המשל. המשל מעורר גם רחמים על החמור, שרצה להיאהב ונרדף באבנים, והנמשל אינו משאיר לרחמים מקום.</w:t>
      </w:r>
    </w:p>
    <w:p>
      <w:pPr>
        <w:bidi/>
        <w:spacing w:after="120" w:before="0" w:line="360"/>
        <w:jc w:val="both"/>
      </w:pPr>
      <w:r>
        <w:rPr>
          <w:rFonts w:ascii="Times New Roman" w:cs="David" w:eastAsia="David" w:hAnsi="Times New Roman"/>
          <w:i w:val="false"/>
          <w:iCs w:val="false"/>
          <w:sz w:val="24"/>
          <w:szCs w:val="24"/>
          <w:rtl/>
        </w:rPr>
        <w:t xml:space="preserve">הגשר בין השניים הוא הזיכרון של שאול בשיר החותם. שאול מסביר את הנמשל: מלוכה אמיתית באה למי שאינו מבקש אותה, ומי שמבקש אותה בכוח, נופל. וכאן חוזר "המקום" מן החרוז הפותח של משל הצרעה: "אין לך דבר שאין לו מקום". מקומו של החמור הוא האבוס, והמשל מסתיים במילה "אבוסו". התכונה שהחמור מייצג היא קנאה, כפי שהכריז החרוז הפותח, אבל ביסודה שוב עומדת אי־ידיעת המקום: החמור אינו יודע שמה שמותר לכלב אסור לו, לא בגלל מעשיו אלא בגלל מהותו.</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6: "אריה וחמור" (משל סה): 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6.1 מבנה המשל ומהלך העלילה</w:t>
      </w:r>
    </w:p>
    <w:p>
      <w:pPr>
        <w:bidi/>
        <w:spacing w:after="120" w:before="0" w:line="360"/>
        <w:jc w:val="both"/>
      </w:pPr>
      <w:r>
        <w:rPr>
          <w:rFonts w:ascii="Times New Roman" w:cs="David" w:eastAsia="David" w:hAnsi="Times New Roman"/>
          <w:i w:val="false"/>
          <w:iCs w:val="false"/>
          <w:sz w:val="24"/>
          <w:szCs w:val="24"/>
          <w:rtl/>
        </w:rPr>
        <w:t xml:space="preserve">החרוז הפותח, "איש אשר מכיר מקומו / תגלה ערותו ולבו בל עמו", מציב את "המקום" במרכז, ובכך מקשר את המשל למשל הצרעה ולמשל הכלב. בנוסח שנמסר בכיתה החרוז קשה: "מכיר מקומו" ואחריו "תגלה ערותו", ואילו ההיגיון והנמשל, "ולא יכיר את שפלותו", מחייבים שלילה. ייתכן שיש לקרוא "אשר אינו מכיר מקומו", וייתכן שהחרוז אירוני. יש לבדוק את הנוסח במהדורת הברמן.</w:t>
      </w:r>
      <w:r>
        <w:rPr>
          <w:rStyle w:val="FootnoteReference"/>
        </w:rPr>
        <w:footnoteReference w:id="29"/>
      </w:r>
      <w:r>
        <w:rPr>
          <w:rFonts w:ascii="Times New Roman" w:cs="David" w:eastAsia="David" w:hAnsi="Times New Roman"/>
          <w:i w:val="false"/>
          <w:iCs w:val="false"/>
          <w:sz w:val="24"/>
          <w:szCs w:val="24"/>
          <w:rtl/>
        </w:rPr>
        <w:t xml:space="preserve"> "ולבו בל עמו" לקוח ממשלי כג, ז, "ולבו בל עמך", על הצר עין שמארח ולבו אינו עם אורחו, ו"תגלה ערותו" מהדהד את ישעיהו מז, ג, "תגל ערותך", על בת בבל שירדה מכיסאה.</w:t>
      </w:r>
    </w:p>
    <w:p>
      <w:pPr>
        <w:bidi/>
        <w:spacing w:after="120" w:before="0" w:line="360"/>
        <w:jc w:val="both"/>
      </w:pPr>
      <w:r>
        <w:rPr>
          <w:rFonts w:ascii="Times New Roman" w:cs="David" w:eastAsia="David" w:hAnsi="Times New Roman"/>
          <w:i w:val="false"/>
          <w:iCs w:val="false"/>
          <w:sz w:val="24"/>
          <w:szCs w:val="24"/>
          <w:rtl/>
        </w:rPr>
        <w:t xml:space="preserve">העלילה בנויה בחמש תנועות. הראשונה היא ההזמנה והגאווה: האריה קורא לחמור להראות לו את גדולתו, והחמור מפרש את ההזמנה כמינוי, "ועתה יקראו לי משנה למלך". השנייה היא חלוקת התפקידים: החמור מציע את קולו, והאריה מחלק, "אתה תשאג ואני אטרוף". השלישית היא הציד: הנעירה, המנוסה, הטריפה, והפקודה להשתיק. הרביעית היא הבקשה: ליד הנבלה החמור מתפאר בקולו וברעמתו ומבקש קביעות. החמישית היא התשובה: האריה מגדיר את החמור, "בזוי ושפל וקשה ערף", ומסיים באיום מרומז, שגוריו עוד ילעגו לו על שטרף בצאן ולא שבר את החמור. המשל נגמר בדברי האריה, ואין בו שיר חותם. גורל החמור אינו מסופר, אבל המשפט האחרון אומר אותו למי שמכיר את המקור.</w:t>
      </w:r>
    </w:p>
    <w:p>
      <w:pPr>
        <w:bidi/>
        <w:spacing w:after="120" w:before="0" w:line="360"/>
        <w:jc w:val="both"/>
      </w:pPr>
      <w:r>
        <w:rPr>
          <w:rFonts w:ascii="Times New Roman" w:cs="David" w:eastAsia="David" w:hAnsi="Times New Roman"/>
          <w:i w:val="false"/>
          <w:iCs w:val="false"/>
          <w:sz w:val="24"/>
          <w:szCs w:val="24"/>
          <w:rtl/>
        </w:rPr>
        <w:t xml:space="preserve">לעומת המקור, פדרוס א, יא, ברכיה שינה שני דברים. הוא הוסיף את המונולוג הפנימי של החמור בראשית המשל, שהופך את הגאווה מתגובה רגעית לתכונה, והוא הוסיף לתשובת האריה את הסיום המאיים. אצל פדרוס האריה עונה בהומור, "אילולא ידעתי מי אתה הייתי בורח גם אני"; אצל ברכיה ההומור נשאר, "מקולך לא יענה ומהמונך לא יחת", אבל אחריו בא הבוז ואחריו האיום.</w:t>
      </w:r>
      <w:r>
        <w:rPr>
          <w:rStyle w:val="FootnoteReference"/>
        </w:rPr>
        <w:footnoteReference w:id="30"/>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6.2 השיבוצים</w:t>
      </w:r>
    </w:p>
    <w:p>
      <w:pPr>
        <w:bidi/>
        <w:spacing w:after="120" w:before="0" w:line="360"/>
        <w:jc w:val="both"/>
      </w:pPr>
      <w:r>
        <w:rPr>
          <w:rFonts w:ascii="Times New Roman" w:cs="David" w:eastAsia="David" w:hAnsi="Times New Roman"/>
          <w:i w:val="false"/>
          <w:iCs w:val="false"/>
          <w:sz w:val="24"/>
          <w:szCs w:val="24"/>
          <w:rtl/>
        </w:rPr>
        <w:t xml:space="preserve">הפתיחה כולה שאולה ממגילת אסתר. "יקר תפארת גדולתו" הוא מן המשתה של אחשורוש, "את עשר כבוד מלכותו ואת יקר תפארת גדלתו" (אסתר א, ד). ומחשבת החמור, "למי יחפץ המלך לעשות יקר יותר ממני", היא מילה במילה מחשבתו של המן: "ויאמר המן בלבו למי יחפץ המלך לעשות יקר יותר ממני" (אסתר ו, ו). גם "ויתגאה החמור בלבו לאמר" מקביל ל"ויאמר המן בלבו". המן חשב שהכבוד מיועד לו ונאלץ להוליך את מרדכי ברחוב, ומיד אחר כך נתלה. ואילו "משנה למלך" הוא תוארו של מרדכי בסוף המגילה (אסתר י, ג). החמור רואה את עצמו מרדכי, והפסוק שברכיה שם בלבו עושה אותו המן. הקורא יודע מן הרגע הראשון שהמינוי לא יבוא, ומה בא במקומו.</w:t>
      </w:r>
    </w:p>
    <w:p>
      <w:pPr>
        <w:bidi/>
        <w:spacing w:after="120" w:before="0" w:line="360"/>
        <w:jc w:val="both"/>
      </w:pPr>
      <w:r>
        <w:rPr>
          <w:rFonts w:ascii="Times New Roman" w:cs="David" w:eastAsia="David" w:hAnsi="Times New Roman"/>
          <w:i w:val="false"/>
          <w:iCs w:val="false"/>
          <w:sz w:val="24"/>
          <w:szCs w:val="24"/>
          <w:rtl/>
        </w:rPr>
        <w:t xml:space="preserve">דברי ההתפארות של החמור עשויים מלשונות שנאמרו על האל. "מקולי יחפזון וינוסו מגערתי" הוא תהלים קד, ז, "מן גערתך ינוסון מן קול רעמך יחפזון", על המים שברחו מפני הבורא. "ואוריד לארץ נצחם" הוא ישעיהו סג, ו, מנאום הנקמה של ה' באדום. "ואלה המשפטים אשר תשים לפניהם" הוא שמות כא, א, פתיחת פרשת משפטים, ובפי החמור הפסוק שבו ה' נותן את החוקים למשה נעשה הצעה לאריה לקבוע חוקים לבהמות. "נגביר שפתנו אתנו מי אדון לנו" הוא תהלים יב, ה, מזמור על "לשון מדברת גדלות", ואותו מזמור חוזר בנמשל. "הלוא דברי ייטיבו עם הישר הולך" הוא מיכה ב, ז, מילה במילה. גם תשובת האריה הראשונה נעשית מלשון האל: "אתה תשגיא פעלך" הוא איוב לו, כד, ו"ובקול כמוני תרעם" הוא מן השאלה שה' שואל את איוב מן הסערה: "ואם זרוע כאל לך ובקול כמהו תרעם" (איוב מ, ט). האריה מציע לחמור לרעום בקול כמוהו, במילים שבהן האל לועג לאיוב שאין לו זרוע כאל. ההצעה היא לעג מן הרגע הראשון, והחמור אינו שומע אותו.</w:t>
      </w:r>
    </w:p>
    <w:p>
      <w:pPr>
        <w:bidi/>
        <w:spacing w:after="120" w:before="0" w:line="360"/>
        <w:jc w:val="both"/>
      </w:pPr>
      <w:r>
        <w:rPr>
          <w:rFonts w:ascii="Times New Roman" w:cs="David" w:eastAsia="David" w:hAnsi="Times New Roman"/>
          <w:i w:val="false"/>
          <w:iCs w:val="false"/>
          <w:sz w:val="24"/>
          <w:szCs w:val="24"/>
          <w:rtl/>
        </w:rPr>
        <w:t xml:space="preserve">בשלב הציד מופיע שוב שמות ט. "ורב מהיות קולות" הוא בקשת פרעה ממשה בשעת הברד: "העתירו אל ה' ורב מהית קלת אלהים וברד" (שמות ט, כח). האריה מבקש מן החמור להפסיק את הנעירה במילים שבהן פרעה ביקש להפסיק את הרעמים. זה השימוש השני של ברכיה במכת הברד במשלי החמור, אחרי משל מז, וגם כאן היא משמשת לתאר קול חמור ככוח טבע. "ויהי לחרדת המחנה" הוא שמואל א יד, טו, על המהומה במחנה פלשתים, ו"מגמת פניהם" הוא חבקוק א, ט.</w:t>
      </w:r>
    </w:p>
    <w:p>
      <w:pPr>
        <w:bidi/>
        <w:spacing w:after="120" w:before="0" w:line="360"/>
        <w:jc w:val="both"/>
      </w:pPr>
      <w:r>
        <w:rPr>
          <w:rFonts w:ascii="Times New Roman" w:cs="David" w:eastAsia="David" w:hAnsi="Times New Roman"/>
          <w:i w:val="false"/>
          <w:iCs w:val="false"/>
          <w:sz w:val="24"/>
          <w:szCs w:val="24"/>
          <w:rtl/>
        </w:rPr>
        <w:t xml:space="preserve">ההתפארות ליד הנבלה עשויה מתיאור סוס המלחמה בנאום ה' לאיוב: "התלביש צוארו רעמה... הוד נחרו אימה" (איוב לט, יט-כ). החמור אומר "הלא שמעת הוד נחרי / וראית כי רעמה לבוש צוארי". הוא לוקח לעצמו את תיאור הסוס, בעל החיים היחיד שהאל עצמו מתפאר בו, ובאותה מילה, "רעמה", יש גם רעמת האריה וגם הרעם שהאריה הזמין אותו לרעום. "והיה כזה יום מחר" הוא ישעיהו נו, יב, מדברי הסובאים, ו"לא מהם ולא מהמהם" הוא יחזקאל ז, יא. ואילו האריה משיב בפסוק שנאמר על האריה עצמו: "כאשר יהגה האריה והכפיר על טרפו אשר יקרא עליו מלא רעים, מקולם לא יחת ומהמונם לא יענה" (ישעיהו לא, ד). האריה של ישעיהו אינו נבהל מהמון הרועים הצועקים עליו; האריה של ברכיה אינו נבהל מן החמור, ומודיע לו שכך גם כל מי שמכיר את מוצאו. "בזוי" הוא עובדיה א, ב, "בזוי אתה מאד", על אדום, שכבר שימש במשל מז. "קשה ערף" הוא כינויו של ישראל בחטא העגל (שמות לב, ט), ושוב מופיע העגל בשולי משל חמור. "התצוד ללביא טרף" הוא איוב לח, לט, מילה במילה, מן השאלות שה' שואל את איוב: האריה שואל את החמור את מה שהאל שאל את האדם. "בני שכולי" הוא ישעיהו מט, כ, "עוד יאמרו באזניך בני שכליך".</w:t>
      </w:r>
    </w:p>
    <w:p>
      <w:pPr>
        <w:bidi/>
        <w:spacing w:after="120" w:before="0" w:line="360"/>
        <w:jc w:val="both"/>
      </w:pPr>
      <w:r>
        <w:rPr>
          <w:rFonts w:ascii="Times New Roman" w:cs="David" w:eastAsia="David" w:hAnsi="Times New Roman"/>
          <w:i w:val="false"/>
          <w:iCs w:val="false"/>
          <w:sz w:val="24"/>
          <w:szCs w:val="24"/>
          <w:rtl/>
        </w:rPr>
        <w:t xml:space="preserve">הסיום כולו נשען על סיפור אחד: איש האלוהים מיהודה, שהאריה הרגו בדרך, "וחמור ואריה עמדים אצל הנבלה", ו"לא אכל האריה את הנבלה ולא שבר את החמור" (מלכים א יג, כד-כח). ברכיה מצטט את התמונה, "והחמור והאריה עומדים אצל הנבלה", ואת הפסוק, "ולא שברת את החמור". בסיפור המקראי הימנעות האריה מן החמור היא נס, אות לכך שהאריה שליח. אצל ברכיה גורי האריה ילעגו לאביהם על אותו נס בדיוק, "איך טרפת בצאן ולא שברת את החמור". הנס הפך לחרפה, ומכאן שהאריה יתקן אותה. סופו של החמור אינו כתוב, אבל הפסוק כותב אותו.</w:t>
      </w:r>
    </w:p>
    <w:p>
      <w:pPr>
        <w:bidi/>
        <w:spacing w:after="120" w:before="0" w:line="360"/>
        <w:jc w:val="both"/>
      </w:pPr>
      <w:r>
        <w:rPr>
          <w:rFonts w:ascii="Times New Roman" w:cs="David" w:eastAsia="David" w:hAnsi="Times New Roman"/>
          <w:i w:val="false"/>
          <w:iCs w:val="false"/>
          <w:sz w:val="24"/>
          <w:szCs w:val="24"/>
          <w:rtl/>
        </w:rPr>
        <w:t xml:space="preserve">הנמשל מצטט את תהלים יב, ד, "לשון מדברת גדלות", ואת ישעיהו י, יג, "בחכמתי כי נבנותי", מנאום הגאווה של מלך אשור. אשור, שהיה ארז הלבנון בנמשלים של משל הצרעה ומשל מז, הוא כאן הלשון המתפארת. המשפט החותם, "שתיקת הכסיל היא תשובתו", אינו פסוק אלא פתגם חכמה, קרוב למשלי יז, כח, "גם אויל מחריש חכם יחשב", ולפתגמים של ספרות המוסר בימי הביניים.</w:t>
      </w:r>
      <w:r>
        <w:rPr>
          <w:rStyle w:val="FootnoteReference"/>
        </w:rPr>
        <w:footnoteReference w:id="31"/>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6.3 הפואטיקה של המשל</w:t>
      </w:r>
    </w:p>
    <w:p>
      <w:pPr>
        <w:bidi/>
        <w:spacing w:after="120" w:before="0" w:line="360"/>
        <w:jc w:val="both"/>
      </w:pPr>
      <w:r>
        <w:rPr>
          <w:rFonts w:ascii="Times New Roman" w:cs="David" w:eastAsia="David" w:hAnsi="Times New Roman"/>
          <w:i w:val="false"/>
          <w:iCs w:val="false"/>
          <w:sz w:val="24"/>
          <w:szCs w:val="24"/>
          <w:rtl/>
        </w:rPr>
        <w:t xml:space="preserve">המשל עוסק בקול, וכל מה שיש לחמור הוא קולו. האריה מגדיר זאת בחלוקת התפקידים, "אתה תשאג ואני אטרוף", והחלוקה עצמה היא החרוז: שאג מול טרף, אחז מול ערף. הקול נשאר קול, והטרף נשאר של הטורף. ברכיה בונה על כך רשת של מילים משורש שמ"ע: "שמני אל משמעתו", "להשמיע במרום קולך", "המון קולך השמיעם", "אל תשמיע עוד קולך", "הלא שמעת", "שמעני אדוני המלך". החמור רוצה להישמע, ובסוף האריה אומר לו שמי שמכיר אותו "מקולך לא יענה". השמיעה חוזרת כאן בהיפוך: במשל הצרעה החמור לא היה יכול לשמוע, וכאן איש אינו רוצה לשמוע אותו.</w:t>
      </w:r>
    </w:p>
    <w:p>
      <w:pPr>
        <w:bidi/>
        <w:spacing w:after="120" w:before="0" w:line="360"/>
        <w:jc w:val="both"/>
      </w:pPr>
      <w:r>
        <w:rPr>
          <w:rFonts w:ascii="Times New Roman" w:cs="David" w:eastAsia="David" w:hAnsi="Times New Roman"/>
          <w:i w:val="false"/>
          <w:iCs w:val="false"/>
          <w:sz w:val="24"/>
          <w:szCs w:val="24"/>
          <w:rtl/>
        </w:rPr>
        <w:t xml:space="preserve">האמצעי המרכזי הוא הפער בין שני רבדים של דיבור. החמור מדבר בלשון האל, בפסוקים של הבריאה, של הנקמה ושל מתן החוקים, והאריה עונה לו בשאלות שהאל שאל את איוב. ההגזמה של החמור נמדדת בפסוקיו: הוא מייחס לעצמו את "מן גערתך ינוסון" ואת "ואלה המשפטים". תשובת האריה קצרה, ובה שתי הגדרות ושאלה אחת: "בזוי ושפל וקשה ערף / התצוד ללביא טרף". השאלה הרטורית של איוב לח, שבמקור מזכירה לאדם שאינו יכול לצוד לאריה, מזכירה לחמור אותו הדבר. גם כאן, כמו במשל מז, המשלב הנבואי נותן לתשובה תוקף שאין למשל האיזופי.</w:t>
      </w:r>
    </w:p>
    <w:p>
      <w:pPr>
        <w:bidi/>
        <w:spacing w:after="120" w:before="0" w:line="360"/>
        <w:jc w:val="both"/>
      </w:pPr>
      <w:r>
        <w:rPr>
          <w:rFonts w:ascii="Times New Roman" w:cs="David" w:eastAsia="David" w:hAnsi="Times New Roman"/>
          <w:i w:val="false"/>
          <w:iCs w:val="false"/>
          <w:sz w:val="24"/>
          <w:szCs w:val="24"/>
          <w:rtl/>
        </w:rPr>
        <w:t xml:space="preserve">אמצעי שלישי הוא האירוניה של המונולוג הפנימי. החמור מפרש הזמנה כמינוי, "אותי בחר אין זר אתו", ואת ההזמנה לצעוק כהוכחה שהוא נחוץ. הקורא רואה את הפרשנות מתנפחת מן ההזמנה הראשונה ועד "משנה למלך", ורואה בו זמנית את הפסוק של המן שתלוי מעליה. ברכיה אינו מפרש. הוא מניח את "למי יחפץ המלך" ומשאיר לקורא לזכור מה קרה למי שחשב כך.</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6.4 הקשר בין המשל לנמשל</w:t>
      </w:r>
    </w:p>
    <w:p>
      <w:pPr>
        <w:bidi/>
        <w:spacing w:after="120" w:before="0" w:line="360"/>
        <w:jc w:val="both"/>
      </w:pPr>
      <w:r>
        <w:rPr>
          <w:rFonts w:ascii="Times New Roman" w:cs="David" w:eastAsia="David" w:hAnsi="Times New Roman"/>
          <w:i w:val="false"/>
          <w:iCs w:val="false"/>
          <w:sz w:val="24"/>
          <w:szCs w:val="24"/>
          <w:rtl/>
        </w:rPr>
        <w:t xml:space="preserve">הנמשל שונה משלושת הנמשלים הקודמים בנקודה אחת חשובה: הוא פותח בנכבד ולא בבזוי. "והמשל באיש נכבד אשר יקרב בזוי ונקלה", ורק אחר כך בא הבזוי המתגאה. האחריות מונחת קודם על מי שקירב. במשל זה האריה, שקרא לחמור, שהזמין אותו לרעום, ושבסוף מתבייש בו. הקשר בין המשל לנמשל הדוק: כמו במשל, גם בנמשל הגאווה "תצמח ותגלה" מתוך הקרבה, וכמו במשל, סופה בלשון מדברת גדולות, "כזאת וכזאת עשיתי". החמור אכן אומר "כזאת וכזאת": "ואפחיד הבהמות ואוריד לארץ נצחם".</w:t>
      </w:r>
    </w:p>
    <w:p>
      <w:pPr>
        <w:bidi/>
        <w:spacing w:after="120" w:before="0" w:line="360"/>
        <w:jc w:val="both"/>
      </w:pPr>
      <w:r>
        <w:rPr>
          <w:rFonts w:ascii="Times New Roman" w:cs="David" w:eastAsia="David" w:hAnsi="Times New Roman"/>
          <w:i w:val="false"/>
          <w:iCs w:val="false"/>
          <w:sz w:val="24"/>
          <w:szCs w:val="24"/>
          <w:rtl/>
        </w:rPr>
        <w:t xml:space="preserve">אבל יש פער אחד בין המשל לנמשל, והוא מעניין. הנמשל מסתיים בהמלצה על שתיקה: "שתיקת הכסיל היא תשובתו". האריה של המשל אינו שותק. הוא עונה, ותשובתו היא בוז ואיום. אפשר לומר שברכיה מציע בנמשל את מה שהאריה היה צריך לעשות, ואפשר לומר שבמשל האריה מגלם את הנכבד שטעה פעמיים: קירב את הבזוי ואחר כך ענה לו. כך או כך, הנמשל מוסיף על המשל שיפוט מוסרי גם על החזק, וזה חידוש לעומת המקור הלטיני, שבו האריה צודק בלבד. התכונה שהחמור מייצג היא גאוות הקול, ההתפארות במה שאינו כלום, ובעומקה שוב אי־ידיעת השפלות: "ולא יכיר את שפלותו", כלשון הנמשל, לעומת "מכיר מקומו" שבחרוז הפותח.</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7: סיכום ומסקנות</w:t>
      </w:r>
    </w:p>
    <w:p>
      <w:pPr>
        <w:bidi/>
        <w:spacing w:after="120" w:before="0" w:line="360"/>
        <w:jc w:val="both"/>
      </w:pPr>
      <w:r>
        <w:rPr>
          <w:rFonts w:ascii="Times New Roman" w:cs="David" w:eastAsia="David" w:hAnsi="Times New Roman"/>
          <w:i w:val="false"/>
          <w:iCs w:val="false"/>
          <w:sz w:val="24"/>
          <w:szCs w:val="24"/>
          <w:rtl/>
        </w:rPr>
        <w:t xml:space="preserve">העבודה שאלה מהי התכונה שהחמור מייצג במשליו של ברכיה הנקדן, וכיצד נבנה הקשר בין המשל לנמשל. לארבעת המשלים ארבעה חרוזים פותחים שונים: זלזול בקטן, גאווה בלי חוכמה, קנאה, אי־הכרת המקום. אבל בארבעתם החמור עושה אותו הדבר: הוא מנסה להיות מה שאינו. שליט שאינו חושש מצרעה, אריה, כלב חיק, משנה למלך. בארבעתם הכישלון בא מן הגוף, מן האוזן שאי אפשר לסתום, מן האוזניים שמציצות מעור האריה, מן הגוף הכבד שנופל על האדון, מן הקול שאינו אלא נעירה. ובארבעתם הסוף הוא חזרה למקום: עבדות, משא כפול, אבוס, ובמשל סה, ברמז, שיני האריה. החמור של ברכיה אינו הכסיל של איזופוס. הוא מי שאינו יודע את מקומו, וברכיה מרחיק לכת ומסביר, דרך השיבוצים, שאי־ידיעת המקום היא חטא: "לא ידע" של ישעיהו, "דע מאין באת" של עקביא.</w:t>
      </w:r>
    </w:p>
    <w:p>
      <w:pPr>
        <w:bidi/>
        <w:spacing w:after="120" w:before="0" w:line="360"/>
        <w:jc w:val="both"/>
      </w:pPr>
      <w:r>
        <w:rPr>
          <w:rFonts w:ascii="Times New Roman" w:cs="David" w:eastAsia="David" w:hAnsi="Times New Roman"/>
          <w:i w:val="false"/>
          <w:iCs w:val="false"/>
          <w:sz w:val="24"/>
          <w:szCs w:val="24"/>
          <w:rtl/>
        </w:rPr>
        <w:t xml:space="preserve">הקשר בין המשל לנמשל נבנה בשלוש דרכים. הראשונה גלויה: הנמשל מתרגם את סיפור החיות ללשון החברה, לגדול ולקטן, לבן בלי שם ולמכבדיו, לאיש שרוצה למשול. השנייה היא השיבוץ, וזו הדרך העיקרית. הפסוקים שברכיה שם בפי החמור ובפי סובביו מציבים מאחוריו דמויות מקראיות שסופן ידוע: אמציה שאמר "נתראה פנים", רחבעם שאמר "קטני עבה ממתני", אדוניה שאמר "אני אמלך", המן שאמר "למי יחפץ המלך", נגיד צור, אדום, ארז אשור, בנות ציון נטויות הגרון. הקורא המשכיל קורא את הסוף בפסוק לפני שהסיפור מגיע אליו, והנמשל רק מאשר. במובן זה השיבוץ אצל ברכיה הוא אמצעי של הטרמה, לא של קישוט. השלישית היא השיר החותם, שמוסיף על הנמשל דוגמה מקראית מפורשת, שאול ואתונותיו, ובכך קושר את משל החיות למשל שלמה ולסיפור המקראי.</w:t>
      </w:r>
    </w:p>
    <w:p>
      <w:pPr>
        <w:bidi/>
        <w:spacing w:after="120" w:before="0" w:line="360"/>
        <w:jc w:val="both"/>
      </w:pPr>
      <w:r>
        <w:rPr>
          <w:rFonts w:ascii="Times New Roman" w:cs="David" w:eastAsia="David" w:hAnsi="Times New Roman"/>
          <w:i w:val="false"/>
          <w:iCs w:val="false"/>
          <w:sz w:val="24"/>
          <w:szCs w:val="24"/>
          <w:rtl/>
        </w:rPr>
        <w:t xml:space="preserve">העבודה העלתה גם ממצא שלא צפיתי בתחילתה. במשלים מז, יד ו-סה מסתתר מתחת לנמשל החברתי רובד תיאולוגי: האדון מדבר בלשון הנביאים, החמור "הולך בקרי" ו"לוקח כפליים", בני הבית מכים אותו במילים שנאמרו לשטן על איוב, והאריה שואל אותו את שאלות ה' לאיוב מן הסערה. הנמשל אינו מזכיר דבר מכל זה. ברכיה כותב אפוא בשתי שכבות: שכבה לכל קורא, שבה גאווה נענשת, ושכבה למי שיודע את הפסוקים, שבה מרד באדון הוא מרד בסדר שקבע האדון העליון. אפשר לקשור זאת להקדמת הספר, שבה תלונתו של ברכיה על דורו היא בו זמנית חברתית ודתית.</w:t>
      </w:r>
    </w:p>
    <w:p>
      <w:pPr>
        <w:bidi/>
        <w:spacing w:after="120" w:before="0" w:line="360"/>
        <w:jc w:val="both"/>
      </w:pPr>
      <w:r>
        <w:rPr>
          <w:rFonts w:ascii="Times New Roman" w:cs="David" w:eastAsia="David" w:hAnsi="Times New Roman"/>
          <w:i w:val="false"/>
          <w:iCs w:val="false"/>
          <w:sz w:val="24"/>
          <w:szCs w:val="24"/>
          <w:rtl/>
        </w:rPr>
        <w:t xml:space="preserve">ממצא נוסף נוגע לאוזן ולשמיעה. בשלושה מן המשלים האוזן של החמור היא מרכז: צרעה נכנסת בה, היא מציצה מעור האריה, והחמור מלקק את אדוניו "סביב אזניו". האריה אומר לחמור "האזן", ובמשל סה החמור רוצה רק "להשמיע" ומתבשר ש"מקולך לא יענה". החמור, שסימנו הגופני הוא האוזן הגדולה, הוא בעל החיים שאינו שומע ושאיש אינו רוצה לשמוע. ישעיהו אמר שהחמור יודע ועמי לא התבונן; ברכיה, שהיה נקדן ואיש של פסוקים, לוקח את החמור היודע של ישעיהו ועושה אותו לעם שאינו מתבונן.</w:t>
      </w:r>
    </w:p>
    <w:p>
      <w:pPr>
        <w:bidi/>
        <w:spacing w:after="120" w:before="0" w:line="360"/>
        <w:jc w:val="both"/>
      </w:pPr>
      <w:r>
        <w:rPr>
          <w:rFonts w:ascii="Times New Roman" w:cs="David" w:eastAsia="David" w:hAnsi="Times New Roman"/>
          <w:i w:val="false"/>
          <w:iCs w:val="false"/>
          <w:sz w:val="24"/>
          <w:szCs w:val="24"/>
          <w:rtl/>
        </w:rPr>
        <w:t xml:space="preserve">מבחינת ההשוואה למקורות, המסקנה היא שברכיה שינה את התכונה. החמור האיזופי טיפש; החמור של ברכיה גאה. זה עולה בקנה אחד עם מה שהראה שורצבוים על דרכו של ברכיה להוסיף לכל משל ממד מוסרי, ועם מה שיסיף מתאר כדרכו של המשל העברי לקבע לכל חיה תכונה אחת. אלא שאצל ברכיה התכונה אינה מקובעת אלא מנומקת: החמור גאה מפני שאינו יודע מי הוא. יש להוסיף שהאריה מופיע בשלושה מארבעת המשלים, כיועץ, כעור וכמלך, ובכולם הוא קנה המידה שהחמור נמדד בו ונכשל: הוא אינו יכול לעמוד בעצתו, ללבוש את עורו או לצוד בשבילו. הנמשל של משל סה אף מטיל חלק מן האחריות על האריה עצמו, ובכך ברכיה מרחיק לכת מעבר למקורו הלטיני.</w:t>
      </w:r>
    </w:p>
    <w:p>
      <w:pPr>
        <w:bidi/>
        <w:spacing w:after="120" w:before="0" w:line="360"/>
        <w:jc w:val="both"/>
      </w:pPr>
      <w:r>
        <w:rPr>
          <w:rFonts w:ascii="Times New Roman" w:cs="David" w:eastAsia="David" w:hAnsi="Times New Roman"/>
          <w:i w:val="false"/>
          <w:iCs w:val="false"/>
          <w:sz w:val="24"/>
          <w:szCs w:val="24"/>
          <w:rtl/>
        </w:rPr>
        <w:t xml:space="preserve">העבודה מוגבלת בכמה מובנים, וכל אחד מהם פותח כיוון להמשך. נותחו ארבעה משלים בלבד, ובמשלי שועלים יש חמורים נוספים. ההשוואה למארי דה פראנס נעשתה על פי תוכן ולא על פי הטקסט הצרפתי, ובדיקה צמודה של הנוסח יכולה להראות מה בדיוק שינה ברכיה. ולבסוף, השימוש החוזר ביחזקאל לא ובנאום אשור בישעיהו י בשלושה נמשלים מעלה שאלה רחבה יותר: האם יש לברכיה "פסוקי בית" קבועים לכל תכונה, שחוזרים לאורך הספר. בדיקה של כלל הנמשלים בספר לפי מקורותיהם המקראיים היא המחקר הבא שהעבודה הזאת מציעה.</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ביבליוגרפיה</w:t>
      </w:r>
    </w:p>
    <w:p>
      <w:pPr>
        <w:keepNext/>
        <w:bidi/>
        <w:spacing w:after="120" w:before="240" w:line="360"/>
        <w:jc w:val="start"/>
      </w:pPr>
      <w:r>
        <w:rPr>
          <w:rFonts w:ascii="Times New Roman" w:cs="David" w:eastAsia="David" w:hAnsi="Times New Roman"/>
          <w:b/>
          <w:bCs/>
          <w:i w:val="false"/>
          <w:iCs w:val="false"/>
          <w:sz w:val="26"/>
          <w:szCs w:val="26"/>
          <w:rtl/>
        </w:rPr>
        <w:t xml:space="preserve">מקורות ראשוניים</w:t>
      </w:r>
    </w:p>
    <w:p>
      <w:pPr>
        <w:bidi/>
        <w:spacing w:after="160" w:before="0" w:line="276"/>
        <w:ind w:start="709" w:hanging="709"/>
        <w:jc w:val="both"/>
      </w:pPr>
      <w:r>
        <w:rPr>
          <w:rFonts w:ascii="Times New Roman" w:cs="David" w:eastAsia="David" w:hAnsi="Times New Roman"/>
          <w:i w:val="false"/>
          <w:iCs w:val="false"/>
          <w:sz w:val="24"/>
          <w:szCs w:val="24"/>
          <w:rtl/>
        </w:rPr>
        <w:t xml:space="preserve">איסופוס, </w:t>
      </w:r>
      <w:r>
        <w:rPr>
          <w:rFonts w:ascii="Times New Roman" w:cs="David" w:eastAsia="David" w:hAnsi="Times New Roman"/>
          <w:i/>
          <w:iCs/>
          <w:sz w:val="24"/>
          <w:szCs w:val="24"/>
          <w:rtl/>
        </w:rPr>
        <w:t xml:space="preserve">משלי איסופוס</w:t>
      </w:r>
      <w:r>
        <w:rPr>
          <w:rFonts w:ascii="Times New Roman" w:cs="David" w:eastAsia="David" w:hAnsi="Times New Roman"/>
          <w:i w:val="false"/>
          <w:iCs w:val="false"/>
          <w:sz w:val="24"/>
          <w:szCs w:val="24"/>
          <w:rtl/>
        </w:rPr>
        <w:t xml:space="preserve">, תרגם שלמה שפאן, ירושלים: מוסד ביאליק, תש"ך.</w:t>
      </w:r>
    </w:p>
    <w:p>
      <w:pPr>
        <w:bidi/>
        <w:spacing w:after="160" w:before="0" w:line="276"/>
        <w:ind w:start="709" w:hanging="709"/>
        <w:jc w:val="both"/>
      </w:pPr>
      <w:r>
        <w:rPr>
          <w:rFonts w:ascii="Times New Roman" w:cs="David" w:eastAsia="David" w:hAnsi="Times New Roman"/>
          <w:i/>
          <w:iCs/>
          <w:sz w:val="24"/>
          <w:szCs w:val="24"/>
          <w:rtl/>
        </w:rPr>
        <w:t xml:space="preserve">אלף לילה ולילה</w:t>
      </w:r>
      <w:r>
        <w:rPr>
          <w:rFonts w:ascii="Times New Roman" w:cs="David" w:eastAsia="David" w:hAnsi="Times New Roman"/>
          <w:i w:val="false"/>
          <w:iCs w:val="false"/>
          <w:sz w:val="24"/>
          <w:szCs w:val="24"/>
          <w:rtl/>
        </w:rPr>
        <w:t xml:space="preserve">, תרגם מערבית יוסף יואל ריבלין, כרך א, תל אביב: קרית ספר, תש"ז.</w:t>
      </w:r>
    </w:p>
    <w:p>
      <w:pPr>
        <w:bidi/>
        <w:spacing w:after="160" w:before="0" w:line="276"/>
        <w:ind w:start="709" w:hanging="709"/>
        <w:jc w:val="both"/>
      </w:pPr>
      <w:r>
        <w:rPr>
          <w:rFonts w:ascii="Times New Roman" w:cs="David" w:eastAsia="David" w:hAnsi="Times New Roman"/>
          <w:i w:val="false"/>
          <w:iCs w:val="false"/>
          <w:sz w:val="24"/>
          <w:szCs w:val="24"/>
          <w:rtl/>
        </w:rPr>
        <w:t xml:space="preserve">גרים, יעקב ווילהלם, </w:t>
      </w:r>
      <w:r>
        <w:rPr>
          <w:rFonts w:ascii="Times New Roman" w:cs="David" w:eastAsia="David" w:hAnsi="Times New Roman"/>
          <w:i/>
          <w:iCs/>
          <w:sz w:val="24"/>
          <w:szCs w:val="24"/>
          <w:rtl/>
        </w:rPr>
        <w:t xml:space="preserve">מעשיות האחים גרים</w:t>
      </w:r>
      <w:r>
        <w:rPr>
          <w:rFonts w:ascii="Times New Roman" w:cs="David" w:eastAsia="David" w:hAnsi="Times New Roman"/>
          <w:i w:val="false"/>
          <w:iCs w:val="false"/>
          <w:sz w:val="24"/>
          <w:szCs w:val="24"/>
          <w:rtl/>
        </w:rPr>
        <w:t xml:space="preserve">, תרגם שמעון לוי, תל אביב: ספרית פועלים, 1994.</w:t>
      </w:r>
    </w:p>
    <w:p>
      <w:pPr>
        <w:bidi/>
        <w:spacing w:after="160" w:before="0" w:line="276"/>
        <w:ind w:start="709" w:hanging="709"/>
        <w:jc w:val="both"/>
      </w:pPr>
      <w:r>
        <w:rPr>
          <w:rFonts w:ascii="Times New Roman" w:cs="David" w:eastAsia="David" w:hAnsi="Times New Roman"/>
          <w:i/>
          <w:iCs/>
          <w:sz w:val="24"/>
          <w:szCs w:val="24"/>
          <w:rtl/>
        </w:rPr>
        <w:t xml:space="preserve">הקוראן</w:t>
      </w:r>
      <w:r>
        <w:rPr>
          <w:rFonts w:ascii="Times New Roman" w:cs="David" w:eastAsia="David" w:hAnsi="Times New Roman"/>
          <w:i w:val="false"/>
          <w:iCs w:val="false"/>
          <w:sz w:val="24"/>
          <w:szCs w:val="24"/>
          <w:rtl/>
        </w:rPr>
        <w:t xml:space="preserve">, תרגם מערבית אורי רובין, תל אביב: אוניברסיטת תל אביב, 2005.</w:t>
      </w:r>
    </w:p>
    <w:p>
      <w:pPr>
        <w:bidi/>
        <w:spacing w:after="160" w:before="0" w:line="276"/>
        <w:ind w:start="709" w:hanging="709"/>
        <w:jc w:val="both"/>
      </w:pPr>
      <w:r>
        <w:rPr>
          <w:rFonts w:ascii="Times New Roman" w:cs="David" w:eastAsia="David" w:hAnsi="Times New Roman"/>
          <w:i w:val="false"/>
          <w:iCs w:val="false"/>
          <w:sz w:val="24"/>
          <w:szCs w:val="24"/>
          <w:rtl/>
        </w:rPr>
        <w:t xml:space="preserve">ברכיה הנקדן, </w:t>
      </w:r>
      <w:r>
        <w:rPr>
          <w:rFonts w:ascii="Times New Roman" w:cs="David" w:eastAsia="David" w:hAnsi="Times New Roman"/>
          <w:i/>
          <w:iCs/>
          <w:sz w:val="24"/>
          <w:szCs w:val="24"/>
          <w:rtl/>
        </w:rPr>
        <w:t xml:space="preserve">משלי שועלים</w:t>
      </w:r>
      <w:r>
        <w:rPr>
          <w:rFonts w:ascii="Times New Roman" w:cs="David" w:eastAsia="David" w:hAnsi="Times New Roman"/>
          <w:i w:val="false"/>
          <w:iCs w:val="false"/>
          <w:sz w:val="24"/>
          <w:szCs w:val="24"/>
          <w:rtl/>
        </w:rPr>
        <w:t xml:space="preserve">, מהדורת א"מ הברמן, ירושלים ותל אביב: שוקן, תש"ו.</w:t>
      </w:r>
    </w:p>
    <w:p>
      <w:pPr>
        <w:bidi/>
        <w:spacing w:after="160" w:before="0" w:line="276"/>
        <w:ind w:start="709" w:hanging="709"/>
        <w:jc w:val="both"/>
      </w:pPr>
      <w:r>
        <w:rPr>
          <w:rFonts w:ascii="Times New Roman" w:cs="David" w:eastAsia="David" w:hAnsi="Times New Roman"/>
          <w:i/>
          <w:iCs/>
          <w:sz w:val="24"/>
          <w:szCs w:val="24"/>
          <w:rtl/>
        </w:rPr>
        <w:t xml:space="preserve">משנה</w:t>
      </w:r>
      <w:r>
        <w:rPr>
          <w:rFonts w:ascii="Times New Roman" w:cs="David" w:eastAsia="David" w:hAnsi="Times New Roman"/>
          <w:i w:val="false"/>
          <w:iCs w:val="false"/>
          <w:sz w:val="24"/>
          <w:szCs w:val="24"/>
          <w:rtl/>
        </w:rPr>
        <w:t xml:space="preserve">, ששה סדרי משנה, מהדורת חנוך אלבק, ירושלים ותל אביב: מוסד ביאליק ודביר, תשי"ב-תשי"ט.</w:t>
      </w:r>
    </w:p>
    <w:p>
      <w:pPr>
        <w:bidi/>
        <w:spacing w:after="160" w:before="0" w:line="276"/>
        <w:ind w:start="709" w:hanging="709"/>
        <w:jc w:val="both"/>
      </w:pPr>
      <w:r>
        <w:rPr>
          <w:rFonts w:ascii="Times New Roman" w:cs="David" w:eastAsia="David" w:hAnsi="Times New Roman"/>
          <w:i/>
          <w:iCs/>
          <w:sz w:val="24"/>
          <w:szCs w:val="24"/>
          <w:rtl/>
        </w:rPr>
        <w:t xml:space="preserve">פרקי דרבי אליעזר</w:t>
      </w:r>
      <w:r>
        <w:rPr>
          <w:rFonts w:ascii="Times New Roman" w:cs="David" w:eastAsia="David" w:hAnsi="Times New Roman"/>
          <w:i w:val="false"/>
          <w:iCs w:val="false"/>
          <w:sz w:val="24"/>
          <w:szCs w:val="24"/>
          <w:rtl/>
        </w:rPr>
        <w:t xml:space="preserve">, ורשה: תרי"ב [דפוס צילום].</w:t>
      </w:r>
    </w:p>
    <w:p>
      <w:pPr>
        <w:bidi/>
        <w:spacing w:after="160" w:before="0" w:line="276"/>
        <w:ind w:start="709" w:hanging="709"/>
        <w:jc w:val="both"/>
      </w:pPr>
      <w:r>
        <w:rPr>
          <w:rFonts w:ascii="Times New Roman" w:cs="David" w:eastAsia="David" w:hAnsi="Times New Roman"/>
          <w:i/>
          <w:iCs/>
          <w:sz w:val="24"/>
          <w:szCs w:val="24"/>
          <w:rtl/>
        </w:rPr>
        <w:t xml:space="preserve">תלמוד בבלי</w:t>
      </w:r>
      <w:r>
        <w:rPr>
          <w:rFonts w:ascii="Times New Roman" w:cs="David" w:eastAsia="David" w:hAnsi="Times New Roman"/>
          <w:i w:val="false"/>
          <w:iCs w:val="false"/>
          <w:sz w:val="24"/>
          <w:szCs w:val="24"/>
          <w:rtl/>
        </w:rPr>
        <w:t xml:space="preserve">, דפוס וילנא.</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Berechiah ha-Nakdan, </w:t>
      </w:r>
      <w:r>
        <w:rPr>
          <w:rFonts w:ascii="Times New Roman" w:cs="David" w:eastAsia="David" w:hAnsi="Times New Roman"/>
          <w:i/>
          <w:iCs/>
          <w:sz w:val="24"/>
          <w:szCs w:val="24"/>
          <w:rtl w:val="false"/>
        </w:rPr>
        <w:t xml:space="preserve">Fables of a Jewish Aesop</w:t>
      </w:r>
      <w:r>
        <w:rPr>
          <w:rFonts w:ascii="Times New Roman" w:cs="David" w:eastAsia="David" w:hAnsi="Times New Roman"/>
          <w:i w:val="false"/>
          <w:iCs w:val="false"/>
          <w:sz w:val="24"/>
          <w:szCs w:val="24"/>
          <w:rtl w:val="false"/>
        </w:rPr>
        <w:t xml:space="preserve">, trans. Moses Hadas, New York: Columbia University Press, 1967.</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Barney, Stephen A., W. J. Lewis, J. A. Beach, and Oliver Berghof (trans.), </w:t>
      </w:r>
      <w:r>
        <w:rPr>
          <w:rFonts w:ascii="Times New Roman" w:cs="David" w:eastAsia="David" w:hAnsi="Times New Roman"/>
          <w:i/>
          <w:iCs/>
          <w:sz w:val="24"/>
          <w:szCs w:val="24"/>
          <w:rtl w:val="false"/>
        </w:rPr>
        <w:t xml:space="preserve">The Etymologies of Isidore of Seville</w:t>
      </w:r>
      <w:r>
        <w:rPr>
          <w:rFonts w:ascii="Times New Roman" w:cs="David" w:eastAsia="David" w:hAnsi="Times New Roman"/>
          <w:i w:val="false"/>
          <w:iCs w:val="false"/>
          <w:sz w:val="24"/>
          <w:szCs w:val="24"/>
          <w:rtl w:val="false"/>
        </w:rPr>
        <w:t xml:space="preserve">, Cambridge: Cambridge University Press, 2006.</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Derenbourg, Joseph (ed.), </w:t>
      </w:r>
      <w:r>
        <w:rPr>
          <w:rFonts w:ascii="Times New Roman" w:cs="David" w:eastAsia="David" w:hAnsi="Times New Roman"/>
          <w:i/>
          <w:iCs/>
          <w:sz w:val="24"/>
          <w:szCs w:val="24"/>
          <w:rtl w:val="false"/>
        </w:rPr>
        <w:t xml:space="preserve">Deux versions hébraïques du livre de Kalîlâh et Dimnâh</w:t>
      </w:r>
      <w:r>
        <w:rPr>
          <w:rFonts w:ascii="Times New Roman" w:cs="David" w:eastAsia="David" w:hAnsi="Times New Roman"/>
          <w:i w:val="false"/>
          <w:iCs w:val="false"/>
          <w:sz w:val="24"/>
          <w:szCs w:val="24"/>
          <w:rtl w:val="false"/>
        </w:rPr>
        <w:t xml:space="preserve">, Paris: F. Vieweg, 1881.</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Elliott, J. K., </w:t>
      </w:r>
      <w:r>
        <w:rPr>
          <w:rFonts w:ascii="Times New Roman" w:cs="David" w:eastAsia="David" w:hAnsi="Times New Roman"/>
          <w:i/>
          <w:iCs/>
          <w:sz w:val="24"/>
          <w:szCs w:val="24"/>
          <w:rtl w:val="false"/>
        </w:rPr>
        <w:t xml:space="preserve">The Apocryphal New Testament</w:t>
      </w:r>
      <w:r>
        <w:rPr>
          <w:rFonts w:ascii="Times New Roman" w:cs="David" w:eastAsia="David" w:hAnsi="Times New Roman"/>
          <w:i w:val="false"/>
          <w:iCs w:val="false"/>
          <w:sz w:val="24"/>
          <w:szCs w:val="24"/>
          <w:rtl w:val="false"/>
        </w:rPr>
        <w:t xml:space="preserve">, Oxford: Clarendon Press, 1993.</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Ibn Sahula, Isaac, </w:t>
      </w:r>
      <w:r>
        <w:rPr>
          <w:rFonts w:ascii="Times New Roman" w:cs="David" w:eastAsia="David" w:hAnsi="Times New Roman"/>
          <w:i/>
          <w:iCs/>
          <w:sz w:val="24"/>
          <w:szCs w:val="24"/>
          <w:rtl w:val="false"/>
        </w:rPr>
        <w:t xml:space="preserve">Meshal Haqadmoni: Fables from the Distant Past</w:t>
      </w:r>
      <w:r>
        <w:rPr>
          <w:rFonts w:ascii="Times New Roman" w:cs="David" w:eastAsia="David" w:hAnsi="Times New Roman"/>
          <w:i w:val="false"/>
          <w:iCs w:val="false"/>
          <w:sz w:val="24"/>
          <w:szCs w:val="24"/>
          <w:rtl w:val="false"/>
        </w:rPr>
        <w:t xml:space="preserve">, ed. and trans. Raphael Loewe, 2 vols., Oxford: Littman Library of Jewish Civilization, 2004.</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Marie de France, </w:t>
      </w:r>
      <w:r>
        <w:rPr>
          <w:rFonts w:ascii="Times New Roman" w:cs="David" w:eastAsia="David" w:hAnsi="Times New Roman"/>
          <w:i/>
          <w:iCs/>
          <w:sz w:val="24"/>
          <w:szCs w:val="24"/>
          <w:rtl w:val="false"/>
        </w:rPr>
        <w:t xml:space="preserve">Fables</w:t>
      </w:r>
      <w:r>
        <w:rPr>
          <w:rFonts w:ascii="Times New Roman" w:cs="David" w:eastAsia="David" w:hAnsi="Times New Roman"/>
          <w:i w:val="false"/>
          <w:iCs w:val="false"/>
          <w:sz w:val="24"/>
          <w:szCs w:val="24"/>
          <w:rtl w:val="false"/>
        </w:rPr>
        <w:t xml:space="preserve">, ed. and trans. Harriet Spiegel, Toronto: University of Toronto Press, 1987.</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Perry, Ben Edwin, </w:t>
      </w:r>
      <w:r>
        <w:rPr>
          <w:rFonts w:ascii="Times New Roman" w:cs="David" w:eastAsia="David" w:hAnsi="Times New Roman"/>
          <w:i/>
          <w:iCs/>
          <w:sz w:val="24"/>
          <w:szCs w:val="24"/>
          <w:rtl w:val="false"/>
        </w:rPr>
        <w:t xml:space="preserve">Aesopica</w:t>
      </w:r>
      <w:r>
        <w:rPr>
          <w:rFonts w:ascii="Times New Roman" w:cs="David" w:eastAsia="David" w:hAnsi="Times New Roman"/>
          <w:i w:val="false"/>
          <w:iCs w:val="false"/>
          <w:sz w:val="24"/>
          <w:szCs w:val="24"/>
          <w:rtl w:val="false"/>
        </w:rPr>
        <w:t xml:space="preserve">, vol. 1, Urbana: University of Illinois Press, 1952.</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Perry, Ben Edwin (ed. and trans.), </w:t>
      </w:r>
      <w:r>
        <w:rPr>
          <w:rFonts w:ascii="Times New Roman" w:cs="David" w:eastAsia="David" w:hAnsi="Times New Roman"/>
          <w:i/>
          <w:iCs/>
          <w:sz w:val="24"/>
          <w:szCs w:val="24"/>
          <w:rtl w:val="false"/>
        </w:rPr>
        <w:t xml:space="preserve">Babrius and Phaedrus</w:t>
      </w:r>
      <w:r>
        <w:rPr>
          <w:rFonts w:ascii="Times New Roman" w:cs="David" w:eastAsia="David" w:hAnsi="Times New Roman"/>
          <w:i w:val="false"/>
          <w:iCs w:val="false"/>
          <w:sz w:val="24"/>
          <w:szCs w:val="24"/>
          <w:rtl w:val="false"/>
        </w:rPr>
        <w:t xml:space="preserve">, Loeb Classical Library, Cambridge, MA: Harvard University Press, 1965.</w:t>
      </w:r>
    </w:p>
    <w:p>
      <w:pPr>
        <w:keepNext/>
        <w:bidi/>
        <w:spacing w:after="120" w:before="240" w:line="360"/>
        <w:jc w:val="start"/>
      </w:pPr>
      <w:r>
        <w:rPr>
          <w:rFonts w:ascii="Times New Roman" w:cs="David" w:eastAsia="David" w:hAnsi="Times New Roman"/>
          <w:b/>
          <w:bCs/>
          <w:i w:val="false"/>
          <w:iCs w:val="false"/>
          <w:sz w:val="26"/>
          <w:szCs w:val="26"/>
          <w:rtl/>
        </w:rPr>
        <w:t xml:space="preserve">מחקרים</w:t>
      </w:r>
    </w:p>
    <w:p>
      <w:pPr>
        <w:bidi/>
        <w:spacing w:after="160" w:before="0" w:line="276"/>
        <w:ind w:start="709" w:hanging="709"/>
        <w:jc w:val="both"/>
      </w:pPr>
      <w:r>
        <w:rPr>
          <w:rFonts w:ascii="Times New Roman" w:cs="David" w:eastAsia="David" w:hAnsi="Times New Roman"/>
          <w:i w:val="false"/>
          <w:iCs w:val="false"/>
          <w:sz w:val="24"/>
          <w:szCs w:val="24"/>
          <w:rtl/>
        </w:rPr>
        <w:t xml:space="preserve">יסיף, עלי, </w:t>
      </w:r>
      <w:r>
        <w:rPr>
          <w:rFonts w:ascii="Times New Roman" w:cs="David" w:eastAsia="David" w:hAnsi="Times New Roman"/>
          <w:i/>
          <w:iCs/>
          <w:sz w:val="24"/>
          <w:szCs w:val="24"/>
          <w:rtl/>
        </w:rPr>
        <w:t xml:space="preserve">סיפור העם העברי: תולדותיו, סוגיו ומשמעותו</w:t>
      </w:r>
      <w:r>
        <w:rPr>
          <w:rFonts w:ascii="Times New Roman" w:cs="David" w:eastAsia="David" w:hAnsi="Times New Roman"/>
          <w:i w:val="false"/>
          <w:iCs w:val="false"/>
          <w:sz w:val="24"/>
          <w:szCs w:val="24"/>
          <w:rtl/>
        </w:rPr>
        <w:t xml:space="preserve">, ירושלים: מוסד ביאליק, תשנ"ד.</w:t>
      </w:r>
    </w:p>
    <w:p>
      <w:pPr>
        <w:bidi/>
        <w:spacing w:after="160" w:before="0" w:line="276"/>
        <w:ind w:start="709" w:hanging="709"/>
        <w:jc w:val="both"/>
      </w:pPr>
      <w:r>
        <w:rPr>
          <w:rFonts w:ascii="Times New Roman" w:cs="David" w:eastAsia="David" w:hAnsi="Times New Roman"/>
          <w:i w:val="false"/>
          <w:iCs w:val="false"/>
          <w:sz w:val="24"/>
          <w:szCs w:val="24"/>
          <w:rtl/>
        </w:rPr>
        <w:t xml:space="preserve">פגיס, דן, </w:t>
      </w:r>
      <w:r>
        <w:rPr>
          <w:rFonts w:ascii="Times New Roman" w:cs="David" w:eastAsia="David" w:hAnsi="Times New Roman"/>
          <w:i/>
          <w:iCs/>
          <w:sz w:val="24"/>
          <w:szCs w:val="24"/>
          <w:rtl/>
        </w:rPr>
        <w:t xml:space="preserve">חידוש ומסורת בשירת החול העברית: ספרד ואיטליה</w:t>
      </w:r>
      <w:r>
        <w:rPr>
          <w:rFonts w:ascii="Times New Roman" w:cs="David" w:eastAsia="David" w:hAnsi="Times New Roman"/>
          <w:i w:val="false"/>
          <w:iCs w:val="false"/>
          <w:sz w:val="24"/>
          <w:szCs w:val="24"/>
          <w:rtl/>
        </w:rPr>
        <w:t xml:space="preserve">, ירושלים: כתר, 1976.</w:t>
      </w:r>
    </w:p>
    <w:p>
      <w:pPr>
        <w:bidi/>
        <w:spacing w:after="160" w:before="0" w:line="276"/>
        <w:ind w:start="709" w:hanging="709"/>
        <w:jc w:val="both"/>
      </w:pPr>
      <w:r>
        <w:rPr>
          <w:rFonts w:ascii="Times New Roman" w:cs="David" w:eastAsia="David" w:hAnsi="Times New Roman"/>
          <w:i w:val="false"/>
          <w:iCs w:val="false"/>
          <w:sz w:val="24"/>
          <w:szCs w:val="24"/>
          <w:rtl/>
        </w:rPr>
        <w:t xml:space="preserve">פליקס, יהודה, </w:t>
      </w:r>
      <w:r>
        <w:rPr>
          <w:rFonts w:ascii="Times New Roman" w:cs="David" w:eastAsia="David" w:hAnsi="Times New Roman"/>
          <w:i/>
          <w:iCs/>
          <w:sz w:val="24"/>
          <w:szCs w:val="24"/>
          <w:rtl/>
        </w:rPr>
        <w:t xml:space="preserve">החי של התנ"ך</w:t>
      </w:r>
      <w:r>
        <w:rPr>
          <w:rFonts w:ascii="Times New Roman" w:cs="David" w:eastAsia="David" w:hAnsi="Times New Roman"/>
          <w:i w:val="false"/>
          <w:iCs w:val="false"/>
          <w:sz w:val="24"/>
          <w:szCs w:val="24"/>
          <w:rtl/>
        </w:rPr>
        <w:t xml:space="preserve">, תל אביב: סיני, תשי"ד.</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Chambers, E. K., </w:t>
      </w:r>
      <w:r>
        <w:rPr>
          <w:rFonts w:ascii="Times New Roman" w:cs="David" w:eastAsia="David" w:hAnsi="Times New Roman"/>
          <w:i/>
          <w:iCs/>
          <w:sz w:val="24"/>
          <w:szCs w:val="24"/>
          <w:rtl w:val="false"/>
        </w:rPr>
        <w:t xml:space="preserve">The Mediaeval Stage</w:t>
      </w:r>
      <w:r>
        <w:rPr>
          <w:rFonts w:ascii="Times New Roman" w:cs="David" w:eastAsia="David" w:hAnsi="Times New Roman"/>
          <w:i w:val="false"/>
          <w:iCs w:val="false"/>
          <w:sz w:val="24"/>
          <w:szCs w:val="24"/>
          <w:rtl w:val="false"/>
        </w:rPr>
        <w:t xml:space="preserve">, 2 vols., Oxford: Clarendon Press, 1903.</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Jacobs, Joseph, </w:t>
      </w:r>
      <w:r>
        <w:rPr>
          <w:rFonts w:ascii="Times New Roman" w:cs="David" w:eastAsia="David" w:hAnsi="Times New Roman"/>
          <w:i/>
          <w:iCs/>
          <w:sz w:val="24"/>
          <w:szCs w:val="24"/>
          <w:rtl w:val="false"/>
        </w:rPr>
        <w:t xml:space="preserve">The Fables of Aesop as First Printed by William Caxton in 1484</w:t>
      </w:r>
      <w:r>
        <w:rPr>
          <w:rFonts w:ascii="Times New Roman" w:cs="David" w:eastAsia="David" w:hAnsi="Times New Roman"/>
          <w:i w:val="false"/>
          <w:iCs w:val="false"/>
          <w:sz w:val="24"/>
          <w:szCs w:val="24"/>
          <w:rtl w:val="false"/>
        </w:rPr>
        <w:t xml:space="preserve">, vol. 1: </w:t>
      </w:r>
      <w:r>
        <w:rPr>
          <w:rFonts w:ascii="Times New Roman" w:cs="David" w:eastAsia="David" w:hAnsi="Times New Roman"/>
          <w:i/>
          <w:iCs/>
          <w:sz w:val="24"/>
          <w:szCs w:val="24"/>
          <w:rtl w:val="false"/>
        </w:rPr>
        <w:t xml:space="preserve">History of the Aesopic Fable</w:t>
      </w:r>
      <w:r>
        <w:rPr>
          <w:rFonts w:ascii="Times New Roman" w:cs="David" w:eastAsia="David" w:hAnsi="Times New Roman"/>
          <w:i w:val="false"/>
          <w:iCs w:val="false"/>
          <w:sz w:val="24"/>
          <w:szCs w:val="24"/>
          <w:rtl w:val="false"/>
        </w:rPr>
        <w:t xml:space="preserve">, London: David Nutt, 1889.</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Pellat, Charles, "Djuha," in </w:t>
      </w:r>
      <w:r>
        <w:rPr>
          <w:rFonts w:ascii="Times New Roman" w:cs="David" w:eastAsia="David" w:hAnsi="Times New Roman"/>
          <w:i/>
          <w:iCs/>
          <w:sz w:val="24"/>
          <w:szCs w:val="24"/>
          <w:rtl w:val="false"/>
        </w:rPr>
        <w:t xml:space="preserve">The Encyclopaedia of Islam</w:t>
      </w:r>
      <w:r>
        <w:rPr>
          <w:rFonts w:ascii="Times New Roman" w:cs="David" w:eastAsia="David" w:hAnsi="Times New Roman"/>
          <w:i w:val="false"/>
          <w:iCs w:val="false"/>
          <w:sz w:val="24"/>
          <w:szCs w:val="24"/>
          <w:rtl w:val="false"/>
        </w:rPr>
        <w:t xml:space="preserve">, 2nd ed., vol. 2, Leiden: Brill, 1965, pp. 590-592.</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Rossel, Stine, Fiona Marshall, Joris Peters, Tom Pilgram, Matthew D. Adams, and David O'Connor, "Domestication of the Donkey: Timing, Processes, and Indicators," </w:t>
      </w:r>
      <w:r>
        <w:rPr>
          <w:rFonts w:ascii="Times New Roman" w:cs="David" w:eastAsia="David" w:hAnsi="Times New Roman"/>
          <w:i/>
          <w:iCs/>
          <w:sz w:val="24"/>
          <w:szCs w:val="24"/>
          <w:rtl w:val="false"/>
        </w:rPr>
        <w:t xml:space="preserve">Proceedings of the National Academy of Sciences</w:t>
      </w:r>
      <w:r>
        <w:rPr>
          <w:rFonts w:ascii="Times New Roman" w:cs="David" w:eastAsia="David" w:hAnsi="Times New Roman"/>
          <w:i w:val="false"/>
          <w:iCs w:val="false"/>
          <w:sz w:val="24"/>
          <w:szCs w:val="24"/>
          <w:rtl w:val="false"/>
        </w:rPr>
        <w:t xml:space="preserve"> 105, no. 10 (2008): 3715-3720.</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Schwarzbaum, Haim, </w:t>
      </w:r>
      <w:r>
        <w:rPr>
          <w:rFonts w:ascii="Times New Roman" w:cs="David" w:eastAsia="David" w:hAnsi="Times New Roman"/>
          <w:i/>
          <w:iCs/>
          <w:sz w:val="24"/>
          <w:szCs w:val="24"/>
          <w:rtl w:val="false"/>
        </w:rPr>
        <w:t xml:space="preserve">The Mishle Shu'alim (Fox Fables) of Rabbi Berechiah ha-Nakdan: A Study in Comparative Folklore and Fable Lore</w:t>
      </w:r>
      <w:r>
        <w:rPr>
          <w:rFonts w:ascii="Times New Roman" w:cs="David" w:eastAsia="David" w:hAnsi="Times New Roman"/>
          <w:i w:val="false"/>
          <w:iCs w:val="false"/>
          <w:sz w:val="24"/>
          <w:szCs w:val="24"/>
          <w:rtl w:val="false"/>
        </w:rPr>
        <w:t xml:space="preserve">, Kiron: Institute for Jewish and Arab Folklore Research, 1979.</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Thompson, Stith, </w:t>
      </w:r>
      <w:r>
        <w:rPr>
          <w:rFonts w:ascii="Times New Roman" w:cs="David" w:eastAsia="David" w:hAnsi="Times New Roman"/>
          <w:i/>
          <w:iCs/>
          <w:sz w:val="24"/>
          <w:szCs w:val="24"/>
          <w:rtl w:val="false"/>
        </w:rPr>
        <w:t xml:space="preserve">Motif-Index of Folk-Literature</w:t>
      </w:r>
      <w:r>
        <w:rPr>
          <w:rFonts w:ascii="Times New Roman" w:cs="David" w:eastAsia="David" w:hAnsi="Times New Roman"/>
          <w:i w:val="false"/>
          <w:iCs w:val="false"/>
          <w:sz w:val="24"/>
          <w:szCs w:val="24"/>
          <w:rtl w:val="false"/>
        </w:rPr>
        <w:t xml:space="preserve">, 6 vols., Bloomington: Indiana University Press, 1955-1958.</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White, T. H. (trans.), </w:t>
      </w:r>
      <w:r>
        <w:rPr>
          <w:rFonts w:ascii="Times New Roman" w:cs="David" w:eastAsia="David" w:hAnsi="Times New Roman"/>
          <w:i/>
          <w:iCs/>
          <w:sz w:val="24"/>
          <w:szCs w:val="24"/>
          <w:rtl w:val="false"/>
        </w:rPr>
        <w:t xml:space="preserve">The Book of Beasts: Being a Translation from a Latin Bestiary of the Twelfth Century</w:t>
      </w:r>
      <w:r>
        <w:rPr>
          <w:rFonts w:ascii="Times New Roman" w:cs="David" w:eastAsia="David" w:hAnsi="Times New Roman"/>
          <w:i w:val="false"/>
          <w:iCs w:val="false"/>
          <w:sz w:val="24"/>
          <w:szCs w:val="24"/>
          <w:rtl w:val="false"/>
        </w:rPr>
        <w:t xml:space="preserve">, London: Jonathan Cape, 1954.</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Uther, Hans-Jörg, </w:t>
      </w:r>
      <w:r>
        <w:rPr>
          <w:rFonts w:ascii="Times New Roman" w:cs="David" w:eastAsia="David" w:hAnsi="Times New Roman"/>
          <w:i/>
          <w:iCs/>
          <w:sz w:val="24"/>
          <w:szCs w:val="24"/>
          <w:rtl w:val="false"/>
        </w:rPr>
        <w:t xml:space="preserve">The Types of International Folktales: A Classification and Bibliography</w:t>
      </w:r>
      <w:r>
        <w:rPr>
          <w:rFonts w:ascii="Times New Roman" w:cs="David" w:eastAsia="David" w:hAnsi="Times New Roman"/>
          <w:i w:val="false"/>
          <w:iCs w:val="false"/>
          <w:sz w:val="24"/>
          <w:szCs w:val="24"/>
          <w:rtl w:val="false"/>
        </w:rPr>
        <w:t xml:space="preserve">, FF Communications 284-286, 3 vols., Helsinki: Academia Scientiarum Fennica, 2004.</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Way, Kenneth C., </w:t>
      </w:r>
      <w:r>
        <w:rPr>
          <w:rFonts w:ascii="Times New Roman" w:cs="David" w:eastAsia="David" w:hAnsi="Times New Roman"/>
          <w:i/>
          <w:iCs/>
          <w:sz w:val="24"/>
          <w:szCs w:val="24"/>
          <w:rtl w:val="false"/>
        </w:rPr>
        <w:t xml:space="preserve">Donkeys in the Biblical World: Ceremony and Symbol</w:t>
      </w:r>
      <w:r>
        <w:rPr>
          <w:rFonts w:ascii="Times New Roman" w:cs="David" w:eastAsia="David" w:hAnsi="Times New Roman"/>
          <w:i w:val="false"/>
          <w:iCs w:val="false"/>
          <w:sz w:val="24"/>
          <w:szCs w:val="24"/>
          <w:rtl w:val="false"/>
        </w:rPr>
        <w:t xml:space="preserve">, Winona Lake: Eisenbrauns, 2011.</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Ziolkowski, Jan M., </w:t>
      </w:r>
      <w:r>
        <w:rPr>
          <w:rFonts w:ascii="Times New Roman" w:cs="David" w:eastAsia="David" w:hAnsi="Times New Roman"/>
          <w:i/>
          <w:iCs/>
          <w:sz w:val="24"/>
          <w:szCs w:val="24"/>
          <w:rtl w:val="false"/>
        </w:rPr>
        <w:t xml:space="preserve">Talking Animals: Medieval Latin Beast Poetry, 750-1150</w:t>
      </w:r>
      <w:r>
        <w:rPr>
          <w:rFonts w:ascii="Times New Roman" w:cs="David" w:eastAsia="David" w:hAnsi="Times New Roman"/>
          <w:i w:val="false"/>
          <w:iCs w:val="false"/>
          <w:sz w:val="24"/>
          <w:szCs w:val="24"/>
          <w:rtl w:val="false"/>
        </w:rPr>
        <w:t xml:space="preserve">, Philadelphia: University of Pennsylvania Press, 1993.</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נספחים: המשלים הנדונים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נספח א: חמור, דבורים וצרעה</w:t>
      </w:r>
    </w:p>
    <w:p>
      <w:pPr>
        <w:bidi/>
        <w:spacing w:after="200" w:before="0" w:line="300"/>
        <w:ind w:start="709" w:end="709"/>
        <w:jc w:val="both"/>
      </w:pPr>
      <w:r>
        <w:rPr>
          <w:rFonts w:ascii="Times New Roman" w:cs="David" w:eastAsia="David" w:hAnsi="Times New Roman"/>
          <w:i w:val="false"/>
          <w:iCs w:val="false"/>
          <w:sz w:val="24"/>
          <w:szCs w:val="24"/>
          <w:rtl/>
        </w:rPr>
        <w:t xml:space="preserve">אַל תְּהִי בָז לְכָל דָּבָר / כִּי לַכֹּל עֵת וּזְמָן יִגְבָּר</w:t>
      </w:r>
    </w:p>
    <w:p>
      <w:pPr>
        <w:bidi/>
        <w:spacing w:after="200" w:before="0" w:line="300"/>
        <w:ind w:start="709" w:end="709"/>
        <w:jc w:val="both"/>
      </w:pPr>
      <w:r>
        <w:rPr>
          <w:rFonts w:ascii="Times New Roman" w:cs="David" w:eastAsia="David" w:hAnsi="Times New Roman"/>
          <w:i w:val="false"/>
          <w:iCs w:val="false"/>
          <w:sz w:val="24"/>
          <w:szCs w:val="24"/>
          <w:rtl/>
        </w:rPr>
        <w:t xml:space="preserve">חֲמוֹר רֹעֶה בְאַחַד הֶהָרִים / וְהִנֵּה סְבִיבָיו עֲדַת דְּבוֹרִים / וְהַצִּרְעָה מְרַחֶפֶת לְפָנָיו / עַד אֲשֶׁר נֶחְבֵּאת בְּאַחַת מֵאָזְנָיו / וַיִּרְעַשׁ וַיִּגְעַשׁ וּבְקוֹלוֹ נוֹעֵר / הֵנָּה וָהֵנָּה הוֹלֵךְ וְסֹעֵר / וַיִּמְאַס בְּחַיָּיו וַיָּקָץ / כִּי הָיָה נָשׁוּךְ וְנֶעֱקָץ / וַיֵּצֶר לוֹ וְלִמְאֹד חָלָה / לְקוֹל הַהֲמוּלָה הַגְּדוֹלָה / וַיֹּאמַר: הַיּוֹם רַבּוּ עֹיְנַי / וּמַה הַקּוֹל אֲשֶׁר בְּאָזְנַי / אֵין זֶה כִּי אִם רוּחַ רָעָה / וְאִם אַתְּ בִּגְבוּלִי הַצִּרְעָה / מַה לָּךְ לִטְמֹן בְּחֻבִּי / צְאִי נָא וְהִלָּחֵם בִּי / וְנִתְרָאֶה פָּנִים אֶל פָּנִים / הֲיֵשׁ לָךְ כֹּחַ וְאוֹנִים / לָצֵאת וְלֶאֱסֹף עֲדַת דְּבוֹרִים / לְהִלָּחֵם בַּחֲבוּרַת הַחֲמוֹרִים / וַתַּעַן הַצִּרְעָה / מִי יִתֵּן וְהָיָה כָכָה / מַעֲרָכָה מוּל מַעֲרָכָה / וְנִלָּחֲמָה יַחַד בַּבִּקְעָה / צִרְעָה לַחֲמוֹר וַחֲמוֹר לְצִרְעָה / וְהַנָּצוּח יִבָּדֵל מִן הָעֵדָה / וַיַּעַן הַחֲמוֹר: יוֹם הַמּוֹעֵד נַגִּידָה / אֲשֶׁר נֵצֵא לַמִּלְחָמָה / וַיֻּגַּד הַמּוֹעֵד שָׁמָּה / וַיֵּלֶךְ הַחֲמוֹר לְהִמָּלֵךְ / בָּאֲרִי אֲשֶׁר עַל כֻּלָּם מוֹלֵךְ / וַיַּגֶּד לוֹ אֶת כָּל אֲשֶׁר קָרָהוּ / מִן הַצִּרְעָה אֲשֶׁר בָּאֹזֶן הֱצִיקַתְהוּ / וְהַמּוֹעֵד אֲשֶׁר לוֹ יָעָדָה / וְאֵיךְ לִבּוֹ חוֹנֶה בַחֲרָדָה / פֶּן תִּכָּנֵס שֵׁנִית בָּאֹזֶן / וַיֹּאמֶר לוֹ הָאֲרִי: הַאֲזֵן / אִיעָצְךָ וּשְׁמַע בְּקוֹלִי / וְלֹא יִקְרְךָ פֶּגַע וָחֹלִי / סְתֹם וּסְגֹר בִּרְצוּעוֹת כָּל נְקָבֶיךָ / אָז לֹא יוּכְלוּ לְךָ אֹיְבֶיךָ / וְכִרְאוֹתָם זֶה מִפָּנֶיךָ יִבָּהֲלוּ / וּמָשַׁלְתָּ בָּם וּבְךָ לֹא יִמְשֹׁלוּ / וְשִׁית אֶל הַמִּלְחָמָה פָנֶיךָ / וְאַתָּה תֶּאֱזֹר מָתְנֶיךָ / וַיַּעֲשׂוּ כֵן כָּל הַחֲמוֹרִים / וְלַמּוֹעֵד בָּאוּ מְחַצְצִים וְסֹדְרִים / וְהַצְּרָעִים נִלְחָמִים אִתָּם / וּבִרְאוֹתָם כִּי נִסְתַּם / כָּל חוֹר וָחוֹר / פָּנִים וְאָחוֹר / תַּחַת הַבֶּטֶן נִתְחַבְּאוּ / שָׁם גְּבוּרָתָם הֶרְאוּ / לְהַמְצִיא לַחֲמוֹרִים כִּפְלַיִם צָרוֹת / וְהַחֲמוֹרִים מִתְחַכְּכִים וְחוֹפְפִים עַל הָעֵצִים וְעַל הַצְּרוֹרוֹת / וּמִתְנַכְּלִים עֲלֵיהֶם לַהֲמִיתָם / עַד אֲשֶׁר נִתְּקוּ מוֹסְרוֹתָם / וַיֵּרָאוּ הַחוֹרִים וְהַנְּקִיקִים / וְהַצְּרָעִים לִכָּנֵס בָּם מִתְחַזְּקִים / וְנֹשְׁכִים וְעוֹקְצִים וְלוֹחֲצִים / מִפֶּה אֶל פֶּה נִפְרָצִים / וַיְהִי אָרְבָּם בְּקִרְבָּם / וַיַּכְנַע בֶּעָמָל לִבָּם / וַיֹּאמְרוּ לָהֶם הַחֲמוֹרִים / לֹא נִהְיֶה עוֹד מַמְרִים וְסוֹרֲרִים / הִנְנוּ לָכֶם לַעֲבָדִים / רַק תִּהְיוּ מֵעָלֵינוּ נִפְרָדִים.</w:t>
      </w:r>
    </w:p>
    <w:p>
      <w:pPr>
        <w:bidi/>
        <w:spacing w:after="200" w:before="0" w:line="300"/>
        <w:ind w:start="709" w:end="709"/>
        <w:jc w:val="both"/>
      </w:pPr>
      <w:r>
        <w:rPr>
          <w:rFonts w:ascii="Times New Roman" w:cs="David" w:eastAsia="David" w:hAnsi="Times New Roman"/>
          <w:i w:val="false"/>
          <w:iCs w:val="false"/>
          <w:sz w:val="24"/>
          <w:szCs w:val="24"/>
          <w:rtl/>
        </w:rPr>
        <w:t xml:space="preserve">וְהַמָּשָׁל בְּמִתְגָּאֶה בְגָבְהוֹ וּבְרֹב דָּלִיּוֹתָיו / וְהַקָּטָן יִמְשֹׁל בּוֹ בְּסִבּוֹת תַּחְבֻּלוֹתָיו / עַל כֵּן אַל תַּחְטִיא בְשָׂרְךָ בִלְשׁוֹנֶךָ / לֵאמֹר לַקָּטָן: קָטָנִי עָבָה מִמָּתְנֶיךָ / כִּי הַרְבֵּה נוֹקְשׁוּ וְנִשְׁבְּרוּ בְּרֹב גַּאֲוָה / אֵין מִלְחָמָה טוֹבָה רַק מִלְחֶמֶת הַתַּאֲוָה.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נספח ב: משל מז: חמור בעור ארי</w:t>
      </w:r>
    </w:p>
    <w:p>
      <w:pPr>
        <w:bidi/>
        <w:spacing w:after="200" w:before="0" w:line="300"/>
        <w:ind w:start="709" w:end="709"/>
        <w:jc w:val="both"/>
      </w:pPr>
      <w:r>
        <w:rPr>
          <w:rFonts w:ascii="Times New Roman" w:cs="David" w:eastAsia="David" w:hAnsi="Times New Roman"/>
          <w:i w:val="false"/>
          <w:iCs w:val="false"/>
          <w:sz w:val="24"/>
          <w:szCs w:val="24"/>
          <w:rtl/>
        </w:rPr>
        <w:t xml:space="preserve">אִם רוּחַ גַּאֲוָה נָשְׁבָה בוֹ / רוּחַ חָכְמָה אֵין בְּקִרְבּוֹ</w:t>
      </w:r>
    </w:p>
    <w:p>
      <w:pPr>
        <w:bidi/>
        <w:spacing w:after="200" w:before="0" w:line="300"/>
        <w:ind w:start="709" w:end="709"/>
        <w:jc w:val="both"/>
      </w:pPr>
      <w:r>
        <w:rPr>
          <w:rFonts w:ascii="Times New Roman" w:cs="David" w:eastAsia="David" w:hAnsi="Times New Roman"/>
          <w:i w:val="false"/>
          <w:iCs w:val="false"/>
          <w:sz w:val="24"/>
          <w:szCs w:val="24"/>
          <w:rtl/>
        </w:rPr>
        <w:t xml:space="preserve">חֲמוֹר מִבֵּית אֲדֹנָיו הָלַךְ לִרְעוֹת / עַל הֶהָרִים וְעַל הַגְּבָעוֹת / וַיִּמְצָא שָׁם עוֹר אֲרִי מָפְשָׁט / וַיֹּאבֶה לְלָבְשׁוֹ וְיָדָיו פָּשַׁט / לְהַשְׁלִיכוֹ לְפָנָיו וּלְאַחֲרָיו / עַל יָדָיו וְעַל חֶלְקַת צַוָּארָיו / וַיָּרָם לְבָבוֹ וּבְגַאֲוָה יֵלֵךְ הָלֹךְ / מִתְנַשֵּׂא לֵאמֹר: אֲנִי אֶמְלֹךְ / וַיֵּלֶךְ לְהַפְחִיד הַחַיּוֹת / עַל הֶהָרִים וְעַל הַגֵּאָיוֹת / וְכַאֲרִי יִטְרֹף לָהֶם אֹרֵב וְצֹדֶה / הָאָדָם וְהַבְּהֵמָה אֲשֶׁר יִמְצָא בַשָּׂדֶה / מִפַּחְדּוֹ הָרֹעִים צֹאנָם עָזְבוּ לִשְׁמוֹר / כִּי חֲשָׁבוּהוּ לְאַרְיֵה וְהִנֵּה הוּא חֲמוֹר / וְעֹבְדֵי הָאֲדָמָה מִפָּנָיו נָסְעוּ / גַּם הַצֹּאן וְהַבָּקָר אַל יִרְעוּ / וְאִישׁ לְאָחִיו צֹעֵק: שֹׁמֵעַ לִי הִנְּךָ / שְׁלַח הָעֵז אֶת מִקְנְךָ / כִּי אֶת אֲשֶׁר יִמָּצֵא בַשָּׂדֶה לֹא יִחְיֶה / וַיְהִי הַחֲמוֹר לָהֶם לְאַרְיֵה / וּמֵרֹב חֶדְוַת לִבּוֹ אֲשֶׁר חֲשָׁבוּהוּ לַאֲרִי / עִם אֲדֹנָיו הָלַךְ בְּקֶרִי / וַיֹּאמֶר כִּי מַשָּׂא לֹא יַשְׁלִיךְ עוֹד עָלָיו / וַחֲמוֹר אֵבוּס בְּעָלָיו / לֹא יָדַע, וְלֹא יָשׁוּב אֶל בֵּיתוֹ / אָכֵן יִתֵּן פַּחְדָּתוֹ / עַל כָּל הוֹלֵךְ אַרְבַּע / כִּי כֵן בִּגְאוֹנוֹ קָפַץ וְנִשְׁבַּע / וְהַקּוֹל נִשְׁמַע: עָלָה אַרְיֵה מִסֻּבְּכוֹ / שִׂימוּ אִישׁ חַרְבּוֹ עַל יְרֵכוֹ / בִּרְמָחִים וּבַחֲרָמִים לְסָבְבוֹ / אוּלַי נוּכַל נַכֶּה בוֹ / נְצוּדֵהוּ בַיַּעַר אוֹ בַשָּׁרוֹן / לַמֶּלֶךְ נִשְׁלְחֵהוּ דּוֹרוֹן / וַאֲדֹנָיו אוֹמֵר אֶל שְׁכֵנָיו: אָבַדְתִּי חֲמוֹרִי / וְאֵיכָכָה אֲבַקְשֶׁנּוּ פֶּן יִטְרְפֵנִי הָאֲרִי / וַיְהִי הַיּוֹם וַיֵּלֶךְ אֲדֹנָיו / וַיָּלֶט בְּאַדַּרְתּוֹ פָּנָיו / וַיָּבֹא בְּאַחַד הֶהָרִים / וַיַּרְא חֲמוֹרוֹ כַּאֲרִי בְּמִסְתָּרִים / לְהַפְחִיד כָּל רֹאֵי תָאֳרוֹ / וַיִּתְבּוֹנֵן כִּי הוּא חֲמוֹרוֹ / בְּקוֹמָתוֹ וּבִזְנָבוֹ וּבְאָזְנָיו / וְכִרְאוֹתוֹ אֲדֹנָיו הִשְׁפִּיל עֵינָיו / וַיֹּאמֶר לוֹ: יַעַן גָּבַהּ לִבְּךָ / יְהִי אָרְבְּךָ בְּקִרְבְּךָ / כַּאֲשֶׁר גָּבַרְתָּ לִשְׁפֹּךְ דַּם נְקִיִּים / וַתִּתֵּן חִתִּיתְךָ בְּאֶרֶץ הַחַיִּים / הָלֹךְ הָלַכְתָּ נְטוּי גָּרוֹן / חָלַמְתָּ וְתָבִין הַפִּתְרוֹן / זְדוֹן לִבְּךָ הִשִּׂיאֲךָ / לְהִתְנַכֵּר מֵאֲדֹנְךָ וּמִמַּשָּׂאֶךָ / תִּכְבַּד הָעֲבוֹדָה וְעֻלָּךְ / עַל עָפָר תְּהִי מֻשְׁלָךְ / וְלֹא תִרְדֹּף הַצֹּאן כַּאֲשֶׁר הוּא שִׁבְיְךָ / וְעַתָּה הוֹרֵד אֶת עֶדְיְךָ / וְהִצַּגְתִּיךָ כְּיוֹם הִוָּלְדְךָ / וְיַהֲפֹךְ הוֹדְךָ לְאֵידְךָ / וְתֵדַע מִי אַתָּה וּמֵאַיִן בָּאתָ / וְאִם אָבִיךָ מֶלֶךְ עַל הַחַיּוֹת רָאִיתָ / וַיִּתְנַצֵּל הַחֲמוֹר מֵעֶדְיוֹ / וַיִּקַּח מֵאֲדֹנָיו כִּפְלַיִם בְּמֶרְיוֹ.</w:t>
      </w:r>
    </w:p>
    <w:p>
      <w:pPr>
        <w:bidi/>
        <w:spacing w:after="200" w:before="0" w:line="300"/>
        <w:ind w:start="709" w:end="709"/>
        <w:jc w:val="both"/>
      </w:pPr>
      <w:r>
        <w:rPr>
          <w:rFonts w:ascii="Times New Roman" w:cs="David" w:eastAsia="David" w:hAnsi="Times New Roman"/>
          <w:i w:val="false"/>
          <w:iCs w:val="false"/>
          <w:sz w:val="24"/>
          <w:szCs w:val="24"/>
          <w:rtl/>
        </w:rPr>
        <w:t xml:space="preserve">וְהַמָּשָׁל בְּבֶן־נָבָל וּבֶן־בְּלִי־שֵׁם / אֲשֶׁר יַעֲבֹר עָלָיו רוּחַ וְאָשֵׁם / וְרוּחַ גַּאֲוָה נָשְׁבָה בוֹ / וְכָל רוּחַ חָכְמָה אֵין בְּקִרְבּוֹ / וְעַם אֲשֶׁר לֹא יְדָעוּהוּ יַעַבְדוּהוּ / וּבְלֶכְתּוֹ וּבְשִׁבְתּוֹ יְכַבְּדוּהוּ / כִּי לֹא נִכָּר בְּלֶכְתּוֹ בַּחוּצוֹת / כִּי אִם בִּלְבוּשׁ וּמַחֲלָצוֹת / וְיִתְגָּאֶה עֲלֵיהֶם וְיֹאמַר: לַעֲבָדִים מְצָאתִים / וְיִתֵּן צַמַּרְתּוֹ אֶל בֵּין עֲבוֹתִים / וְיֵלֶךְ נְטוּי גָּרוֹן וְלֹא יִזְכֹּר מִי אֲבוֹתָיו / וַיִּיף בְּגָבְהוֹ וְאֹרֶךְ דָּלִיּוֹתָיו / וְאַחֲרֵי אֲשֶׁר מוּמוֹ וּמוּם אֲבוֹתָיו יַכִּירוּ / כְּבוֹדוֹ בְּקָלוֹן יָמִירוּ.</w:t>
      </w:r>
    </w:p>
    <w:p>
      <w:pPr>
        <w:bidi/>
        <w:spacing w:after="200" w:before="0" w:line="300"/>
        <w:ind w:start="709" w:end="709"/>
        <w:jc w:val="both"/>
      </w:pPr>
      <w:r>
        <w:rPr>
          <w:rFonts w:ascii="Times New Roman" w:cs="David" w:eastAsia="David" w:hAnsi="Times New Roman"/>
          <w:i w:val="false"/>
          <w:iCs w:val="false"/>
          <w:sz w:val="24"/>
          <w:szCs w:val="24"/>
          <w:rtl/>
        </w:rPr>
        <w:t xml:space="preserve">וָאֶשָּׂא מְשָׁלִי וָאֹמַר: חֲמוֹר עוֹר הָאֲרִי מָצָא, לְבָשׁוֹ / וְהִפְחִיד דֹּב וְנָמֵר עֵת פְּגָשׁוֹ / וְכֵן בֶּן־בּוּז בְּלָבְשׁוֹ בּוּץ וְגָאָה / וְלֹא יָדַע נְשֹׂא רַגְלָיו וְרֹאשׁוֹ.</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נספח ג: משל יד: חמור, כלב ואדם</w:t>
      </w:r>
    </w:p>
    <w:p>
      <w:pPr>
        <w:bidi/>
        <w:spacing w:after="200" w:before="0" w:line="300"/>
        <w:ind w:start="709" w:end="709"/>
        <w:jc w:val="both"/>
      </w:pPr>
      <w:r>
        <w:rPr>
          <w:rFonts w:ascii="Times New Roman" w:cs="David" w:eastAsia="David" w:hAnsi="Times New Roman"/>
          <w:i w:val="false"/>
          <w:iCs w:val="false"/>
          <w:sz w:val="24"/>
          <w:szCs w:val="24"/>
          <w:rtl/>
        </w:rPr>
        <w:t xml:space="preserve">הַקִּנְאָה תָבִיא לְהִתְאַוּוֹת / דָּבָר בִּלְתִּי יֵאוֹת</w:t>
      </w:r>
    </w:p>
    <w:p>
      <w:pPr>
        <w:bidi/>
        <w:spacing w:after="200" w:before="0" w:line="300"/>
        <w:ind w:start="709" w:end="709"/>
        <w:jc w:val="both"/>
      </w:pPr>
      <w:r>
        <w:rPr>
          <w:rFonts w:ascii="Times New Roman" w:cs="David" w:eastAsia="David" w:hAnsi="Times New Roman"/>
          <w:i w:val="false"/>
          <w:iCs w:val="false"/>
          <w:sz w:val="24"/>
          <w:szCs w:val="24"/>
          <w:rtl/>
        </w:rPr>
        <w:t xml:space="preserve">כֶּלֶב קָטָן הָיָה / בֵּית הַפָּקִיד מִן הַקִּרְיָה / פִּתּוֹ יֹאכַל חֵיקוֹ יִשְׁכַּב / עִמּוֹ יֵלֵךְ הָעֵת יִרְכָּב / וּבַבַּיִת חֲמוֹר אֹרֵב / כִּי הָאָדוֹן הַכֶּלֶב יְקָרֵב / וְכִי יְשַׂחֵק בּוֹ לִרְגָעִים / כַּאֲשֶׁר הָיוּ שְׁנֵי רֵעִים / וַיֹּאמֶר הַחֲמוֹר בַּלֵּב / לֹא נוֹפֵל אָנֹכִי מִכֶּלֶב / אֵלֵךְ גַּם אֲנִי אֶל אֲדֹנִי / אוּלַי כַּכֶּלֶב יְקָרְבֵנִי / וַאֲחַבְּקֵהוּ וַאֲנַשְׁקֵהוּ / וּבִלְשׁוֹנִי אֲלַחֲכֵהוּ / וְאָשִׂים עֵינַי אֵצֶל עֵינָיו / וְאֶת פָּנַי לְמוּל פָּנָיו / וְאֶתְחַבֵּר אִתּוֹ / לְעֻמַּת מַחְבַּרְתּוֹ / וְכָל מַלְבּוּשָׁיו אֶגְאַל וְאֶדְרֹךְ / מֵחוּט וְעַד הַשְּׂרוֹךְ / וְלִמְצֹא חֵן עָלָיו אֶזְעַק / כַּאֲשֶׁר הַכֶּלֶב חָרַץ וְצָעַק / בְּזֶה הַדָּבָר אֶבָּחֵן / אִם אֲנִי כַכֶּלֶב אֶמְצָא חֵן / וְכַאֲשֶׁר בָּא אֲדֹנָיו הַבַּיְתָה / הַחֲמוֹר הִשְׁלִים לִבּוֹ עָלְתָה / וַיָרָץ מַהֵר אֵצֶל אֲדֹנָיו / וַיְלַחֲכֵהוּ סְבִיב אָזְנָיו / וַיְחַבְּקֵהוּ בִּשְׁתֵּי רַגְלָיו / וַיָּרֶם קוֹלוֹ עָלָיו / וְרֹאשׁוֹ אֶל רֹאשׁוֹ נִצְמָד / כַּאֲשֶׁר מִן הַכֶּלֶב לָמָד / הָאָדוֹן יָרֵא וְחָרֵד / כִּי הַחֲמוֹר בּוֹ עוֹלֶה וְיוֹרֵד / וּמִפֶּה אֶל פֶּה הִקִּיפוֹ / עַד כִּי מִכִּסְאוֹ הֲדָפוֹ / וּבְצַוָּארוֹ חִבְּקוֹ כִּרְבִיד / וּמַשָּׂאוֹ עָלָיו הִכְבִּיד / וַיֹּאמֶר הָאָדוֹן: מִי אִתִּי אֵלַי / הוֹצִיאוּ אֶת הַחֲמוֹר מֵעָלָי / כִּי גָדְלָה לוֹ הַחֲרָדָה / וַתִּקָּהֵל כָּל הָעֵדָה / זֶה בְּרֹמַח וְזֶה בְמַקֵּל / וְזֶה בַאֲבָנִים יְסַקֵּל / זֶה בְּשֵׁבֶט מַכֶּה הַחֲמוֹר / זֶה אוֹמֵר הַךְ אַךְ אֶת נַפְשׁוֹ שְׁמֹר / וַיִּרְדְּפוּ הַחֲמוֹר עַד אֲבוּסוֹ / הָלֹם כָּל גֵּווֹ וּכְרֵסוֹ.</w:t>
      </w:r>
    </w:p>
    <w:p>
      <w:pPr>
        <w:bidi/>
        <w:spacing w:after="200" w:before="0" w:line="300"/>
        <w:ind w:start="709" w:end="709"/>
        <w:jc w:val="both"/>
      </w:pPr>
      <w:r>
        <w:rPr>
          <w:rFonts w:ascii="Times New Roman" w:cs="David" w:eastAsia="David" w:hAnsi="Times New Roman"/>
          <w:i w:val="false"/>
          <w:iCs w:val="false"/>
          <w:sz w:val="24"/>
          <w:szCs w:val="24"/>
          <w:rtl/>
        </w:rPr>
        <w:t xml:space="preserve">וְהַמָּשָׁל לְאִישׁ הוֹלֵךְ שׁוֹבָב / רְחַב עֵינַיִם וּגְבַהּ לֵבָב / וְיִשְׂתָּרֵר בְּגַאֲוָתוֹ / כִּי לֹא יִתָּכֵן לְאִישׁ כְּמוֹתוֹ / וּבִרְצוֹתוֹ לִהְיוֹת מוֹשֵׁל / פֶּתַע פִּתְאֹם יָבֹא כֹּשֶׁל / וְיֶהֶדֳפֶנּוּ מִמַּצָּבוֹ / וְאֵין אִישׁ מַאֲזִין אֶל נִיבוֹ / וּמְשַׁל שְׁלֹמֹה לֹא נִגְרָע / כִּי לֹא תִהְיֶה אַחֲרִית לָרָע.</w:t>
      </w:r>
    </w:p>
    <w:p>
      <w:pPr>
        <w:bidi/>
        <w:spacing w:after="200" w:before="0" w:line="300"/>
        <w:ind w:start="709" w:end="709"/>
        <w:jc w:val="both"/>
      </w:pPr>
      <w:r>
        <w:rPr>
          <w:rFonts w:ascii="Times New Roman" w:cs="David" w:eastAsia="David" w:hAnsi="Times New Roman"/>
          <w:i w:val="false"/>
          <w:iCs w:val="false"/>
          <w:sz w:val="24"/>
          <w:szCs w:val="24"/>
          <w:rtl/>
        </w:rPr>
        <w:t xml:space="preserve">וָאֶשָּׂא מְשָׁלִי וָאֹמַר: לִפְנֵי שֵׁבֶר אִישׁ דְּרָכָיו מְעַקֵּשׁ / לִפְנֵי כָבוֹד שִׁפְלוּת לוֹ לְמוֹקֵשׁ / נָא זְכֹר מִי מָצָא מְלוּכָה וְנִבָּא / כַּאֲשֶׁר שָׁב מִן הָאֲתוֹנוֹת לְבַקֵּשׁ.</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נספח ד: משל סה: אריה וחמור</w:t>
      </w:r>
    </w:p>
    <w:p>
      <w:pPr>
        <w:bidi/>
        <w:spacing w:after="200" w:before="0" w:line="300"/>
        <w:ind w:start="709" w:end="709"/>
        <w:jc w:val="both"/>
      </w:pPr>
      <w:r>
        <w:rPr>
          <w:rFonts w:ascii="Times New Roman" w:cs="David" w:eastAsia="David" w:hAnsi="Times New Roman"/>
          <w:i w:val="false"/>
          <w:iCs w:val="false"/>
          <w:sz w:val="24"/>
          <w:szCs w:val="24"/>
          <w:rtl/>
        </w:rPr>
        <w:t xml:space="preserve">אִישׁ אֲשֶׁר מַכִּיר מְקוֹמוֹ / תִּגָּלֶה עֶרְוָתוֹ וְלִבּוֹ בַּל עִמּוֹ</w:t>
      </w:r>
    </w:p>
    <w:p>
      <w:pPr>
        <w:bidi/>
        <w:spacing w:after="200" w:before="0" w:line="300"/>
        <w:ind w:start="709" w:end="709"/>
        <w:jc w:val="both"/>
      </w:pPr>
      <w:r>
        <w:rPr>
          <w:rFonts w:ascii="Times New Roman" w:cs="David" w:eastAsia="David" w:hAnsi="Times New Roman"/>
          <w:i w:val="false"/>
          <w:iCs w:val="false"/>
          <w:sz w:val="24"/>
          <w:szCs w:val="24"/>
          <w:rtl/>
        </w:rPr>
        <w:t xml:space="preserve">אַרְיֵה קָרָא לַחֲמוֹר לְהַרְאוֹתוֹ / אֶת יְקָר תִּפְאֶרֶת גְּדֻלָּתוֹ / וַיִּתְגָּאֶה הַחֲמוֹר בְּלִבּוֹ לֵאמֹר: מִי כָמוֹנִי / לְמִי יַחְפֹּץ הַמֶּלֶךְ לַעֲשׂוֹת יְקָר יוֹתֵר מִמֶּנִּי / בַּאֲשֶׁר אֲנִי לַחֲבוּרָתוֹ הוֹלֵךְ / וְעַתָּה יִקְרְאוּ לִי מִשְׁנֶה לַמֶּלֶךְ / כִּי שָׂמָנִי אֶל מִשְׁמַעְתּוֹ / אֹתִי בָחַר אֵין זָר אִתּוֹ / וַיֹּאמֶר לָאַרְיֵה: הִנֵּה עַל הַבְּהֵמוֹת אֶתֵּן חִתִּיתִי / מִקּוֹלִי יֵחָפְזוּן וְיָנוּסוּ מִגַּעֲרָתִי / וַיַּעַן הָאֲרִי: אַתָּה תַשְׂגִּיא פָעֳלֶךָ / לְהַשְׁמִיעַ בַּמָּרוֹם קוֹלֶךָ / וְנֵצֵא לִשְׁלֹל שָׁלָל רָב / וּפָנֶיךָ הֹלְכִים בַּקְּרָב / אַתָּה תִשְׁאַג וַאֲנִי אֶטְרֹף / תֹּאחֵז טֶרֶף וַאֲנִי אֶעֱרֹף / וַיֵּצְאוּ הַשָּׂדֶה וַיִּמְצְאוּ צֹאן וּבָקָר זְכָרִים / וַיָּשִׂימוּ מְגַמַּת פְּנֵיהֶם לִטְרֹף וּלְהַחֲרִים / וַיֹּאמֶר הָאֲרִי: הֲמוֹן קוֹלְךָ הַשְׁמִיעֵם / וּבְקוֹל כָּמוֹנִי תַּרְעֵם / וְהִנֵּה בְּקוֹלוֹ הַחֲמוֹר נֹעֵר / וְהַקּוֹל בְּמַחֲנֵיהֶם הֹלֵךְ וְסֹעֵר / וַתְּפוּצֶינָה בְקוֹלוֹ הָרְחֵלִים / מִשֵּׂתוֹ יָגוּרוּ אֵילִים / וַיְהִי לְחֶרְדַּת הַמַּחֲנֶה אֲשֶׁר הֹלֵךְ עַל אַרְבַּע / וּבְהַפְנוֹתָם לָנוּס וַיִּטְרֹף בָּם הָאֲרִי וַיֹּאכַל וַיִּשְׂבַּע / וַיָּנוּסוּ אָנֶה וְאָנָה לְקוֹל הֲמֻלּוֹת גְּדוֹלוֹת / וַיֹּאמֶר הָאֲרִי: אַל תַּשְׁמִיעַ עוֹד קוֹלְךָ וְרַב מִהְיֹת קוֹלוֹת / וַיְהִי כַאֲשֶׁר לִטְרֹף כִּלָּה / וְהַחֲמוֹר וְהָאַרְיֵה עֹמְדִים אֵצֶל הַנְּבֵלָה / וַיֹּאמֶר הַחֲמוֹר: הֲלֹא שָׁמַעְתָּ הוֹד נַחֲרִי / וְרָאִיתָ כִּי רַעְמָה לָבוּשׁ צַוָּארִי / בְּחָכְמָתְךָ אֹתִי תִבְחַר / וְהָיָה כָזֶה יוֹם מָחָר / וְאַפְחִיד הַבְּהֵמוֹת וְאוֹרִיד לָאָרֶץ נִצְחָם / וְלַמֶּלֶךְ אֵין שֹׁוֶה לְהַנִּיחָם / לֹא מֵהֶם וְלֹא מֶהֱמֵהֶם / וְאֵלֶּה הַמִּשְׁפָּטִים אֲשֶׁר תָּשִׂים לִפְנֵיהֶם / מִגַּעֲרָתִי יְנוּסוּן וְיֵחַתּוּ מִמֶּנּוּ / נַגְבִּיר שְׂפָתֵנוּ אִתָּנוּ מִי אָדוֹן לָנוּ / שְׁמָעֵנִי אֲדֹנִי הַמֶּלֶךְ / הֲלוֹא דְבָרַי יֵיטִיבוּ עִם הַיָּשָׁר הֹלֵךְ / וַיַּעַן לוֹ הָאֲרִי: הַמַּכִּיר תּוֹלַדְתְּךָ מִמַּעַל וּמִתָּחַת / מִקּוֹלְךָ לֹא יַעֲנֶה וּמֵהֲמוֹנְךָ לֹא יֵחָת / בָּזוּי וְשָׁפָל וּקְשֵׁה עֹרֶף / הֲתָצוּד לַלָּבִיא טֶרֶף / עוֹד יֹאמְרוּ בְאָזְנַי בְּנֵי שִׁכֻּלַי לֵאמֹר / אֵיךְ טָרַפְתָּ בַּצֹּאן וְלֹא שִׁבַּרְתָּ אֶת הַחֲמוֹר.</w:t>
      </w:r>
    </w:p>
    <w:p>
      <w:pPr>
        <w:bidi/>
        <w:spacing w:after="200" w:before="0" w:line="300"/>
        <w:ind w:start="709" w:end="709"/>
        <w:jc w:val="both"/>
      </w:pPr>
      <w:r>
        <w:rPr>
          <w:rFonts w:ascii="Times New Roman" w:cs="David" w:eastAsia="David" w:hAnsi="Times New Roman"/>
          <w:i w:val="false"/>
          <w:iCs w:val="false"/>
          <w:sz w:val="24"/>
          <w:szCs w:val="24"/>
          <w:rtl/>
        </w:rPr>
        <w:t xml:space="preserve">וְהַמָּשָׁל בְּאִישׁ נִכְבָּד אֲשֶׁר יְקָרֵב בָּזוּי וְנִקְלֶה / וְרוּחַ גְּאוֹנוֹ תִּצְמַח וְתִגָּלֶה / לְהִתְגָּאוֹת עַל חֶבְרָתוֹ / וְלֹא יַכִּיר אֶת שִׁפְלוּתוֹ / וּזְדוֹן לִבּוֹ בְהִתְגַּלּוֹת / לָשׁוֹן מְדַבֶּרֶת גְּדוֹלוֹת / בְּחָכְמָתִי כִּי נְבוּנוֹתִי / כָּזֹאת וְכָזֹאת עָשִׂיתִי / וְאָמַר הֶחָכָם בְּחָכְמָתוֹ / שְׁתִיקַת הַכְּסִיל הִיא תְשׁוּבָתוֹ.</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ברכיה הנקדן, </w:t>
      </w:r>
      <w:r>
        <w:rPr>
          <w:rFonts w:ascii="Times New Roman" w:cs="David" w:eastAsia="David" w:hAnsi="Times New Roman"/>
          <w:i/>
          <w:iCs/>
          <w:sz w:val="20"/>
          <w:szCs w:val="20"/>
          <w:rtl/>
        </w:rPr>
        <w:t xml:space="preserve">משלי שועלים</w:t>
      </w:r>
      <w:r>
        <w:rPr>
          <w:rFonts w:ascii="Times New Roman" w:cs="David" w:eastAsia="David" w:hAnsi="Times New Roman"/>
          <w:i w:val="false"/>
          <w:iCs w:val="false"/>
          <w:sz w:val="20"/>
          <w:szCs w:val="20"/>
          <w:rtl/>
        </w:rPr>
        <w:t xml:space="preserve">, מהדורת א"מ הברמן, ירושלים ותל אביב: שוקן, תש"ו. מספרי המשלים לאורך העבודה הם לפי מהדורה זו. מספרו של המשל "חמור, דבורים וצרעה" במהדורת הברמן יושלם [לוודא].</w:t>
      </w:r>
    </w:p>
  </w:footnote>
  <w:footnote w:id="2">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Stine Rossel et al., "Domestication of the Donkey: Timing, Processes, and Indicators," </w:t>
      </w:r>
      <w:r>
        <w:rPr>
          <w:rFonts w:ascii="Times New Roman" w:cs="David" w:eastAsia="David" w:hAnsi="Times New Roman"/>
          <w:i/>
          <w:iCs/>
          <w:sz w:val="20"/>
          <w:szCs w:val="20"/>
          <w:rtl w:val="false"/>
        </w:rPr>
        <w:t xml:space="preserve">Proceedings of the National Academy of Sciences</w:t>
      </w:r>
      <w:r>
        <w:rPr>
          <w:rFonts w:ascii="Times New Roman" w:cs="David" w:eastAsia="David" w:hAnsi="Times New Roman"/>
          <w:i w:val="false"/>
          <w:iCs w:val="false"/>
          <w:sz w:val="20"/>
          <w:szCs w:val="20"/>
          <w:rtl w:val="false"/>
        </w:rPr>
        <w:t xml:space="preserve"> 105, no. 10 (2008): 3715-3720.</w:t>
      </w:r>
    </w:p>
  </w:footnote>
  <w:footnote w:id="3">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Kenneth C. Way, </w:t>
      </w:r>
      <w:r>
        <w:rPr>
          <w:rFonts w:ascii="Times New Roman" w:cs="David" w:eastAsia="David" w:hAnsi="Times New Roman"/>
          <w:i/>
          <w:iCs/>
          <w:sz w:val="20"/>
          <w:szCs w:val="20"/>
          <w:rtl w:val="false"/>
        </w:rPr>
        <w:t xml:space="preserve">Donkeys in the Biblical World: Ceremony and Symbol</w:t>
      </w:r>
      <w:r>
        <w:rPr>
          <w:rFonts w:ascii="Times New Roman" w:cs="David" w:eastAsia="David" w:hAnsi="Times New Roman"/>
          <w:i w:val="false"/>
          <w:iCs w:val="false"/>
          <w:sz w:val="20"/>
          <w:szCs w:val="20"/>
          <w:rtl w:val="false"/>
        </w:rPr>
        <w:t xml:space="preserve">, Winona Lake: Eisenbrauns, 2011, pp. 1-6 [</w:t>
      </w:r>
      <w:r>
        <w:rPr>
          <w:rFonts w:ascii="Times New Roman" w:cs="David" w:eastAsia="David" w:hAnsi="Times New Roman"/>
          <w:i w:val="false"/>
          <w:iCs w:val="false"/>
          <w:sz w:val="20"/>
          <w:szCs w:val="20"/>
          <w:rtl/>
        </w:rPr>
        <w:t xml:space="preserve">לוודא עמודים].</w:t>
      </w:r>
    </w:p>
  </w:footnote>
  <w:footnote w:id="4">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יהודה פליקס, </w:t>
      </w:r>
      <w:r>
        <w:rPr>
          <w:rFonts w:ascii="Times New Roman" w:cs="David" w:eastAsia="David" w:hAnsi="Times New Roman"/>
          <w:i/>
          <w:iCs/>
          <w:sz w:val="20"/>
          <w:szCs w:val="20"/>
          <w:rtl/>
        </w:rPr>
        <w:t xml:space="preserve">החי של התנ"ך</w:t>
      </w:r>
      <w:r>
        <w:rPr>
          <w:rFonts w:ascii="Times New Roman" w:cs="David" w:eastAsia="David" w:hAnsi="Times New Roman"/>
          <w:i w:val="false"/>
          <w:iCs w:val="false"/>
          <w:sz w:val="20"/>
          <w:szCs w:val="20"/>
          <w:rtl/>
        </w:rPr>
        <w:t xml:space="preserve">, תל אביב: סיני, תשי"ד, בערכים "חמור" ו"פרא" [לוודא עמודים].</w:t>
      </w:r>
    </w:p>
  </w:footnote>
  <w:footnote w:id="5">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עלי יסיף, </w:t>
      </w:r>
      <w:r>
        <w:rPr>
          <w:rFonts w:ascii="Times New Roman" w:cs="David" w:eastAsia="David" w:hAnsi="Times New Roman"/>
          <w:i/>
          <w:iCs/>
          <w:sz w:val="20"/>
          <w:szCs w:val="20"/>
          <w:rtl/>
        </w:rPr>
        <w:t xml:space="preserve">סיפור העם העברי: תולדותיו, סוגיו ומשמעותו</w:t>
      </w:r>
      <w:r>
        <w:rPr>
          <w:rFonts w:ascii="Times New Roman" w:cs="David" w:eastAsia="David" w:hAnsi="Times New Roman"/>
          <w:i w:val="false"/>
          <w:iCs w:val="false"/>
          <w:sz w:val="20"/>
          <w:szCs w:val="20"/>
          <w:rtl/>
        </w:rPr>
        <w:t xml:space="preserve">, ירושלים: מוסד ביאליק, תשנ"ד, בפרק על ספרות חז"ל [לוודא עמודים].</w:t>
      </w:r>
    </w:p>
  </w:footnote>
  <w:footnote w:id="6">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Ben Edwin Perry, </w:t>
      </w:r>
      <w:r>
        <w:rPr>
          <w:rFonts w:ascii="Times New Roman" w:cs="David" w:eastAsia="David" w:hAnsi="Times New Roman"/>
          <w:i/>
          <w:iCs/>
          <w:sz w:val="20"/>
          <w:szCs w:val="20"/>
          <w:rtl w:val="false"/>
        </w:rPr>
        <w:t xml:space="preserve">Aesopica</w:t>
      </w:r>
      <w:r>
        <w:rPr>
          <w:rFonts w:ascii="Times New Roman" w:cs="David" w:eastAsia="David" w:hAnsi="Times New Roman"/>
          <w:i w:val="false"/>
          <w:iCs w:val="false"/>
          <w:sz w:val="20"/>
          <w:szCs w:val="20"/>
          <w:rtl w:val="false"/>
        </w:rPr>
        <w:t xml:space="preserve">, vol. 1, Urbana: University of Illinois Press, 1952; Ben Edwin Perry (ed. and trans.), </w:t>
      </w:r>
      <w:r>
        <w:rPr>
          <w:rFonts w:ascii="Times New Roman" w:cs="David" w:eastAsia="David" w:hAnsi="Times New Roman"/>
          <w:i/>
          <w:iCs/>
          <w:sz w:val="20"/>
          <w:szCs w:val="20"/>
          <w:rtl w:val="false"/>
        </w:rPr>
        <w:t xml:space="preserve">Babrius and Phaedrus</w:t>
      </w:r>
      <w:r>
        <w:rPr>
          <w:rFonts w:ascii="Times New Roman" w:cs="David" w:eastAsia="David" w:hAnsi="Times New Roman"/>
          <w:i w:val="false"/>
          <w:iCs w:val="false"/>
          <w:sz w:val="20"/>
          <w:szCs w:val="20"/>
          <w:rtl w:val="false"/>
        </w:rPr>
        <w:t xml:space="preserve">, Loeb Classical Library, Cambridge, MA: Harvard University Press, 1965. </w:t>
      </w:r>
      <w:r>
        <w:rPr>
          <w:rFonts w:ascii="Times New Roman" w:cs="David" w:eastAsia="David" w:hAnsi="Times New Roman"/>
          <w:i w:val="false"/>
          <w:iCs w:val="false"/>
          <w:sz w:val="20"/>
          <w:szCs w:val="20"/>
          <w:rtl/>
        </w:rPr>
        <w:t xml:space="preserve">תרגום עברי: איסופוס, </w:t>
      </w:r>
      <w:r>
        <w:rPr>
          <w:rFonts w:ascii="Times New Roman" w:cs="David" w:eastAsia="David" w:hAnsi="Times New Roman"/>
          <w:i/>
          <w:iCs/>
          <w:sz w:val="20"/>
          <w:szCs w:val="20"/>
          <w:rtl/>
        </w:rPr>
        <w:t xml:space="preserve">משלי איסופוס</w:t>
      </w:r>
      <w:r>
        <w:rPr>
          <w:rFonts w:ascii="Times New Roman" w:cs="David" w:eastAsia="David" w:hAnsi="Times New Roman"/>
          <w:i w:val="false"/>
          <w:iCs w:val="false"/>
          <w:sz w:val="20"/>
          <w:szCs w:val="20"/>
          <w:rtl/>
        </w:rPr>
        <w:t xml:space="preserve">, תרגם שלמה שפאן, ירושלים: מוסד ביאליק, תש"ך.</w:t>
      </w:r>
    </w:p>
  </w:footnote>
  <w:footnote w:id="7">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Joseph Jacobs, </w:t>
      </w:r>
      <w:r>
        <w:rPr>
          <w:rFonts w:ascii="Times New Roman" w:cs="David" w:eastAsia="David" w:hAnsi="Times New Roman"/>
          <w:i/>
          <w:iCs/>
          <w:sz w:val="20"/>
          <w:szCs w:val="20"/>
          <w:rtl w:val="false"/>
        </w:rPr>
        <w:t xml:space="preserve">The Fables of Aesop as First Printed by William Caxton in 1484</w:t>
      </w:r>
      <w:r>
        <w:rPr>
          <w:rFonts w:ascii="Times New Roman" w:cs="David" w:eastAsia="David" w:hAnsi="Times New Roman"/>
          <w:i w:val="false"/>
          <w:iCs w:val="false"/>
          <w:sz w:val="20"/>
          <w:szCs w:val="20"/>
          <w:rtl w:val="false"/>
        </w:rPr>
        <w:t xml:space="preserve">, vol. 1: </w:t>
      </w:r>
      <w:r>
        <w:rPr>
          <w:rFonts w:ascii="Times New Roman" w:cs="David" w:eastAsia="David" w:hAnsi="Times New Roman"/>
          <w:i/>
          <w:iCs/>
          <w:sz w:val="20"/>
          <w:szCs w:val="20"/>
          <w:rtl w:val="false"/>
        </w:rPr>
        <w:t xml:space="preserve">History of the Aesopic Fable</w:t>
      </w:r>
      <w:r>
        <w:rPr>
          <w:rFonts w:ascii="Times New Roman" w:cs="David" w:eastAsia="David" w:hAnsi="Times New Roman"/>
          <w:i w:val="false"/>
          <w:iCs w:val="false"/>
          <w:sz w:val="20"/>
          <w:szCs w:val="20"/>
          <w:rtl w:val="false"/>
        </w:rPr>
        <w:t xml:space="preserve">, London: David Nutt, 1889, pp. 168-178; Haim Schwarzbaum, </w:t>
      </w:r>
      <w:r>
        <w:rPr>
          <w:rFonts w:ascii="Times New Roman" w:cs="David" w:eastAsia="David" w:hAnsi="Times New Roman"/>
          <w:i/>
          <w:iCs/>
          <w:sz w:val="20"/>
          <w:szCs w:val="20"/>
          <w:rtl w:val="false"/>
        </w:rPr>
        <w:t xml:space="preserve">The Mishle Shu'alim (Fox Fables) of Rabbi Berechiah ha-Nakdan: A Study in Comparative Folklore and Fable Lore</w:t>
      </w:r>
      <w:r>
        <w:rPr>
          <w:rFonts w:ascii="Times New Roman" w:cs="David" w:eastAsia="David" w:hAnsi="Times New Roman"/>
          <w:i w:val="false"/>
          <w:iCs w:val="false"/>
          <w:sz w:val="20"/>
          <w:szCs w:val="20"/>
          <w:rtl w:val="false"/>
        </w:rPr>
        <w:t xml:space="preserve">, Kiron: Institute for Jewish and Arab Folklore Research, 1979, </w:t>
      </w:r>
      <w:r>
        <w:rPr>
          <w:rFonts w:ascii="Times New Roman" w:cs="David" w:eastAsia="David" w:hAnsi="Times New Roman"/>
          <w:i w:val="false"/>
          <w:iCs w:val="false"/>
          <w:sz w:val="20"/>
          <w:szCs w:val="20"/>
          <w:rtl/>
        </w:rPr>
        <w:t xml:space="preserve">בדיון על משלים יד ו-מז [לוודא עמודים].</w:t>
      </w:r>
    </w:p>
  </w:footnote>
  <w:footnote w:id="8">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Hans-Jörg Uther, </w:t>
      </w:r>
      <w:r>
        <w:rPr>
          <w:rFonts w:ascii="Times New Roman" w:cs="David" w:eastAsia="David" w:hAnsi="Times New Roman"/>
          <w:i/>
          <w:iCs/>
          <w:sz w:val="20"/>
          <w:szCs w:val="20"/>
          <w:rtl w:val="false"/>
        </w:rPr>
        <w:t xml:space="preserve">The Types of International Folktales: A Classification and Bibliography</w:t>
      </w:r>
      <w:r>
        <w:rPr>
          <w:rFonts w:ascii="Times New Roman" w:cs="David" w:eastAsia="David" w:hAnsi="Times New Roman"/>
          <w:i w:val="false"/>
          <w:iCs w:val="false"/>
          <w:sz w:val="20"/>
          <w:szCs w:val="20"/>
          <w:rtl w:val="false"/>
        </w:rPr>
        <w:t xml:space="preserve">, FF Communications 284-286, Helsinki: Academia Scientiarum Fennica, 2004, vol. 1, nos. 214, 214B.</w:t>
      </w:r>
    </w:p>
  </w:footnote>
  <w:footnote w:id="9">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Stith Thompson, </w:t>
      </w:r>
      <w:r>
        <w:rPr>
          <w:rFonts w:ascii="Times New Roman" w:cs="David" w:eastAsia="David" w:hAnsi="Times New Roman"/>
          <w:i/>
          <w:iCs/>
          <w:sz w:val="20"/>
          <w:szCs w:val="20"/>
          <w:rtl w:val="false"/>
        </w:rPr>
        <w:t xml:space="preserve">Motif-Index of Folk-Literature</w:t>
      </w:r>
      <w:r>
        <w:rPr>
          <w:rFonts w:ascii="Times New Roman" w:cs="David" w:eastAsia="David" w:hAnsi="Times New Roman"/>
          <w:i w:val="false"/>
          <w:iCs w:val="false"/>
          <w:sz w:val="20"/>
          <w:szCs w:val="20"/>
          <w:rtl w:val="false"/>
        </w:rPr>
        <w:t xml:space="preserve">, 6 vols., Bloomington: Indiana University Press, 1955-1958, motifs J951.1, J2413.1, L315 [</w:t>
      </w:r>
      <w:r>
        <w:rPr>
          <w:rFonts w:ascii="Times New Roman" w:cs="David" w:eastAsia="David" w:hAnsi="Times New Roman"/>
          <w:i w:val="false"/>
          <w:iCs w:val="false"/>
          <w:sz w:val="20"/>
          <w:szCs w:val="20"/>
          <w:rtl/>
        </w:rPr>
        <w:t xml:space="preserve">לוודא מספרים].</w:t>
      </w:r>
    </w:p>
  </w:footnote>
  <w:footnote w:id="10">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Joseph Derenbourg (ed.), </w:t>
      </w:r>
      <w:r>
        <w:rPr>
          <w:rFonts w:ascii="Times New Roman" w:cs="David" w:eastAsia="David" w:hAnsi="Times New Roman"/>
          <w:i/>
          <w:iCs/>
          <w:sz w:val="20"/>
          <w:szCs w:val="20"/>
          <w:rtl w:val="false"/>
        </w:rPr>
        <w:t xml:space="preserve">Deux versions hébraïques du livre de Kalîlâh et Dimnâh</w:t>
      </w:r>
      <w:r>
        <w:rPr>
          <w:rFonts w:ascii="Times New Roman" w:cs="David" w:eastAsia="David" w:hAnsi="Times New Roman"/>
          <w:i w:val="false"/>
          <w:iCs w:val="false"/>
          <w:sz w:val="20"/>
          <w:szCs w:val="20"/>
          <w:rtl w:val="false"/>
        </w:rPr>
        <w:t xml:space="preserve">, Paris: F. Vieweg, 1881, </w:t>
      </w:r>
      <w:r>
        <w:rPr>
          <w:rFonts w:ascii="Times New Roman" w:cs="David" w:eastAsia="David" w:hAnsi="Times New Roman"/>
          <w:i w:val="false"/>
          <w:iCs w:val="false"/>
          <w:sz w:val="20"/>
          <w:szCs w:val="20"/>
          <w:rtl/>
        </w:rPr>
        <w:t xml:space="preserve">בפרק "הקוף והצב" [לוודא מיקום].</w:t>
      </w:r>
    </w:p>
  </w:footnote>
  <w:footnote w:id="11">
    <w:p>
      <w:pPr>
        <w:bidi/>
        <w:spacing w:after="60" w:line="240"/>
        <w:jc w:val="both"/>
      </w:pPr>
      <w:r>
        <w:rPr>
          <w:rStyle w:val="FootnoteReference"/>
        </w:rPr>
        <w:footnoteRef/>
      </w:r>
      <w:r>
        <w:rPr>
          <w:rFonts w:ascii="Times New Roman" w:cs="David" w:eastAsia="David" w:hAnsi="Times New Roman"/>
          <w:i/>
          <w:iCs/>
          <w:sz w:val="20"/>
          <w:szCs w:val="20"/>
          <w:rtl/>
        </w:rPr>
        <w:t xml:space="preserve">אלף לילה ולילה</w:t>
      </w:r>
      <w:r>
        <w:rPr>
          <w:rFonts w:ascii="Times New Roman" w:cs="David" w:eastAsia="David" w:hAnsi="Times New Roman"/>
          <w:i w:val="false"/>
          <w:iCs w:val="false"/>
          <w:sz w:val="20"/>
          <w:szCs w:val="20"/>
          <w:rtl/>
        </w:rPr>
        <w:t xml:space="preserve">, תרגם מערבית יוסף יואל ריבלין, כרך א, תל אביב: קרית ספר, תש"ז, סיפור המסגרת.</w:t>
      </w:r>
    </w:p>
  </w:footnote>
  <w:footnote w:id="12">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Isaac Ibn Sahula, </w:t>
      </w:r>
      <w:r>
        <w:rPr>
          <w:rFonts w:ascii="Times New Roman" w:cs="David" w:eastAsia="David" w:hAnsi="Times New Roman"/>
          <w:i/>
          <w:iCs/>
          <w:sz w:val="20"/>
          <w:szCs w:val="20"/>
          <w:rtl w:val="false"/>
        </w:rPr>
        <w:t xml:space="preserve">Meshal Haqadmoni: Fables from the Distant Past</w:t>
      </w:r>
      <w:r>
        <w:rPr>
          <w:rFonts w:ascii="Times New Roman" w:cs="David" w:eastAsia="David" w:hAnsi="Times New Roman"/>
          <w:i w:val="false"/>
          <w:iCs w:val="false"/>
          <w:sz w:val="20"/>
          <w:szCs w:val="20"/>
          <w:rtl w:val="false"/>
        </w:rPr>
        <w:t xml:space="preserve">, ed. and trans. Raphael Loewe, 2 vols., Oxford: Littman Library, 2004 [</w:t>
      </w:r>
      <w:r>
        <w:rPr>
          <w:rFonts w:ascii="Times New Roman" w:cs="David" w:eastAsia="David" w:hAnsi="Times New Roman"/>
          <w:i w:val="false"/>
          <w:iCs w:val="false"/>
          <w:sz w:val="20"/>
          <w:szCs w:val="20"/>
          <w:rtl/>
        </w:rPr>
        <w:t xml:space="preserve">לוודא במפתח המהדורה].</w:t>
      </w:r>
    </w:p>
  </w:footnote>
  <w:footnote w:id="13">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Marie de France, </w:t>
      </w:r>
      <w:r>
        <w:rPr>
          <w:rFonts w:ascii="Times New Roman" w:cs="David" w:eastAsia="David" w:hAnsi="Times New Roman"/>
          <w:i/>
          <w:iCs/>
          <w:sz w:val="20"/>
          <w:szCs w:val="20"/>
          <w:rtl w:val="false"/>
        </w:rPr>
        <w:t xml:space="preserve">Fables</w:t>
      </w:r>
      <w:r>
        <w:rPr>
          <w:rFonts w:ascii="Times New Roman" w:cs="David" w:eastAsia="David" w:hAnsi="Times New Roman"/>
          <w:i w:val="false"/>
          <w:iCs w:val="false"/>
          <w:sz w:val="20"/>
          <w:szCs w:val="20"/>
          <w:rtl w:val="false"/>
        </w:rPr>
        <w:t xml:space="preserve">, ed. and trans. Harriet Spiegel, Toronto: University of Toronto Press, 1987, no. 15 [</w:t>
      </w:r>
      <w:r>
        <w:rPr>
          <w:rFonts w:ascii="Times New Roman" w:cs="David" w:eastAsia="David" w:hAnsi="Times New Roman"/>
          <w:i w:val="false"/>
          <w:iCs w:val="false"/>
          <w:sz w:val="20"/>
          <w:szCs w:val="20"/>
          <w:rtl/>
        </w:rPr>
        <w:t xml:space="preserve">לוודא].</w:t>
      </w:r>
    </w:p>
  </w:footnote>
  <w:footnote w:id="14">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 K. Elliott, </w:t>
      </w:r>
      <w:r>
        <w:rPr>
          <w:rFonts w:ascii="Times New Roman" w:cs="David" w:eastAsia="David" w:hAnsi="Times New Roman"/>
          <w:i/>
          <w:iCs/>
          <w:sz w:val="20"/>
          <w:szCs w:val="20"/>
          <w:rtl w:val="false"/>
        </w:rPr>
        <w:t xml:space="preserve">The Apocryphal New Testament</w:t>
      </w:r>
      <w:r>
        <w:rPr>
          <w:rFonts w:ascii="Times New Roman" w:cs="David" w:eastAsia="David" w:hAnsi="Times New Roman"/>
          <w:i w:val="false"/>
          <w:iCs w:val="false"/>
          <w:sz w:val="20"/>
          <w:szCs w:val="20"/>
          <w:rtl w:val="false"/>
        </w:rPr>
        <w:t xml:space="preserve">, Oxford: Clarendon Press, 1993, Gospel of Pseudo-Matthew, ch. 14.</w:t>
      </w:r>
    </w:p>
  </w:footnote>
  <w:footnote w:id="15">
    <w:p>
      <w:pPr>
        <w:bidi/>
        <w:spacing w:after="60" w:line="240"/>
        <w:jc w:val="both"/>
      </w:pPr>
      <w:r>
        <w:rPr>
          <w:rStyle w:val="FootnoteReference"/>
        </w:rPr>
        <w:footnoteRef/>
      </w:r>
      <w:r>
        <w:rPr>
          <w:rFonts w:ascii="Times New Roman" w:cs="David" w:eastAsia="David" w:hAnsi="Times New Roman"/>
          <w:i/>
          <w:iCs/>
          <w:sz w:val="20"/>
          <w:szCs w:val="20"/>
          <w:rtl w:val="false"/>
        </w:rPr>
        <w:t xml:space="preserve">The Etymologies of Isidore of Seville</w:t>
      </w:r>
      <w:r>
        <w:rPr>
          <w:rFonts w:ascii="Times New Roman" w:cs="David" w:eastAsia="David" w:hAnsi="Times New Roman"/>
          <w:i w:val="false"/>
          <w:iCs w:val="false"/>
          <w:sz w:val="20"/>
          <w:szCs w:val="20"/>
          <w:rtl w:val="false"/>
        </w:rPr>
        <w:t xml:space="preserve">, trans. Stephen A. Barney et al., Cambridge: Cambridge University Press, 2006, XII.1.38-39.</w:t>
      </w:r>
    </w:p>
  </w:footnote>
  <w:footnote w:id="16">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T. H. White, </w:t>
      </w:r>
      <w:r>
        <w:rPr>
          <w:rFonts w:ascii="Times New Roman" w:cs="David" w:eastAsia="David" w:hAnsi="Times New Roman"/>
          <w:i/>
          <w:iCs/>
          <w:sz w:val="20"/>
          <w:szCs w:val="20"/>
          <w:rtl w:val="false"/>
        </w:rPr>
        <w:t xml:space="preserve">The Book of Beasts: Being a Translation from a Latin Bestiary of the Twelfth Century</w:t>
      </w:r>
      <w:r>
        <w:rPr>
          <w:rFonts w:ascii="Times New Roman" w:cs="David" w:eastAsia="David" w:hAnsi="Times New Roman"/>
          <w:i w:val="false"/>
          <w:iCs w:val="false"/>
          <w:sz w:val="20"/>
          <w:szCs w:val="20"/>
          <w:rtl w:val="false"/>
        </w:rPr>
        <w:t xml:space="preserve">, London: Jonathan Cape, 1954, </w:t>
      </w:r>
      <w:r>
        <w:rPr>
          <w:rFonts w:ascii="Times New Roman" w:cs="David" w:eastAsia="David" w:hAnsi="Times New Roman"/>
          <w:i w:val="false"/>
          <w:iCs w:val="false"/>
          <w:sz w:val="20"/>
          <w:szCs w:val="20"/>
          <w:rtl/>
        </w:rPr>
        <w:t xml:space="preserve">בערכים </w:t>
      </w:r>
      <w:r>
        <w:rPr>
          <w:rFonts w:ascii="Times New Roman" w:cs="David" w:eastAsia="David" w:hAnsi="Times New Roman"/>
          <w:i w:val="false"/>
          <w:iCs w:val="false"/>
          <w:sz w:val="20"/>
          <w:szCs w:val="20"/>
          <w:rtl w:val="false"/>
        </w:rPr>
        <w:t xml:space="preserve">ass </w:t>
      </w:r>
      <w:r>
        <w:rPr>
          <w:rFonts w:ascii="Times New Roman" w:cs="David" w:eastAsia="David" w:hAnsi="Times New Roman"/>
          <w:i w:val="false"/>
          <w:iCs w:val="false"/>
          <w:sz w:val="20"/>
          <w:szCs w:val="20"/>
          <w:rtl/>
        </w:rPr>
        <w:t xml:space="preserve">ו-</w:t>
      </w:r>
      <w:r>
        <w:rPr>
          <w:rFonts w:ascii="Times New Roman" w:cs="David" w:eastAsia="David" w:hAnsi="Times New Roman"/>
          <w:i w:val="false"/>
          <w:iCs w:val="false"/>
          <w:sz w:val="20"/>
          <w:szCs w:val="20"/>
          <w:rtl w:val="false"/>
        </w:rPr>
        <w:t xml:space="preserve">onager [</w:t>
      </w:r>
      <w:r>
        <w:rPr>
          <w:rFonts w:ascii="Times New Roman" w:cs="David" w:eastAsia="David" w:hAnsi="Times New Roman"/>
          <w:i w:val="false"/>
          <w:iCs w:val="false"/>
          <w:sz w:val="20"/>
          <w:szCs w:val="20"/>
          <w:rtl/>
        </w:rPr>
        <w:t xml:space="preserve">לוודא עמודים].</w:t>
      </w:r>
    </w:p>
  </w:footnote>
  <w:footnote w:id="17">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E. K. Chambers, </w:t>
      </w:r>
      <w:r>
        <w:rPr>
          <w:rFonts w:ascii="Times New Roman" w:cs="David" w:eastAsia="David" w:hAnsi="Times New Roman"/>
          <w:i/>
          <w:iCs/>
          <w:sz w:val="20"/>
          <w:szCs w:val="20"/>
          <w:rtl w:val="false"/>
        </w:rPr>
        <w:t xml:space="preserve">The Mediaeval Stage</w:t>
      </w:r>
      <w:r>
        <w:rPr>
          <w:rFonts w:ascii="Times New Roman" w:cs="David" w:eastAsia="David" w:hAnsi="Times New Roman"/>
          <w:i w:val="false"/>
          <w:iCs w:val="false"/>
          <w:sz w:val="20"/>
          <w:szCs w:val="20"/>
          <w:rtl w:val="false"/>
        </w:rPr>
        <w:t xml:space="preserve">, vol. 1, Oxford: Clarendon Press, 1903, ch. 14 [</w:t>
      </w:r>
      <w:r>
        <w:rPr>
          <w:rFonts w:ascii="Times New Roman" w:cs="David" w:eastAsia="David" w:hAnsi="Times New Roman"/>
          <w:i w:val="false"/>
          <w:iCs w:val="false"/>
          <w:sz w:val="20"/>
          <w:szCs w:val="20"/>
          <w:rtl/>
        </w:rPr>
        <w:t xml:space="preserve">לוודא עמודים].</w:t>
      </w:r>
    </w:p>
  </w:footnote>
  <w:footnote w:id="18">
    <w:p>
      <w:pPr>
        <w:bidi/>
        <w:spacing w:after="60" w:line="240"/>
        <w:jc w:val="both"/>
      </w:pPr>
      <w:r>
        <w:rPr>
          <w:rStyle w:val="FootnoteReference"/>
        </w:rPr>
        <w:footnoteRef/>
      </w:r>
      <w:r>
        <w:rPr>
          <w:rFonts w:ascii="Times New Roman" w:cs="David" w:eastAsia="David" w:hAnsi="Times New Roman"/>
          <w:i/>
          <w:iCs/>
          <w:sz w:val="20"/>
          <w:szCs w:val="20"/>
          <w:rtl/>
        </w:rPr>
        <w:t xml:space="preserve">הקוראן</w:t>
      </w:r>
      <w:r>
        <w:rPr>
          <w:rFonts w:ascii="Times New Roman" w:cs="David" w:eastAsia="David" w:hAnsi="Times New Roman"/>
          <w:i w:val="false"/>
          <w:iCs w:val="false"/>
          <w:sz w:val="20"/>
          <w:szCs w:val="20"/>
          <w:rtl/>
        </w:rPr>
        <w:t xml:space="preserve">, תרגם מערבית אורי רובין, תל אביב: אוניברסיטת תל אביב, 2005, סורות 31, 62, 74. ההקשר הרביעי הוא סורה 2, פסוק 259, על האיש שחמורו הוחיה לאחר מאה שנה.</w:t>
      </w:r>
    </w:p>
  </w:footnote>
  <w:footnote w:id="19">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את גלגולו של הביטוי בספרות העברית של ימי הביניים יש לבדוק; ראו לפי שעה יסיף, </w:t>
      </w:r>
      <w:r>
        <w:rPr>
          <w:rFonts w:ascii="Times New Roman" w:cs="David" w:eastAsia="David" w:hAnsi="Times New Roman"/>
          <w:i/>
          <w:iCs/>
          <w:sz w:val="20"/>
          <w:szCs w:val="20"/>
          <w:rtl/>
        </w:rPr>
        <w:t xml:space="preserve">סיפור העם העברי</w:t>
      </w:r>
      <w:r>
        <w:rPr>
          <w:rFonts w:ascii="Times New Roman" w:cs="David" w:eastAsia="David" w:hAnsi="Times New Roman"/>
          <w:i w:val="false"/>
          <w:iCs w:val="false"/>
          <w:sz w:val="20"/>
          <w:szCs w:val="20"/>
          <w:rtl/>
        </w:rPr>
        <w:t xml:space="preserve">, במפתח בערך "חמור" [לוודא].</w:t>
      </w:r>
    </w:p>
  </w:footnote>
  <w:footnote w:id="20">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Charles Pellat, "Djuha," in </w:t>
      </w:r>
      <w:r>
        <w:rPr>
          <w:rFonts w:ascii="Times New Roman" w:cs="David" w:eastAsia="David" w:hAnsi="Times New Roman"/>
          <w:i/>
          <w:iCs/>
          <w:sz w:val="20"/>
          <w:szCs w:val="20"/>
          <w:rtl w:val="false"/>
        </w:rPr>
        <w:t xml:space="preserve">The Encyclopaedia of Islam</w:t>
      </w:r>
      <w:r>
        <w:rPr>
          <w:rFonts w:ascii="Times New Roman" w:cs="David" w:eastAsia="David" w:hAnsi="Times New Roman"/>
          <w:i w:val="false"/>
          <w:iCs w:val="false"/>
          <w:sz w:val="20"/>
          <w:szCs w:val="20"/>
          <w:rtl w:val="false"/>
        </w:rPr>
        <w:t xml:space="preserve">, 2nd ed., vol. 2, Leiden: Brill, 1965, pp. 590-592 [</w:t>
      </w:r>
      <w:r>
        <w:rPr>
          <w:rFonts w:ascii="Times New Roman" w:cs="David" w:eastAsia="David" w:hAnsi="Times New Roman"/>
          <w:i w:val="false"/>
          <w:iCs w:val="false"/>
          <w:sz w:val="20"/>
          <w:szCs w:val="20"/>
          <w:rtl/>
        </w:rPr>
        <w:t xml:space="preserve">לוודא עמודים].</w:t>
      </w:r>
    </w:p>
  </w:footnote>
  <w:footnote w:id="21">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האחים גרים, </w:t>
      </w:r>
      <w:r>
        <w:rPr>
          <w:rFonts w:ascii="Times New Roman" w:cs="David" w:eastAsia="David" w:hAnsi="Times New Roman"/>
          <w:i/>
          <w:iCs/>
          <w:sz w:val="20"/>
          <w:szCs w:val="20"/>
          <w:rtl/>
        </w:rPr>
        <w:t xml:space="preserve">מעשיות האחים גרים</w:t>
      </w:r>
      <w:r>
        <w:rPr>
          <w:rFonts w:ascii="Times New Roman" w:cs="David" w:eastAsia="David" w:hAnsi="Times New Roman"/>
          <w:i w:val="false"/>
          <w:iCs w:val="false"/>
          <w:sz w:val="20"/>
          <w:szCs w:val="20"/>
          <w:rtl/>
        </w:rPr>
        <w:t xml:space="preserve">, תרגם שמעון לוי, תל אביב: ספרית פועלים, 1994, מעשייה 27; </w:t>
      </w:r>
      <w:r>
        <w:rPr>
          <w:rFonts w:ascii="Times New Roman" w:cs="David" w:eastAsia="David" w:hAnsi="Times New Roman"/>
          <w:i w:val="false"/>
          <w:iCs w:val="false"/>
          <w:sz w:val="20"/>
          <w:szCs w:val="20"/>
          <w:rtl w:val="false"/>
        </w:rPr>
        <w:t xml:space="preserve">Uther, </w:t>
      </w:r>
      <w:r>
        <w:rPr>
          <w:rFonts w:ascii="Times New Roman" w:cs="David" w:eastAsia="David" w:hAnsi="Times New Roman"/>
          <w:i/>
          <w:iCs/>
          <w:sz w:val="20"/>
          <w:szCs w:val="20"/>
          <w:rtl w:val="false"/>
        </w:rPr>
        <w:t xml:space="preserve">Types of International Folktales</w:t>
      </w:r>
      <w:r>
        <w:rPr>
          <w:rFonts w:ascii="Times New Roman" w:cs="David" w:eastAsia="David" w:hAnsi="Times New Roman"/>
          <w:i w:val="false"/>
          <w:iCs w:val="false"/>
          <w:sz w:val="20"/>
          <w:szCs w:val="20"/>
          <w:rtl w:val="false"/>
        </w:rPr>
        <w:t xml:space="preserve">, no. 130.</w:t>
      </w:r>
    </w:p>
  </w:footnote>
  <w:footnote w:id="22">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Jacobs, </w:t>
      </w:r>
      <w:r>
        <w:rPr>
          <w:rFonts w:ascii="Times New Roman" w:cs="David" w:eastAsia="David" w:hAnsi="Times New Roman"/>
          <w:i/>
          <w:iCs/>
          <w:sz w:val="20"/>
          <w:szCs w:val="20"/>
          <w:rtl w:val="false"/>
        </w:rPr>
        <w:t xml:space="preserve">Fables of Aesop</w:t>
      </w:r>
      <w:r>
        <w:rPr>
          <w:rFonts w:ascii="Times New Roman" w:cs="David" w:eastAsia="David" w:hAnsi="Times New Roman"/>
          <w:i w:val="false"/>
          <w:iCs w:val="false"/>
          <w:sz w:val="20"/>
          <w:szCs w:val="20"/>
          <w:rtl w:val="false"/>
        </w:rPr>
        <w:t xml:space="preserve">, vol. 1, pp. 168-178; Schwarzbaum, </w:t>
      </w:r>
      <w:r>
        <w:rPr>
          <w:rFonts w:ascii="Times New Roman" w:cs="David" w:eastAsia="David" w:hAnsi="Times New Roman"/>
          <w:i/>
          <w:iCs/>
          <w:sz w:val="20"/>
          <w:szCs w:val="20"/>
          <w:rtl w:val="false"/>
        </w:rPr>
        <w:t xml:space="preserve">Mishle Shu'alim</w:t>
      </w:r>
      <w:r>
        <w:rPr>
          <w:rFonts w:ascii="Times New Roman" w:cs="David" w:eastAsia="David" w:hAnsi="Times New Roman"/>
          <w:i w:val="false"/>
          <w:iCs w:val="false"/>
          <w:sz w:val="20"/>
          <w:szCs w:val="20"/>
          <w:rtl w:val="false"/>
        </w:rPr>
        <w:t xml:space="preserve">, Introduction.</w:t>
      </w:r>
    </w:p>
  </w:footnote>
  <w:footnote w:id="23">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Hadas, </w:t>
      </w:r>
      <w:r>
        <w:rPr>
          <w:rFonts w:ascii="Times New Roman" w:cs="David" w:eastAsia="David" w:hAnsi="Times New Roman"/>
          <w:i/>
          <w:iCs/>
          <w:sz w:val="20"/>
          <w:szCs w:val="20"/>
          <w:rtl w:val="false"/>
        </w:rPr>
        <w:t xml:space="preserve">Fables of a Jewish Aesop</w:t>
      </w:r>
      <w:r>
        <w:rPr>
          <w:rFonts w:ascii="Times New Roman" w:cs="David" w:eastAsia="David" w:hAnsi="Times New Roman"/>
          <w:i w:val="false"/>
          <w:iCs w:val="false"/>
          <w:sz w:val="20"/>
          <w:szCs w:val="20"/>
          <w:rtl w:val="false"/>
        </w:rPr>
        <w:t xml:space="preserve">, Introduction, pp. vii-xiv [</w:t>
      </w:r>
      <w:r>
        <w:rPr>
          <w:rFonts w:ascii="Times New Roman" w:cs="David" w:eastAsia="David" w:hAnsi="Times New Roman"/>
          <w:i w:val="false"/>
          <w:iCs w:val="false"/>
          <w:sz w:val="20"/>
          <w:szCs w:val="20"/>
          <w:rtl/>
        </w:rPr>
        <w:t xml:space="preserve">לוודא עמודים].</w:t>
      </w:r>
    </w:p>
  </w:footnote>
  <w:footnote w:id="24">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Jan M. Ziolkowski, </w:t>
      </w:r>
      <w:r>
        <w:rPr>
          <w:rFonts w:ascii="Times New Roman" w:cs="David" w:eastAsia="David" w:hAnsi="Times New Roman"/>
          <w:i/>
          <w:iCs/>
          <w:sz w:val="20"/>
          <w:szCs w:val="20"/>
          <w:rtl w:val="false"/>
        </w:rPr>
        <w:t xml:space="preserve">Talking Animals: Medieval Latin Beast Poetry, 750-1150</w:t>
      </w:r>
      <w:r>
        <w:rPr>
          <w:rFonts w:ascii="Times New Roman" w:cs="David" w:eastAsia="David" w:hAnsi="Times New Roman"/>
          <w:i w:val="false"/>
          <w:iCs w:val="false"/>
          <w:sz w:val="20"/>
          <w:szCs w:val="20"/>
          <w:rtl w:val="false"/>
        </w:rPr>
        <w:t xml:space="preserve">, Philadelphia: University of Pennsylvania Press, 1993, pp. 1-14.</w:t>
      </w:r>
    </w:p>
  </w:footnote>
  <w:footnote w:id="25">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Berechiah ha-Nakdan, </w:t>
      </w:r>
      <w:r>
        <w:rPr>
          <w:rFonts w:ascii="Times New Roman" w:cs="David" w:eastAsia="David" w:hAnsi="Times New Roman"/>
          <w:i/>
          <w:iCs/>
          <w:sz w:val="20"/>
          <w:szCs w:val="20"/>
          <w:rtl w:val="false"/>
        </w:rPr>
        <w:t xml:space="preserve">Fables of a Jewish Aesop</w:t>
      </w:r>
      <w:r>
        <w:rPr>
          <w:rFonts w:ascii="Times New Roman" w:cs="David" w:eastAsia="David" w:hAnsi="Times New Roman"/>
          <w:i w:val="false"/>
          <w:iCs w:val="false"/>
          <w:sz w:val="20"/>
          <w:szCs w:val="20"/>
          <w:rtl w:val="false"/>
        </w:rPr>
        <w:t xml:space="preserve">, trans. Moses Hadas, New York: Columbia University Press, 1967; Schwarzbaum, </w:t>
      </w:r>
      <w:r>
        <w:rPr>
          <w:rFonts w:ascii="Times New Roman" w:cs="David" w:eastAsia="David" w:hAnsi="Times New Roman"/>
          <w:i/>
          <w:iCs/>
          <w:sz w:val="20"/>
          <w:szCs w:val="20"/>
          <w:rtl w:val="false"/>
        </w:rPr>
        <w:t xml:space="preserve">Mishle Shu'alim</w:t>
      </w:r>
      <w:r>
        <w:rPr>
          <w:rFonts w:ascii="Times New Roman" w:cs="David" w:eastAsia="David" w:hAnsi="Times New Roman"/>
          <w:i w:val="false"/>
          <w:iCs w:val="false"/>
          <w:sz w:val="20"/>
          <w:szCs w:val="20"/>
          <w:rtl/>
        </w:rPr>
        <w:t xml:space="preserve">.</w:t>
      </w:r>
    </w:p>
  </w:footnote>
  <w:footnote w:id="26">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Schwarzbaum, </w:t>
      </w:r>
      <w:r>
        <w:rPr>
          <w:rFonts w:ascii="Times New Roman" w:cs="David" w:eastAsia="David" w:hAnsi="Times New Roman"/>
          <w:i/>
          <w:iCs/>
          <w:sz w:val="20"/>
          <w:szCs w:val="20"/>
          <w:rtl w:val="false"/>
        </w:rPr>
        <w:t xml:space="preserve">Mishle Shu'alim</w:t>
      </w:r>
      <w:r>
        <w:rPr>
          <w:rFonts w:ascii="Times New Roman" w:cs="David" w:eastAsia="David" w:hAnsi="Times New Roman"/>
          <w:i w:val="false"/>
          <w:iCs w:val="false"/>
          <w:sz w:val="20"/>
          <w:szCs w:val="20"/>
          <w:rtl w:val="false"/>
        </w:rPr>
        <w:t xml:space="preserve">, Introduction.</w:t>
      </w:r>
    </w:p>
  </w:footnote>
  <w:footnote w:id="27">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דן פגיס, </w:t>
      </w:r>
      <w:r>
        <w:rPr>
          <w:rFonts w:ascii="Times New Roman" w:cs="David" w:eastAsia="David" w:hAnsi="Times New Roman"/>
          <w:i/>
          <w:iCs/>
          <w:sz w:val="20"/>
          <w:szCs w:val="20"/>
          <w:rtl/>
        </w:rPr>
        <w:t xml:space="preserve">חידוש ומסורת בשירת החול העברית: ספרד ואיטליה</w:t>
      </w:r>
      <w:r>
        <w:rPr>
          <w:rFonts w:ascii="Times New Roman" w:cs="David" w:eastAsia="David" w:hAnsi="Times New Roman"/>
          <w:i w:val="false"/>
          <w:iCs w:val="false"/>
          <w:sz w:val="20"/>
          <w:szCs w:val="20"/>
          <w:rtl/>
        </w:rPr>
        <w:t xml:space="preserve">, ירושלים: כתר, 1976, עמ' 70-77 [לוודא עמודים].</w:t>
      </w:r>
    </w:p>
  </w:footnote>
  <w:footnote w:id="28">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ברכיה הנקדן, </w:t>
      </w:r>
      <w:r>
        <w:rPr>
          <w:rFonts w:ascii="Times New Roman" w:cs="David" w:eastAsia="David" w:hAnsi="Times New Roman"/>
          <w:i/>
          <w:iCs/>
          <w:sz w:val="20"/>
          <w:szCs w:val="20"/>
          <w:rtl/>
        </w:rPr>
        <w:t xml:space="preserve">משלי שועלים</w:t>
      </w:r>
      <w:r>
        <w:rPr>
          <w:rFonts w:ascii="Times New Roman" w:cs="David" w:eastAsia="David" w:hAnsi="Times New Roman"/>
          <w:i w:val="false"/>
          <w:iCs w:val="false"/>
          <w:sz w:val="20"/>
          <w:szCs w:val="20"/>
          <w:rtl/>
        </w:rPr>
        <w:t xml:space="preserve">, הקדמת המחבר, מהדורת הברמן [לוודא עמודים וציטוט מדויק].</w:t>
      </w:r>
    </w:p>
  </w:footnote>
  <w:footnote w:id="29">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ברכיה הנקדן, </w:t>
      </w:r>
      <w:r>
        <w:rPr>
          <w:rFonts w:ascii="Times New Roman" w:cs="David" w:eastAsia="David" w:hAnsi="Times New Roman"/>
          <w:i/>
          <w:iCs/>
          <w:sz w:val="20"/>
          <w:szCs w:val="20"/>
          <w:rtl/>
        </w:rPr>
        <w:t xml:space="preserve">משלי שועלים</w:t>
      </w:r>
      <w:r>
        <w:rPr>
          <w:rFonts w:ascii="Times New Roman" w:cs="David" w:eastAsia="David" w:hAnsi="Times New Roman"/>
          <w:i w:val="false"/>
          <w:iCs w:val="false"/>
          <w:sz w:val="20"/>
          <w:szCs w:val="20"/>
          <w:rtl/>
        </w:rPr>
        <w:t xml:space="preserve">, משל סה, מהדורת הברמן [לוודא נוסח החרוז הפותח].</w:t>
      </w:r>
    </w:p>
  </w:footnote>
  <w:footnote w:id="30">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Perry, </w:t>
      </w:r>
      <w:r>
        <w:rPr>
          <w:rFonts w:ascii="Times New Roman" w:cs="David" w:eastAsia="David" w:hAnsi="Times New Roman"/>
          <w:i/>
          <w:iCs/>
          <w:sz w:val="20"/>
          <w:szCs w:val="20"/>
          <w:rtl w:val="false"/>
        </w:rPr>
        <w:t xml:space="preserve">Babrius and Phaedrus</w:t>
      </w:r>
      <w:r>
        <w:rPr>
          <w:rFonts w:ascii="Times New Roman" w:cs="David" w:eastAsia="David" w:hAnsi="Times New Roman"/>
          <w:i w:val="false"/>
          <w:iCs w:val="false"/>
          <w:sz w:val="20"/>
          <w:szCs w:val="20"/>
          <w:rtl w:val="false"/>
        </w:rPr>
        <w:t xml:space="preserve">, Phaedrus 1.11; Schwarzbaum, </w:t>
      </w:r>
      <w:r>
        <w:rPr>
          <w:rFonts w:ascii="Times New Roman" w:cs="David" w:eastAsia="David" w:hAnsi="Times New Roman"/>
          <w:i/>
          <w:iCs/>
          <w:sz w:val="20"/>
          <w:szCs w:val="20"/>
          <w:rtl w:val="false"/>
        </w:rPr>
        <w:t xml:space="preserve">Mishle Shu'alim</w:t>
      </w:r>
      <w:r>
        <w:rPr>
          <w:rFonts w:ascii="Times New Roman" w:cs="David" w:eastAsia="David" w:hAnsi="Times New Roman"/>
          <w:i w:val="false"/>
          <w:iCs w:val="false"/>
          <w:sz w:val="20"/>
          <w:szCs w:val="20"/>
          <w:rtl/>
        </w:rPr>
        <w:t xml:space="preserve">, בדיון על משל סה [לוודא עמודים].</w:t>
      </w:r>
    </w:p>
  </w:footnote>
  <w:footnote w:id="31">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השווה משלי יז, כח. את מקור הפתגם המדויק יש לבדוק בספרות המוסר של ימי הביניים, כגון "מבחר הפנינים" [לוודא].</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sz w:val="32"/>
      <w:szCs w:val="32"/>
    </w:rPr>
  </w:style>
  <w:style w:type="paragraph" w:styleId="Heading2">
    <w:name w:val="Heading 2"/>
    <w:basedOn w:val="Normal"/>
    <w:next w:val="Normal"/>
    <w:qFormat/>
    <w:pPr>
      <w:outlineLvl w:val="1"/>
    </w:pPr>
    <w:rPr>
      <w:rFonts w:ascii="Times New Roman" w:cs="David" w:eastAsia="David"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דמות החמור במשלי שועלים לרבי ברכיה הנקדן</dc:title>
  <dc:creator>Seminar</dc:creator>
  <cp:lastModifiedBy>Un-named</cp:lastModifiedBy>
  <cp:revision>1</cp:revision>
  <dcterms:created xsi:type="dcterms:W3CDTF">2026-09-19T12:45:06.644Z</dcterms:created>
  <dcterms:modified xsi:type="dcterms:W3CDTF">2026-09-19T12:45:06.645Z</dcterms:modified>
</cp:coreProperties>
</file>

<file path=docProps/custom.xml><?xml version="1.0" encoding="utf-8"?>
<Properties xmlns="http://schemas.openxmlformats.org/officeDocument/2006/custom-properties" xmlns:vt="http://schemas.openxmlformats.org/officeDocument/2006/docPropsVTypes"/>
</file>