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(בן-ישראל, דיני עבודה כרך א, עמ' 48-32). הזכות הראשונה מעוגנת בסעיף 33ח לחוק הסכמים קיבוציים (סעיף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szCs w:val="24"/>
          <w:bCs/>
        </w:rPr>
        <w:t>עניין עמית</w:t>
      </w:r>
      <w:r>
        <w:rPr>
          <w:sz w:val="24"/>
          <w:rtl/>
          <w:szCs w:val="24"/>
        </w:rPr>
        <w:t xml:space="preserve"> (בג"ץ 7029/95, פ"ד נא(2) 63 (1997)). מבחן החברות: החברים הם בעיקר עובדים שכירים והחברות רצונית. מבחן התקנון: לארגון תקנון המסדיר את מוסדותיו ומטרותיו.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הנימוק שבהודעת הקבוצה אינו מחזיק משפטית. הוראות הסכם קיבוצי הן כללים קוגנטיים, ואילו חוזה אישי הוא דיספוזיטיבי (סעיפים 19-20 לחוק), אך לפי סעיף 22 לחוק הוראה בחוזה האישי שהיא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sz w:val="24"/>
          <w:rtl/>
          <w:szCs w:val="24"/>
        </w:rPr>
        <w:t xml:space="preserve"> (עס"ק (ארצי) 25476-09-12, 2.1.2013)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שבגינה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sz w:val="24"/>
          <w:rtl/>
          <w:szCs w:val="24"/>
        </w:rPr>
        <w:t xml:space="preserve">החוק למניעת הטרדה מינית נועד להגן על כבוד האדם, חירותו ופרטיותו (סעיף 1 לחוק למניעת הטרדה מינית, התשנ"ח–1998). החלופה הרלוונטית היא סעיף 3(א)(4): התייחסויות חוזרות המופנות לאדם, המתמקדות במיניותו, כאשר אותו אדם </w:t>
      </w:r>
      <w:r>
        <w:rPr>
          <w:b/>
          <w:sz w:val="24"/>
          <w:rtl/>
          <w:szCs w:val="24"/>
          <w:bCs/>
        </w:rPr>
        <w:t>הראה למטריד שאינו מעוניין</w:t>
      </w:r>
      <w:r>
        <w:rPr>
          <w:sz w:val="24"/>
          <w:rt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לפי סעיף 3(א)(6)(ג), כאשר ההתייחסויות נעשות תוך ניצול מרות ביחסי עבודה, אין צורך שהמוטרד יראה שאינו מעוניין. ב</w:t>
      </w:r>
      <w:r>
        <w:rPr>
          <w:b/>
          <w:sz w:val="24"/>
          <w:rtl/>
          <w:szCs w:val="24"/>
          <w:bCs/>
        </w:rPr>
        <w:t>עניין מדר</w:t>
      </w:r>
      <w:r>
        <w:rPr>
          <w:sz w:val="24"/>
          <w:rt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עם זאת, גם כשקיימים יחסי מרות נדרשות התייחסויות חוזרות המתמקדות במיניותו של המוטרד, ונדרש שנוצלו יחסי המרות. השאלה על נטייתו של אורי נשאלה פעם אחת.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(סעיף 7(א) לחוק). Frame מעסיקה כ-70 עובדים, ולכן עליה גם לפרסם תקנון מותאם ולמנות אחראי לבירור תלונות (סעיף 7(ב))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ואינה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szCs w:val="24"/>
          <w:bCs/>
        </w:rPr>
        <w:t>הרעת תנאים</w:t>
      </w:r>
      <w:r>
        <w:rPr>
          <w:sz w:val="24"/>
          <w:rtl/>
          <w:szCs w:val="24"/>
        </w:rPr>
        <w:t>.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szCs w:val="24"/>
        </w:rPr>
        <w:t xml:space="preserve">לפי חוק פיצויי פיטורים,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(סעיף 11(א) לחוק פיצויי פיטורים, התשכ"ג–1963). הזכאות עצמה מותנית בשנת עבודה אחת ברציפות אצל אותו מעסיק (סעיף 1(א) לחוק), ותקופת העסקתו של אורי אינה ידועה. אילו הוכרה התפטרותו כפיטורים, היה זכאי לשכר חודש אחד לכל שנת עבודה, ולחלק יחסי בעד חלק משנה (סעיף 12(א) לחוק).</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והזדמנות לתקן, לפעול בתום לב ובלי שיהוי, שכן שיהוי עלול להתפרש כהסכמה בהתנהגות.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w:t>
      </w:r>
    </w:p>
    <w:p>
      <w:pPr>
        <w:bidi/>
        <w:spacing w:before="0" w:after="0"/>
        <w:jc w:val="both"/>
      </w:pPr>
      <w:r>
        <w:rPr>
          <w:sz w:val="24"/>
          <w:rtl/>
          <w:szCs w:val="24"/>
        </w:rPr>
        <w:t>רות בן-ישראל דיני עבודה כרך א 48-32 (2002).</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