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spacing w:line="360" w:lineRule="auto" w:after="0"/>
        <w:jc w:val="both"/>
      </w:pPr>
      <w:r>
        <w:rPr>
          <w:rFonts w:ascii="David" w:hAnsi="David" w:cs="David"/>
          <w:b w:val="0"/>
          <w:sz w:val="24"/>
          <w:szCs w:val="24"/>
          <w:rtl w:val="1"/>
        </w:rPr>
      </w:r>
    </w:p>
    <w:p>
      <w:pPr>
        <w:bidi w:val="1"/>
        <w:spacing w:line="360" w:lineRule="auto" w:after="0"/>
        <w:jc w:val="both"/>
      </w:pPr>
      <w:r>
        <w:rPr>
          <w:rFonts w:ascii="David" w:hAnsi="David" w:cs="David"/>
          <w:b w:val="0"/>
          <w:sz w:val="24"/>
          <w:szCs w:val="24"/>
          <w:rtl w:val="1"/>
        </w:rPr>
      </w:r>
    </w:p>
    <w:p>
      <w:pPr>
        <w:bidi w:val="1"/>
        <w:spacing w:line="360" w:lineRule="auto" w:after="0"/>
        <w:jc w:val="both"/>
      </w:pPr>
      <w:r>
        <w:rPr>
          <w:rFonts w:ascii="David" w:hAnsi="David" w:cs="David"/>
          <w:b w:val="0"/>
          <w:sz w:val="24"/>
          <w:szCs w:val="24"/>
          <w:rtl w:val="1"/>
        </w:rPr>
      </w:r>
    </w:p>
    <w:p>
      <w:pPr>
        <w:bidi w:val="1"/>
        <w:spacing w:line="360" w:lineRule="auto" w:after="40"/>
        <w:jc w:val="center"/>
      </w:pPr>
      <w:r>
        <w:rPr>
          <w:rFonts w:ascii="David" w:hAnsi="David" w:cs="David"/>
          <w:b w:val="0"/>
          <w:sz w:val="28"/>
          <w:szCs w:val="28"/>
          <w:rtl w:val="1"/>
        </w:rPr>
        <w:t>התוכנית למדעי היהדות</w:t>
      </w:r>
    </w:p>
    <w:p>
      <w:pPr>
        <w:bidi w:val="1"/>
        <w:spacing w:line="360" w:lineRule="auto" w:after="360"/>
        <w:jc w:val="center"/>
      </w:pPr>
      <w:r>
        <w:rPr>
          <w:rFonts w:ascii="David" w:hAnsi="David" w:cs="David"/>
          <w:b w:val="0"/>
          <w:sz w:val="28"/>
          <w:szCs w:val="28"/>
          <w:rtl w:val="1"/>
        </w:rPr>
        <w:t>לימודים לתואר מוסמך</w:t>
      </w:r>
    </w:p>
    <w:p>
      <w:pPr>
        <w:bidi w:val="1"/>
        <w:spacing w:line="360" w:lineRule="auto" w:after="80"/>
        <w:jc w:val="center"/>
      </w:pPr>
      <w:r>
        <w:rPr>
          <w:rFonts w:ascii="David" w:hAnsi="David" w:cs="David"/>
          <w:b/>
          <w:sz w:val="32"/>
          <w:szCs w:val="32"/>
          <w:rtl w:val="1"/>
        </w:rPr>
        <w:t>עבודת סיום קורס</w:t>
      </w:r>
    </w:p>
    <w:p>
      <w:pPr>
        <w:bidi w:val="1"/>
        <w:spacing w:line="360" w:lineRule="auto" w:after="400"/>
        <w:jc w:val="center"/>
      </w:pPr>
      <w:r>
        <w:rPr>
          <w:rFonts w:ascii="David" w:hAnsi="David" w:cs="David"/>
          <w:b/>
          <w:sz w:val="36"/>
          <w:szCs w:val="36"/>
          <w:rtl w:val="1"/>
        </w:rPr>
        <w:t>אדם, ספרות ומעשה בימי חז"ל</w:t>
      </w:r>
    </w:p>
    <w:p>
      <w:pPr>
        <w:bidi w:val="1"/>
        <w:spacing w:line="360" w:lineRule="auto" w:after="40"/>
        <w:jc w:val="center"/>
      </w:pPr>
      <w:r>
        <w:rPr>
          <w:rFonts w:ascii="David" w:hAnsi="David" w:cs="David"/>
          <w:b w:val="0"/>
          <w:sz w:val="24"/>
          <w:szCs w:val="24"/>
          <w:rtl w:val="1"/>
        </w:rPr>
        <w:t>מרצה: הרב חגית סבאג ישראל</w:t>
      </w:r>
    </w:p>
    <w:p>
      <w:pPr>
        <w:bidi w:val="1"/>
        <w:spacing w:line="360" w:lineRule="auto" w:after="40"/>
        <w:jc w:val="center"/>
      </w:pPr>
      <w:r>
        <w:rPr>
          <w:rFonts w:ascii="David" w:hAnsi="David" w:cs="David"/>
          <w:b w:val="0"/>
          <w:sz w:val="24"/>
          <w:szCs w:val="24"/>
          <w:rtl w:val="1"/>
        </w:rPr>
        <w:t>מגישה: [שם מלא + ת"ז]</w:t>
      </w:r>
    </w:p>
    <w:p>
      <w:pPr>
        <w:bidi w:val="1"/>
        <w:spacing w:line="360" w:lineRule="auto" w:after="40"/>
        <w:jc w:val="center"/>
      </w:pPr>
      <w:r>
        <w:rPr>
          <w:rFonts w:ascii="David" w:hAnsi="David" w:cs="David"/>
          <w:b w:val="0"/>
          <w:sz w:val="24"/>
          <w:szCs w:val="24"/>
          <w:rtl w:val="1"/>
        </w:rPr>
        <w:t>סמסטר ב', תשפ"ו</w:t>
      </w:r>
    </w:p>
    <w:p>
      <w:r>
        <w:br w:type="page"/>
      </w:r>
    </w:p>
    <w:p>
      <w:pPr>
        <w:bidi w:val="1"/>
        <w:spacing w:line="360" w:lineRule="auto" w:before="200" w:after="80"/>
        <w:jc w:val="right"/>
      </w:pPr>
      <w:r>
        <w:rPr>
          <w:rFonts w:ascii="David" w:hAnsi="David" w:cs="David"/>
          <w:b/>
          <w:sz w:val="26"/>
          <w:szCs w:val="26"/>
          <w:rtl w:val="1"/>
        </w:rPr>
        <w:t>שאלה 1: מקור למנהיגות - עגלה ערופה והאחריות על מי שנשמט</w:t>
      </w:r>
    </w:p>
    <w:p>
      <w:pPr>
        <w:bidi w:val="1"/>
        <w:spacing w:line="360" w:lineRule="auto" w:after="160"/>
        <w:jc w:val="both"/>
      </w:pPr>
      <w:r>
        <w:rPr>
          <w:rFonts w:ascii="David" w:hAnsi="David" w:cs="David"/>
          <w:b w:val="0"/>
          <w:sz w:val="24"/>
          <w:szCs w:val="24"/>
          <w:rtl w:val="1"/>
        </w:rPr>
        <w:t>בחרתי בפרשת עגלה ערופה, ובקריאה שחז"ל קוראים בה, כי יש בה בדיוק המסר שהייתי רוצה לחדד בפני קבוצה שאני מובילה. מנהיג אחראי גם על מי שנשמט מתשומת ליבו, ולא רק על מה שעשה במו ידיו.</w:t>
      </w:r>
    </w:p>
    <w:p>
      <w:pPr>
        <w:bidi w:val="1"/>
        <w:spacing w:line="360" w:lineRule="auto" w:after="160"/>
        <w:jc w:val="both"/>
      </w:pPr>
      <w:r>
        <w:rPr>
          <w:rFonts w:ascii="David" w:hAnsi="David" w:cs="David"/>
          <w:b w:val="0"/>
          <w:sz w:val="24"/>
          <w:szCs w:val="24"/>
          <w:rtl w:val="1"/>
        </w:rPr>
        <w:t>א. הטקסט. התורה מצווה שכאשר נמצא חלל בשדה ורוצחו אינו ידוע, זקני העיר הקרובה עורפים עגלה ורוחצים את ידיהם ואומרים: "יָדֵינוּ לֹא שָׁפְכוּ אֶת הַדָּם הַזֶּה, וְעֵינֵינוּ לֹא רָאוּ" (דברים כא, ז). המשנה נעצרת דווקא על ההצהרה הזאת ושואלת: "וכי על דעתנו עלתה שזקני בית דין שופכי דמים הן?! אלא שלא בא לידינו ופטרנוהו בלא מזון, ולא ראינוהו והנחנוהו בלא לויה" (משנה, סוטה ט, ו).</w:t>
      </w:r>
    </w:p>
    <w:p>
      <w:pPr>
        <w:bidi w:val="1"/>
        <w:spacing w:line="360" w:lineRule="auto" w:after="160"/>
        <w:jc w:val="both"/>
      </w:pPr>
      <w:r>
        <w:rPr>
          <w:rFonts w:ascii="David" w:hAnsi="David" w:cs="David"/>
          <w:b w:val="0"/>
          <w:sz w:val="24"/>
          <w:szCs w:val="24"/>
          <w:rtl w:val="1"/>
        </w:rPr>
        <w:t>ב. תיאור הטקסט. מקורו של הדין במקרא, בפרשת שופטים (דברים כא, א-ט), כטקס כפרה על רצח שמבצעו לא נודע. הדמויות המרכזיות הן זקני העיר והשופטים, כלומר ההנהגה, והכוהנים המבקשים כפרה. הסיטואציה היא מציאות של אלימות ואחריות מפוזרת: אדם נרצח בשוליים, בשדה, בין הערים, ואיש אינו יודע מי הכה אותו. השאלה שהמקרא משאיר פתוחה, מי אשם, מקבלת אצל חז"ל תשובה מפתיעה. הזקנים אינם מצהירים על חפותם מרצח, שהרי ברור שלא רצחו, אלא מקבלים על עצמם אחריות מסוג אחר: לא דאגנו שילווה ולא ראינו שיצא בלי צידה.</w:t>
      </w:r>
    </w:p>
    <w:p>
      <w:pPr>
        <w:bidi w:val="1"/>
        <w:spacing w:line="360" w:lineRule="auto" w:after="160"/>
        <w:jc w:val="both"/>
      </w:pPr>
      <w:r>
        <w:rPr>
          <w:rFonts w:ascii="David" w:hAnsi="David" w:cs="David"/>
          <w:b w:val="0"/>
          <w:sz w:val="24"/>
          <w:szCs w:val="24"/>
          <w:rtl w:val="1"/>
        </w:rPr>
        <w:t>ג. מדוע הוא רלוונטי. כאן טמון הכוח של הטקסט למי שמוביל קבוצה. חז"ל הופכים הצהרת חפות להצהרת אחריות. הם קוראים לתוך הפסוק שאלה על מנהיגות: לא רק "האם הרמתי יד", אלא "האם שמתי לב שמישהו יוצא לדרך לבד, בלי מזון ובלי מלווה". התלמוד מרחיב את זה עד הקצה: "כל שאינו מלוה ומתלוה כאילו שופך דמים" (בבלי, סוטה מו ע"ב). את המסר הזה הייתי מביאה לקבוצה שאני מובילה. הקלות שבה אנחנו פוטרים את עצמנו, "אני לא עשיתי כלום", היא בדיוק מה שהמשנה באה לפרק. המבחן האמיתי של מנהיג הוא דווקא מי שיצא מהחדר בלי שליווה אותו, לא מי שנשאר בפנים. ויש כאן גם דוגמה יפה לתנועה שהקורס עסק בה, מהמקרא אל המשנה ואל התלמוד. ההלכה המקראית נשארת במקומה, והמשמעות המוסרית שנקראת לתוכה רק הולכת ומעמיקה.</w:t>
      </w:r>
    </w:p>
    <w:p>
      <w:pPr>
        <w:bidi w:val="1"/>
        <w:spacing w:line="360" w:lineRule="auto" w:before="200" w:after="80"/>
        <w:jc w:val="right"/>
      </w:pPr>
      <w:r>
        <w:rPr>
          <w:rFonts w:ascii="David" w:hAnsi="David" w:cs="David"/>
          <w:b/>
          <w:sz w:val="26"/>
          <w:szCs w:val="26"/>
          <w:rtl w:val="1"/>
        </w:rPr>
        <w:t>שאלה 2: החיבור המשמעותי ביותר - המשנה</w:t>
      </w:r>
    </w:p>
    <w:p>
      <w:pPr>
        <w:bidi w:val="1"/>
        <w:spacing w:line="360" w:lineRule="auto" w:after="160"/>
        <w:jc w:val="both"/>
      </w:pPr>
      <w:r>
        <w:rPr>
          <w:rFonts w:ascii="David" w:hAnsi="David" w:cs="David"/>
          <w:b w:val="0"/>
          <w:sz w:val="24"/>
          <w:szCs w:val="24"/>
          <w:rtl w:val="1"/>
        </w:rPr>
        <w:t>בעיניי החיבור המשמעותי ביותר של תקופת חז"ל הוא המשנה. היא אמנם לא הראשונה בזמן, אבל היא זו שקבעה את הצורה שבה היהדות תלמד ותתווכח מאז ועד היום.</w:t>
      </w:r>
    </w:p>
    <w:p>
      <w:pPr>
        <w:bidi w:val="1"/>
        <w:spacing w:line="360" w:lineRule="auto" w:after="160"/>
        <w:jc w:val="both"/>
      </w:pPr>
      <w:r>
        <w:rPr>
          <w:rFonts w:ascii="David" w:hAnsi="David" w:cs="David"/>
          <w:b w:val="0"/>
          <w:sz w:val="24"/>
          <w:szCs w:val="24"/>
          <w:rtl w:val="1"/>
        </w:rPr>
        <w:t>א. תיאור החיבור. המשנה נערכה בארץ ישראל בסביבות שנת 200 לספירה, בגליל שלאחר מרד בר כוכבא, על ידי רבי יהודה הנשיא. היא בנויה בשישה סדרים, זרעים, מועד, נשים, נזיקין, קדשים וטהרות, וכתובה בעברית תמציתית, בסגנון קצר ופסקני שמנסח הלכה ומחלוקת זו לצד זו. זהו הניסוח המקיף הראשון של התורה שבעל פה כגוף ידע מסודר.</w:t>
      </w:r>
    </w:p>
    <w:p>
      <w:pPr>
        <w:bidi w:val="1"/>
        <w:spacing w:line="360" w:lineRule="auto" w:after="160"/>
        <w:jc w:val="both"/>
      </w:pPr>
      <w:r>
        <w:rPr>
          <w:rFonts w:ascii="David" w:hAnsi="David" w:cs="David"/>
          <w:b w:val="0"/>
          <w:sz w:val="24"/>
          <w:szCs w:val="24"/>
          <w:rtl w:val="1"/>
        </w:rPr>
        <w:t>ב. משמעותה והשינוי שחוללה. הלברטל, במבוא למשנה, קובע שהמשנה היא "תוצר של עלייתו של אידיאל טיפוס חדש: התלמיד חכם, והולדתה במוסד חדש: בית המדרש". לדבריו, דווקא משום שהחכמים אינם מדברים בשם ההתגלות, כפי שדיברו הנביאים, המחלוקת ביניהם לגיטימית, וזו הסיבה שהמשנה יכולה לשמר דעות חלוקות זו לצד זו בתוך הטקסט המחייב. זו התנועה שהקורס כינה "מנביא לחכם": מרכז הכובד של הדת עובר מן הנבואה ומן המקדש אל בית המדרש ואל ציבור החכמים. המשנה מכוננת בכך את התורה שבעל פה כמערכת בפני עצמה, ומשנה את פני היהדות. השפעתה עצומה, שני התלמודים נבנו עליה כפירוש, וכל ההלכה שאחריה יונקת ממנה.</w:t>
      </w:r>
    </w:p>
    <w:p>
      <w:pPr>
        <w:bidi w:val="1"/>
        <w:spacing w:line="360" w:lineRule="auto" w:after="160"/>
        <w:jc w:val="both"/>
      </w:pPr>
      <w:r>
        <w:rPr>
          <w:rFonts w:ascii="David" w:hAnsi="David" w:cs="David"/>
          <w:b w:val="0"/>
          <w:sz w:val="24"/>
          <w:szCs w:val="24"/>
          <w:rtl w:val="1"/>
        </w:rPr>
        <w:t>אפשר לראות את תפיסת העולם של המשנה כבר במבנה שלה. היא נפתחת בסדר זרעים בשאלה מאימתי קוראים את שמע, כלומר בקבלת עול מלכות שמים, ומסתיימת בטהרות בדברי שבח לשלום. המהלך מן ההכרזה על מלכות האל ועד השלום איננו מקרי. הוא מסמן שהמשנה איננה אוסף דינים בלבד, יש בה חזון שלם של חיים.</w:t>
      </w:r>
    </w:p>
    <w:p>
      <w:pPr>
        <w:bidi w:val="1"/>
        <w:spacing w:line="360" w:lineRule="auto" w:after="160"/>
        <w:jc w:val="both"/>
      </w:pPr>
      <w:r>
        <w:rPr>
          <w:rFonts w:ascii="David" w:hAnsi="David" w:cs="David"/>
          <w:b w:val="0"/>
          <w:sz w:val="24"/>
          <w:szCs w:val="24"/>
          <w:rtl w:val="1"/>
        </w:rPr>
        <w:t>ג. דוגמה. מאפיין ייחודי של המשנה הוא שהיא משמרת גם את דעת היחיד שנדחתה. במסכת עדויות נאמר: "ולמה מזכירין דברי היחיד בין המרובין... שאם יראה בית דין את דברי היחיד ויסמוך עליו" (משנה, עדויות א, ה). כלומר המשנה שומרת בכוונה את הדעה שלא נפסקה כהלכה, כדי שבית דין עתידי יוכל להיזקק לה. זו דוגמה מדויקת לאופייה. יש בה סמכות והכרעה, ובאותה נשימה ריבוי קולות ומחלוקת חיה בתוך הטקסט המחייב עצמו. הפתיחות הזאת היא שהפכה את המשנה לבסיס של דיון שנמשך אלפי שנים. היהדות למדה ממנה לשמר את המחלוקת בתוך הקאנון במקום למחוק את הצד שכנגד.</w:t>
      </w:r>
    </w:p>
    <w:p>
      <w:pPr>
        <w:bidi w:val="1"/>
        <w:spacing w:line="360" w:lineRule="auto" w:before="200" w:after="80"/>
        <w:jc w:val="right"/>
      </w:pPr>
      <w:r>
        <w:rPr>
          <w:rFonts w:ascii="David" w:hAnsi="David" w:cs="David"/>
          <w:b/>
          <w:sz w:val="26"/>
          <w:szCs w:val="26"/>
          <w:rtl w:val="1"/>
        </w:rPr>
        <w:t>שאלה 3: הסרט "אגדת חורבן" ויציאת רבן יוחנן בן זכאי</w:t>
      </w:r>
    </w:p>
    <w:p>
      <w:pPr>
        <w:bidi w:val="1"/>
        <w:spacing w:line="360" w:lineRule="auto" w:after="160"/>
        <w:jc w:val="both"/>
      </w:pPr>
      <w:r>
        <w:rPr>
          <w:rFonts w:ascii="David" w:hAnsi="David" w:cs="David"/>
          <w:b w:val="0"/>
          <w:sz w:val="24"/>
          <w:szCs w:val="24"/>
          <w:rtl w:val="1"/>
        </w:rPr>
        <w:t>א. המדרש. הקטע מבוסס על סיפור יציאת רבן יוחנן בן זכאי מירושלים הנצורה ובקשת יבנה, בבבלי, מסכת גיטין נו ע"א-ע"ב. בלב המדרש עומדת התחבולה והמפגש עם הקיסר. ריב"ז מעמיד פני מת, תלמידיו מוציאים את ארונו מן העיר שהבריונים אוסרים לצאת ממנה, ובמחנה הרומי הוא פונה אל אספסיאנוס: "שלום עליך המלך". אספסיאנוס משיב שהוא חייב מיתה, שהרי קרא לו מלך והוא אינו מלך. באותו רגע מגיע שליח מרומא ומבשר שאספסיאנוס נתמנה לקיסר, והברכה מתאמתת. אז מבקש ריב"ז את בקשתו: "תן לי יבנה וחכמיה" (בבלי, גיטין נו ע"ב).</w:t>
      </w:r>
    </w:p>
    <w:p>
      <w:pPr>
        <w:bidi w:val="1"/>
        <w:spacing w:line="360" w:lineRule="auto" w:after="160"/>
        <w:jc w:val="both"/>
      </w:pPr>
      <w:r>
        <w:rPr>
          <w:rFonts w:ascii="David" w:hAnsi="David" w:cs="David"/>
          <w:b w:val="0"/>
          <w:sz w:val="24"/>
          <w:szCs w:val="24"/>
          <w:rtl w:val="1"/>
        </w:rPr>
        <w:t>ב. בין המדרש לסרט. שלושה קווי דמיון: בשניהם ריב"ז נמלט מן העיר הנצורה בהעמדת פני מת, ותלמידיו נושאים את ארונו החוצה משום שהקנאים אוסרים על החיים לצאת. בשניהם עולה מוטיב בדיקת המת, הרצון לדקור את הארון כדי לוודא שהנפטר אכן מת, ומישהו מונע זאת בשם כבוד התורה. ובשניהם ריב"ז מברך את המצביא הרומי, מנבא לו שלטון, ומבקש את יבנה כדי להציל את תורת ישראל. לעומת זאת יש שלושה הבדלים בולטים. במדרש המצביא הוא אספסיאנוס, ובסרט זה טיטוס. במדרש הנבואה מתקיימת מיד, כשהשליח מבשר על המינוי, ואילו בסרט טיטוס מתנה את יבנה בהתגשמות עתידית ומשליך את ריב"ז אל מכלאת השבויים. ובמדרש ריב"ז מבקש שלוש בקשות, יבנה וחכמיה, שושלת רבן גמליאל ורפואה לרבי צדוק, ואילו הסרט מתמקד בבקשה האחת על יבנה ותלמידיו, ומוסיף לה את דמות ברניקי שאינה במדרש.</w:t>
      </w:r>
    </w:p>
    <w:p>
      <w:pPr>
        <w:bidi w:val="1"/>
        <w:spacing w:line="360" w:lineRule="auto" w:after="160"/>
        <w:jc w:val="both"/>
      </w:pPr>
      <w:r>
        <w:rPr>
          <w:rFonts w:ascii="David" w:hAnsi="David" w:cs="David"/>
          <w:b w:val="0"/>
          <w:sz w:val="24"/>
          <w:szCs w:val="24"/>
          <w:rtl w:val="1"/>
        </w:rPr>
        <w:t>רגע המעבר עצמו טעון בסמליות. ריב"ז יוצא מן העיר בתוך ארון, כמת, וזה בדיוק מה שמאפשר לו לחיות ולהמשיך. העיר הנצורה, שהקנאים אוסרים לצאת ממנה, מתפקדת כקבר, ומי שמוותר לכאורה על החיים הוא זה שמציל אותם. אפשר לקרוא את זה כתמונה של החורבן כולו: מה שנראה כמוות, הוא ראשיתה של לידה מחדש.</w:t>
      </w:r>
    </w:p>
    <w:p>
      <w:pPr>
        <w:bidi w:val="1"/>
        <w:spacing w:line="360" w:lineRule="auto" w:after="160"/>
        <w:jc w:val="both"/>
      </w:pPr>
      <w:r>
        <w:rPr>
          <w:rFonts w:ascii="David" w:hAnsi="David" w:cs="David"/>
          <w:b w:val="0"/>
          <w:sz w:val="24"/>
          <w:szCs w:val="24"/>
          <w:rtl w:val="1"/>
        </w:rPr>
        <w:t>ג. בעזרת המאמר. לורברבוים, במאמרו "ממקדש לאדם: תמורות במוקד הקדושה בספרות חז"ל", מראה שאחרי החורבן מעתיקה ספרות חז"ל, ובעיקר השכבה התנאית, את מוקד הקדושה מן המקדש אל האדם. הוא מדגיש שההעתקה הזאת אינה אל אישיות קדושה ויוצאת דופן, אלא אל האדם, אל כל אדם, מכוח הרעיון שהאדם נברא בצלם אלוהים. בקשתו של ריב"ז מגלמת את ראשית התנועה הזאת. הוא אינו מבקש להציל את המקדש אלא את יבנה וחכמיה, ובכך בוחר בהמשכיות התורה ובבני האדם הלומדים אותה על פני המרכז הפיזי. מרקס, בניתוח סיפור ריב"ז והקמת יבנה, מוסיפה שהיציאה בארון היא הצגה סמלית של עצם השינוי: היהדות שהיתה דת של גוף, של ארץ ושל פולחן במקדש נולדת מחדש כ"עם הספר", ולדבריה האגדה אינה מתארת את המעבר בלבד אלא יוצרת אותו ומעניקה לו משמעות. על רקע זה מובנת גם הביקורת המרומזת על ריב"ז. הדרשן רומז שאולי היה יכול לבקש יותר, ואף מפעיל על החכם את הפסוק "משיב חכמים אחור" (ישעיהו מד, כה), כלומר גם חכמתו של הגדול הוגבלה ברגע הגורלי. השתיקה והספק אינם פגם בסיפור, הם חלק ממנו, והאגדה מתלבטת בשאלה מה מותר ואפשר להציל כשהכול קורס.</w:t>
      </w:r>
    </w:p>
    <w:p>
      <w:pPr>
        <w:bidi w:val="1"/>
        <w:spacing w:line="360" w:lineRule="auto" w:after="160"/>
        <w:jc w:val="both"/>
      </w:pPr>
      <w:r>
        <w:rPr>
          <w:rFonts w:ascii="David" w:hAnsi="David" w:cs="David"/>
          <w:b w:val="0"/>
          <w:sz w:val="24"/>
          <w:szCs w:val="24"/>
          <w:rtl w:val="1"/>
        </w:rPr>
        <w:t>ד. משמעותו לימינו. לדעתי זהו המדרש הנלמד ביותר על החורבן משום שהוא סיפור המכונן של ההישרדות היהודית. הוא מספר איך דת שנשענה על מקדש וקורבנות הפכה לדת של לימוד וטקסט, ניידת, שיכולה לשרוד בכל מקום. "תן לי יבנה וחכמיה" הוא הרגע שבו נבחרת ההמשכיות הרוחנית על פני הריבונות והאבן. לכן הוא נשאר רלוונטי. הוא המודל של בנייה מחדש אחרי אסון, ושל הבחירה בחיים ובלימוד גם כשהמרכז נחרב.</w:t>
      </w:r>
    </w:p>
    <w:p>
      <w:pPr>
        <w:bidi w:val="1"/>
        <w:spacing w:line="360" w:lineRule="auto" w:before="200" w:after="80"/>
        <w:jc w:val="right"/>
      </w:pPr>
      <w:r>
        <w:rPr>
          <w:rFonts w:ascii="David" w:hAnsi="David" w:cs="David"/>
          <w:b/>
          <w:sz w:val="26"/>
          <w:szCs w:val="26"/>
          <w:rtl w:val="1"/>
        </w:rPr>
        <w:t>שאלה 4: ר' אליעזר בן הורקנוס - כיצד נעשים חכם</w:t>
      </w:r>
    </w:p>
    <w:p>
      <w:pPr>
        <w:bidi w:val="1"/>
        <w:spacing w:line="360" w:lineRule="auto" w:after="160"/>
        <w:jc w:val="both"/>
      </w:pPr>
      <w:r>
        <w:rPr>
          <w:rFonts w:ascii="David" w:hAnsi="David" w:cs="David"/>
          <w:b w:val="0"/>
          <w:sz w:val="24"/>
          <w:szCs w:val="24"/>
          <w:rtl w:val="1"/>
        </w:rPr>
        <w:t>בחרתי במדרש על תחילת דרכו של ר' אליעזר בן הורקנוס (אבות דרבי נתן, נוסח א).</w:t>
      </w:r>
    </w:p>
    <w:p>
      <w:pPr>
        <w:bidi w:val="1"/>
        <w:spacing w:line="360" w:lineRule="auto" w:after="160"/>
        <w:jc w:val="both"/>
      </w:pPr>
      <w:r>
        <w:rPr>
          <w:rFonts w:ascii="David" w:hAnsi="David" w:cs="David"/>
          <w:b w:val="0"/>
          <w:sz w:val="24"/>
          <w:szCs w:val="24"/>
          <w:rtl w:val="1"/>
        </w:rPr>
        <w:t>א. הסבר הטקסט במילותיי. ר' אליעזר הוא בן עשרים ושתיים שלא למד תורה מעולם. אביו הורקנוס עשיר, בעל שדות רבים, ואחיו חורשים את הקרקע הטובה בעוד אליעזר חורש באדמת טרשים קשה. הוא יושב ובוכה, כי הוא רוצה ללמוד תורה. בסופו של דבר הוא עוזב את בית אביו ומגיע אל רבן יוחנן בן זכאי בירושלים, ומתחיל ללמוד מאפס: קריאת שמע, תפילה, ברכת המזון ושתי הלכות בכל יום. הוא מתמסר עד כדי כך שאינו טועם דבר שמונה ימים, עד שריח פיו עולה לפני רבו. ואז, כשהוא קם ודורש, יוצאים מפיו "דברים שלא שמעתם אוזן מעולם", ופניו מאירות כאור החמה. רבן יוחנן בן זכאי קם, נושק אותו על ראשו ואומר: "אשריכם אברהם יצחק ויעקב שיצא זה מחלציכם". וכשמספרים להורקנוס שהדברים נאמרו על בנו, הוא אומר שהיה צריך לומר אחרת: "אשרי אני שיצא זה מחלציי".</w:t>
      </w:r>
    </w:p>
    <w:p>
      <w:pPr>
        <w:bidi w:val="1"/>
        <w:spacing w:line="360" w:lineRule="auto" w:after="160"/>
        <w:jc w:val="both"/>
      </w:pPr>
      <w:r>
        <w:rPr>
          <w:rFonts w:ascii="David" w:hAnsi="David" w:cs="David"/>
          <w:b w:val="0"/>
          <w:sz w:val="24"/>
          <w:szCs w:val="24"/>
          <w:rtl w:val="1"/>
        </w:rPr>
        <w:t>ב. מגמות ומאפיינים של תקופת חז"ל. המדרש מציב את לימוד התורה כערך עליון שגובר על ייחוס ועל עושר. אליעזר אינו בן כוהנים ולא עילוי מנעוריו, הוא בן איכר שמתחיל מאוחר ובאדמת טרשים, ובכל זאת התורה פתוחה בפניו. זו אחת התנועות המרכזיות של התקופה, פתיחת התורה לכל אדם והפיכת בית המדרש למרכז שמחליף את סדרי הייחוס הישנים. לצד זה בולט אופי הלימוד. ריב"ז מלמד את אליעזר יום יום, מהיסוד ופנים אל פנים, והידע עובר מפה לאוזן ולא מן הכתב, כדרכה של תורה שבעל פה. ויש כאן עוד רובד, התפיסה שהלימוד עצמו מקדש את האדם, עד שפניו מאירות כפני משה. זהו ביטוי מובהק למעבר "מנביא לחכם", שבו מקום הנבואה נתפס עכשיו בידי החכם שדורש בבית המדרש.</w:t>
      </w:r>
    </w:p>
    <w:p>
      <w:pPr>
        <w:bidi w:val="1"/>
        <w:spacing w:line="360" w:lineRule="auto" w:after="160"/>
        <w:jc w:val="both"/>
      </w:pPr>
      <w:r>
        <w:rPr>
          <w:rFonts w:ascii="David" w:hAnsi="David" w:cs="David"/>
          <w:b w:val="0"/>
          <w:sz w:val="24"/>
          <w:szCs w:val="24"/>
          <w:rtl w:val="1"/>
        </w:rPr>
        <w:t>שווה לשים לב גם לפרט הקטן שחותם את הסיפור. כשהורקנוס האב שומע ששבחו של ריב"ז נאמר על בנו, תגובתו אינה גאווה של אב. היא רצון להיות שותף בעצמו בזכות: "אשרי אני שיצא זה מחלציי". גם כאן מבצבצת מגמה של התקופה, שבה מעמדו של אדם נמדד עכשיו בקרבתו לתורה ולחכמים, ולא בגודל שדותיו.</w:t>
      </w:r>
    </w:p>
    <w:p>
      <w:pPr>
        <w:bidi w:val="1"/>
        <w:spacing w:line="360" w:lineRule="auto" w:after="160"/>
        <w:jc w:val="both"/>
      </w:pPr>
      <w:r>
        <w:rPr>
          <w:rFonts w:ascii="David" w:hAnsi="David" w:cs="David"/>
          <w:b w:val="0"/>
          <w:sz w:val="24"/>
          <w:szCs w:val="24"/>
          <w:rtl w:val="1"/>
        </w:rPr>
        <w:t>ג. הרחבה על דמות ר' אליעזר ממקורות נוספים. הדמות הזאת מורכבת יותר משנדמה במבט ראשון. אותו ר' אליעזר, שהגיע אל התורה מבחוץ ומאוחר וכנגד כל הציפיות, הוא גם זה שאומר במשנה על לימוד תורה לנשים: "כל המלמד את בתו תורה כאילו מלמדה תפלות" (משנה, סוטה ג, ד). ההקשר שם חריף במיוחד, שכן דבריו נאמרים כנגד עמדתו של בן עזאי באותה משנה: "חייב אדם ללמד את בתו תורה". מי שנאבק בעצמו על הכניסה אל עולם התורה מציב דווקא גבול חד בפני מי שמבקש להיכנס אליו מכיוון אחר. בויארין, בפרק "נשים לומדות: התנגדות מתוך השיח הגברי", קורא את המחלוקת הזאת כמחלוקת עקרונית ולא כפרט שולי. הוא מראה שהבבלי והירושלמי מפרשים את המשנה בכיוונים שונים לגמרי, ושהעמדה השוללת לימוד תורה מנשים קשורה בבנייתו של בית המדרש כמרחב גברי, שבו תלמוד תורה הוא המעשה שזוכה להערכה הגבוהה ביותר. הצירוף בין שני המקורות מצייר את ר' אליעזר כדמות של אדם שהתורה הצילה והגדירה, ושבה בעצמו לשמור בקנאות על מי נכנס בשעריה. דווקא המורכבות הזאת הופכת אותו לדמות מייצגת של התקופה, שבה נקבעים גם השערים הפתוחים, לבן איכר שמתחיל מאפס, וגם הגבולות הנעולים, בפני מי שנשאר מבחוץ.</w:t>
      </w:r>
    </w:p>
    <w:p>
      <w:r>
        <w:br w:type="page"/>
      </w:r>
    </w:p>
    <w:p>
      <w:pPr>
        <w:bidi w:val="1"/>
        <w:spacing w:line="360" w:lineRule="auto" w:before="200" w:after="80"/>
        <w:jc w:val="right"/>
      </w:pPr>
      <w:r>
        <w:rPr>
          <w:rFonts w:ascii="David" w:hAnsi="David" w:cs="David"/>
          <w:b/>
          <w:sz w:val="26"/>
          <w:szCs w:val="26"/>
          <w:rtl w:val="1"/>
        </w:rPr>
        <w:t>ביבליוגרפיה</w:t>
      </w:r>
    </w:p>
    <w:p>
      <w:pPr>
        <w:bidi w:val="1"/>
        <w:spacing w:line="360" w:lineRule="auto" w:after="120"/>
        <w:ind w:left="432" w:hanging="432"/>
        <w:jc w:val="right"/>
      </w:pPr>
      <w:r>
        <w:rPr>
          <w:rFonts w:ascii="David" w:hAnsi="David" w:cs="David"/>
          <w:b w:val="0"/>
          <w:sz w:val="24"/>
          <w:szCs w:val="24"/>
          <w:rtl w:val="1"/>
        </w:rPr>
        <w:t xml:space="preserve">אבות דרבי נתן, נוסח א. </w:t>
      </w:r>
      <w:r>
        <w:rPr>
          <w:rFonts w:ascii="David" w:hAnsi="David" w:cs="David"/>
          <w:i/>
          <w:sz w:val="24"/>
          <w:szCs w:val="24"/>
          <w:rtl w:val="1"/>
        </w:rPr>
      </w:r>
      <w:r>
        <w:rPr>
          <w:rFonts w:ascii="David" w:hAnsi="David" w:cs="David"/>
          <w:b w:val="0"/>
          <w:sz w:val="24"/>
          <w:szCs w:val="24"/>
          <w:rtl w:val="1"/>
        </w:rPr>
        <w:t>(דף מקורות הקורס: איך נעשים חכם.ה).</w:t>
      </w:r>
    </w:p>
    <w:p>
      <w:pPr>
        <w:bidi w:val="1"/>
        <w:spacing w:line="360" w:lineRule="auto" w:after="120"/>
        <w:ind w:left="432" w:hanging="432"/>
        <w:jc w:val="right"/>
      </w:pPr>
      <w:r>
        <w:rPr>
          <w:rFonts w:ascii="David" w:hAnsi="David" w:cs="David"/>
          <w:b w:val="0"/>
          <w:sz w:val="24"/>
          <w:szCs w:val="24"/>
          <w:rtl w:val="1"/>
        </w:rPr>
        <w:t xml:space="preserve">בויארין, ד'. נשים לומדות: התנגדות מתוך השיח הגברי. בתוך </w:t>
      </w:r>
      <w:r>
        <w:rPr>
          <w:rFonts w:ascii="David" w:hAnsi="David" w:cs="David"/>
          <w:i/>
          <w:sz w:val="24"/>
          <w:szCs w:val="24"/>
          <w:rtl w:val="1"/>
        </w:rPr>
        <w:t>הבשר שברוח</w:t>
      </w:r>
      <w:r>
        <w:rPr>
          <w:rFonts w:ascii="David" w:hAnsi="David" w:cs="David"/>
          <w:b w:val="0"/>
          <w:sz w:val="24"/>
          <w:szCs w:val="24"/>
          <w:rtl w:val="1"/>
        </w:rPr>
        <w:t>. (מתוך חומרי הקורס).</w:t>
      </w:r>
    </w:p>
    <w:p>
      <w:pPr>
        <w:bidi w:val="1"/>
        <w:spacing w:line="360" w:lineRule="auto" w:after="120"/>
        <w:ind w:left="432" w:hanging="432"/>
        <w:jc w:val="right"/>
      </w:pPr>
      <w:r>
        <w:rPr>
          <w:rFonts w:ascii="David" w:hAnsi="David" w:cs="David"/>
          <w:b w:val="0"/>
          <w:sz w:val="24"/>
          <w:szCs w:val="24"/>
          <w:rtl w:val="1"/>
        </w:rPr>
        <w:t xml:space="preserve">הלברטל, מ'. מבוא. בתוך </w:t>
      </w:r>
      <w:r>
        <w:rPr>
          <w:rFonts w:ascii="David" w:hAnsi="David" w:cs="David"/>
          <w:i/>
          <w:sz w:val="24"/>
          <w:szCs w:val="24"/>
          <w:rtl w:val="1"/>
        </w:rPr>
        <w:t>ששה סדרי משנה</w:t>
      </w:r>
      <w:r>
        <w:rPr>
          <w:rFonts w:ascii="David" w:hAnsi="David" w:cs="David"/>
          <w:b w:val="0"/>
          <w:sz w:val="24"/>
          <w:szCs w:val="24"/>
          <w:rtl w:val="1"/>
        </w:rPr>
        <w:t>. (מתוך חומרי הקורס).</w:t>
      </w:r>
    </w:p>
    <w:p>
      <w:pPr>
        <w:bidi w:val="1"/>
        <w:spacing w:line="360" w:lineRule="auto" w:after="120"/>
        <w:ind w:left="432" w:hanging="432"/>
        <w:jc w:val="right"/>
      </w:pPr>
      <w:r>
        <w:rPr>
          <w:rFonts w:ascii="David" w:hAnsi="David" w:cs="David"/>
          <w:b w:val="0"/>
          <w:sz w:val="24"/>
          <w:szCs w:val="24"/>
          <w:rtl w:val="1"/>
        </w:rPr>
        <w:t xml:space="preserve">לורברבוים, י' (2018). ממקדש לאדם: תמורות במוקד הקדושה בספרות חז"ל. </w:t>
      </w:r>
      <w:r>
        <w:rPr>
          <w:rFonts w:ascii="David" w:hAnsi="David" w:cs="David"/>
          <w:i/>
          <w:sz w:val="24"/>
          <w:szCs w:val="24"/>
          <w:rtl w:val="1"/>
        </w:rPr>
        <w:t>דעת: כתב עת לפילוסופיה יהודית וקבלה</w:t>
      </w:r>
      <w:r>
        <w:rPr>
          <w:rFonts w:ascii="David" w:hAnsi="David" w:cs="David"/>
          <w:b w:val="0"/>
          <w:sz w:val="24"/>
          <w:szCs w:val="24"/>
          <w:rtl w:val="1"/>
        </w:rPr>
        <w:t>, 86, 377-396.</w:t>
      </w:r>
    </w:p>
    <w:p>
      <w:pPr>
        <w:bidi w:val="1"/>
        <w:spacing w:line="360" w:lineRule="auto" w:after="120"/>
        <w:ind w:left="432" w:hanging="432"/>
        <w:jc w:val="right"/>
      </w:pPr>
      <w:r>
        <w:rPr>
          <w:rFonts w:ascii="David" w:hAnsi="David" w:cs="David"/>
          <w:b w:val="0"/>
          <w:sz w:val="24"/>
          <w:szCs w:val="24"/>
          <w:rtl w:val="1"/>
        </w:rPr>
        <w:t xml:space="preserve">מרקס, ד'. </w:t>
      </w:r>
      <w:r>
        <w:rPr>
          <w:rFonts w:ascii="David" w:hAnsi="David" w:cs="David"/>
          <w:i/>
          <w:sz w:val="24"/>
          <w:szCs w:val="24"/>
          <w:rtl w:val="1"/>
        </w:rPr>
        <w:t>רבן יוחנן בן זכאי והקמת יבנה: ניתוח והערכת הסיפור בראי הזמן</w:t>
      </w:r>
      <w:r>
        <w:rPr>
          <w:rFonts w:ascii="David" w:hAnsi="David" w:cs="David"/>
          <w:b w:val="0"/>
          <w:sz w:val="24"/>
          <w:szCs w:val="24"/>
          <w:rtl w:val="1"/>
        </w:rPr>
        <w:t>. (מתוך חומרי הקורס).</w:t>
      </w:r>
    </w:p>
    <w:p>
      <w:pPr>
        <w:bidi w:val="1"/>
        <w:spacing w:line="360" w:lineRule="auto" w:after="120"/>
        <w:ind w:left="432" w:hanging="432"/>
        <w:jc w:val="right"/>
      </w:pPr>
      <w:r>
        <w:rPr>
          <w:rFonts w:ascii="David" w:hAnsi="David" w:cs="David"/>
          <w:b w:val="0"/>
          <w:sz w:val="24"/>
          <w:szCs w:val="24"/>
          <w:rtl w:val="1"/>
        </w:rPr>
      </w:r>
      <w:r>
        <w:rPr>
          <w:rFonts w:ascii="David" w:hAnsi="David" w:cs="David"/>
          <w:i/>
          <w:sz w:val="24"/>
          <w:szCs w:val="24"/>
          <w:rtl w:val="1"/>
        </w:rPr>
        <w:t>משנה</w:t>
      </w:r>
      <w:r>
        <w:rPr>
          <w:rFonts w:ascii="David" w:hAnsi="David" w:cs="David"/>
          <w:b w:val="0"/>
          <w:sz w:val="24"/>
          <w:szCs w:val="24"/>
          <w:rtl w:val="1"/>
        </w:rPr>
        <w:t>, מסכתות סוטה, עדויות (על פי דפי המקורות של הקורס).</w:t>
      </w:r>
    </w:p>
    <w:p>
      <w:pPr>
        <w:bidi w:val="1"/>
        <w:spacing w:line="360" w:lineRule="auto" w:after="120"/>
        <w:ind w:left="432" w:hanging="432"/>
        <w:jc w:val="right"/>
      </w:pPr>
      <w:r>
        <w:rPr>
          <w:rFonts w:ascii="David" w:hAnsi="David" w:cs="David"/>
          <w:b w:val="0"/>
          <w:sz w:val="24"/>
          <w:szCs w:val="24"/>
          <w:rtl w:val="1"/>
        </w:rPr>
      </w:r>
      <w:r>
        <w:rPr>
          <w:rFonts w:ascii="David" w:hAnsi="David" w:cs="David"/>
          <w:i/>
          <w:sz w:val="24"/>
          <w:szCs w:val="24"/>
          <w:rtl w:val="1"/>
        </w:rPr>
        <w:t>תלמוד בבלי</w:t>
      </w:r>
      <w:r>
        <w:rPr>
          <w:rFonts w:ascii="David" w:hAnsi="David" w:cs="David"/>
          <w:b w:val="0"/>
          <w:sz w:val="24"/>
          <w:szCs w:val="24"/>
          <w:rtl w:val="1"/>
        </w:rPr>
        <w:t>, מסכתות גיטין (נו ע"א-ע"ב) וסוטה (מו ע"ב).</w:t>
      </w:r>
    </w:p>
    <w:p>
      <w:pPr>
        <w:bidi w:val="1"/>
        <w:spacing w:line="360" w:lineRule="auto" w:after="120"/>
        <w:ind w:left="432" w:hanging="432"/>
        <w:jc w:val="right"/>
      </w:pPr>
      <w:r>
        <w:rPr>
          <w:rFonts w:ascii="David" w:hAnsi="David" w:cs="David"/>
          <w:b w:val="0"/>
          <w:sz w:val="24"/>
          <w:szCs w:val="24"/>
          <w:rtl w:val="1"/>
        </w:rPr>
      </w:r>
      <w:r>
        <w:rPr>
          <w:rFonts w:ascii="David" w:hAnsi="David" w:cs="David"/>
          <w:i/>
          <w:sz w:val="24"/>
          <w:szCs w:val="24"/>
          <w:rtl w:val="1"/>
        </w:rPr>
        <w:t>תנ"ך</w:t>
      </w:r>
      <w:r>
        <w:rPr>
          <w:rFonts w:ascii="David" w:hAnsi="David" w:cs="David"/>
          <w:b w:val="0"/>
          <w:sz w:val="24"/>
          <w:szCs w:val="24"/>
          <w:rtl w:val="1"/>
        </w:rPr>
        <w:t>, ספר דברים, פרק כא.</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avid" w:hAnsi="David" w:cs="Davi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