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rFonts w:ascii="David" w:cs="David" w:eastAsia="David" w:hAnsi="David"/>
          <w:b/>
          <w:bCs/>
          <w:sz w:val="30"/>
          <w:szCs w:val="30"/>
          <w:rtl/>
        </w:rPr>
        <w:t xml:space="preserve">הפקולטה למשפטים</w:t>
      </w:r>
    </w:p>
    <w:p>
      <w:pPr>
        <w:bidi/>
        <w:spacing w:after="120"/>
        <w:jc w:val="center"/>
      </w:pPr>
      <w:r>
        <w:rPr>
          <w:rFonts w:ascii="David" w:cs="David" w:eastAsia="David" w:hAnsi="David"/>
          <w:sz w:val="26"/>
          <w:szCs w:val="26"/>
          <w:rtl/>
        </w:rPr>
        <w:t xml:space="preserve">תואר שני במשפטים (</w:t>
      </w:r>
      <w:r>
        <w:rPr>
          <w:rFonts w:ascii="David" w:cs="David" w:eastAsia="David" w:hAnsi="David"/>
          <w:sz w:val="26"/>
          <w:szCs w:val="26"/>
          <w:rtl w:val="false"/>
        </w:rPr>
        <w:t xml:space="preserve">LL.M.‎</w:t>
      </w:r>
      <w:r>
        <w:rPr>
          <w:rFonts w:ascii="David" w:cs="David" w:eastAsia="David" w:hAnsi="David"/>
          <w:sz w:val="26"/>
          <w:szCs w:val="26"/>
          <w:rtl/>
        </w:rPr>
        <w:t xml:space="preserve">)</w:t>
      </w:r>
    </w:p>
    <w:p>
      <w:pPr>
        <w:bidi/>
        <w:spacing w:after="1800"/>
        <w:jc w:val="center"/>
      </w:pPr>
      <w:r>
        <w:rPr>
          <w:rFonts w:ascii="David" w:cs="David" w:eastAsia="David" w:hAnsi="David"/>
          <w:sz w:val="26"/>
          <w:szCs w:val="26"/>
          <w:rtl/>
        </w:rPr>
        <w:t xml:space="preserve">סמינר מתקדם במשפט הפלילי</w:t>
      </w:r>
    </w:p>
    <w:p>
      <w:pPr>
        <w:bidi/>
        <w:spacing w:after="60"/>
        <w:jc w:val="center"/>
      </w:pPr>
      <w:r>
        <w:rPr>
          <w:rFonts w:ascii="David" w:cs="David" w:eastAsia="David" w:hAnsi="David"/>
          <w:b/>
          <w:bCs/>
          <w:sz w:val="38"/>
          <w:szCs w:val="38"/>
          <w:rtl/>
        </w:rPr>
        <w:t xml:space="preserve">רפורמת אמו"ן במשטרת ישראל:</w:t>
      </w:r>
    </w:p>
    <w:p>
      <w:pPr>
        <w:bidi/>
        <w:spacing w:after="240"/>
        <w:jc w:val="center"/>
      </w:pPr>
      <w:r>
        <w:rPr>
          <w:rFonts w:ascii="David" w:cs="David" w:eastAsia="David" w:hAnsi="David"/>
          <w:b/>
          <w:bCs/>
          <w:sz w:val="38"/>
          <w:szCs w:val="38"/>
          <w:rtl/>
        </w:rPr>
        <w:t xml:space="preserve">בין אפקטיביות עקרונית ליישום בפועל</w:t>
      </w:r>
    </w:p>
    <w:p>
      <w:pPr>
        <w:bidi/>
        <w:spacing w:after="2000"/>
        <w:jc w:val="center"/>
      </w:pPr>
      <w:r>
        <w:rPr>
          <w:rFonts w:ascii="David" w:cs="David" w:eastAsia="David" w:hAnsi="David"/>
          <w:sz w:val="28"/>
          <w:szCs w:val="28"/>
          <w:rtl/>
        </w:rPr>
        <w:t xml:space="preserve">הפחתת עבריינות, אכיפה ולגיטימציה בקרב צעירים ערבים בני 18 עד 24</w:t>
      </w:r>
    </w:p>
    <w:p>
      <w:pPr>
        <w:bidi/>
        <w:spacing w:after="120"/>
        <w:jc w:val="center"/>
      </w:pPr>
      <w:r>
        <w:rPr>
          <w:rFonts w:ascii="David" w:cs="David" w:eastAsia="David" w:hAnsi="David"/>
          <w:sz w:val="26"/>
          <w:szCs w:val="26"/>
          <w:rtl/>
        </w:rPr>
        <w:t xml:space="preserve">מוגש ל: פרופ' יואב ספיר</w:t>
      </w:r>
    </w:p>
    <w:p>
      <w:pPr>
        <w:bidi/>
        <w:spacing w:after="120"/>
        <w:jc w:val="center"/>
      </w:pPr>
      <w:r>
        <w:rPr>
          <w:rFonts w:ascii="David" w:cs="David" w:eastAsia="David" w:hAnsi="David"/>
          <w:sz w:val="26"/>
          <w:szCs w:val="26"/>
          <w:rtl/>
        </w:rPr>
        <w:t xml:space="preserve">מגיש: יזיד גריפאת</w:t>
      </w:r>
    </w:p>
    <w:p>
      <w:pPr>
        <w:bidi/>
        <w:spacing w:after="120"/>
        <w:jc w:val="center"/>
      </w:pPr>
      <w:r>
        <w:rPr>
          <w:rFonts w:ascii="David" w:cs="David" w:eastAsia="David" w:hAnsi="David"/>
          <w:sz w:val="26"/>
          <w:szCs w:val="26"/>
          <w:rtl/>
        </w:rPr>
        <w:t xml:space="preserve">תאריך הגשה: </w:t>
      </w:r>
      <w:r>
        <w:rPr>
          <w:rFonts w:ascii="David" w:cs="David" w:eastAsia="David" w:hAnsi="David"/>
          <w:sz w:val="26"/>
          <w:szCs w:val="26"/>
          <w:shd w:fill="FFF200" w:color="auto" w:val="clear"/>
          <w:rtl/>
        </w:rPr>
        <w:t xml:space="preserve">[תאריך]</w:t>
      </w:r>
    </w:p>
    <w:p>
      <w:r>
        <w:br w:type="page"/>
      </w:r>
    </w:p>
    <w:p>
      <w:pPr>
        <w:bidi/>
        <w:spacing w:after="240"/>
        <w:jc w:val="center"/>
      </w:pPr>
      <w:r>
        <w:rPr>
          <w:rFonts w:ascii="David" w:cs="David" w:eastAsia="David" w:hAnsi="David"/>
          <w:b/>
          <w:bCs/>
          <w:sz w:val="32"/>
          <w:szCs w:val="32"/>
          <w:rtl/>
        </w:rPr>
        <w:t xml:space="preserve">תוכן עניינים</w:t>
      </w:r>
    </w:p>
    <w:sdt>
      <w:sdtPr>
        <w:alias w:val="תוכן עניינים"/>
      </w:sdtPr>
      <w:sdtContent>
        <w:p>
          <w:r>
            <w:fldChar w:fldCharType="begin" w:dirty="true"/>
            <w:instrText xml:space="preserve">TOC \h \o "1-2"</w:instrText>
            <w:fldChar w:fldCharType="separate"/>
          </w:r>
        </w:p>
        <w:p>
          <w:r>
            <w:fldChar w:fldCharType="end"/>
          </w:r>
        </w:p>
      </w:sdtContent>
    </w:sdt>
    <w:p>
      <w:pPr>
        <w:pStyle w:val="Heading1"/>
        <w:pageBreakBefore/>
        <w:bidi/>
        <w:spacing w:after="160" w:before="240"/>
        <w:jc w:val="center"/>
      </w:pPr>
      <w:r>
        <w:rPr>
          <w:rFonts w:ascii="David" w:cs="David" w:eastAsia="David" w:hAnsi="David"/>
          <w:b/>
          <w:bCs/>
          <w:sz w:val="32"/>
          <w:szCs w:val="32"/>
          <w:rtl/>
        </w:rPr>
        <w:t xml:space="preserve">1. מבוא</w:t>
      </w:r>
    </w:p>
    <w:p>
      <w:pPr>
        <w:bidi/>
        <w:spacing w:after="120" w:line="360"/>
        <w:ind w:firstLine="0"/>
        <w:jc w:val="both"/>
      </w:pPr>
      <w:r>
        <w:rPr>
          <w:rFonts w:ascii="David" w:cs="David" w:eastAsia="David" w:hAnsi="David"/>
          <w:sz w:val="24"/>
          <w:szCs w:val="24"/>
          <w:rtl/>
        </w:rPr>
        <w:t xml:space="preserve">האלימות בחברה הערבית בישראל פוגעת בביטחונו של ציבור רחב. לפי מבקר המדינה, בשנים 2014 עד 2016 היה שיעור עבירות הירי ביישובי החברה הערבית גבוה פי 17.5 מן השיעור באוכלוסייה היהודית, ושיעור הנפגעים מנשק בלתי חוקי גבוה פי 12.</w:t>
      </w:r>
      <w:r>
        <w:rPr>
          <w:rStyle w:val="FootnoteReference"/>
        </w:rPr>
        <w:footnoteReference w:id="1"/>
      </w:r>
      <w:r>
        <w:rPr>
          <w:rFonts w:ascii="David" w:cs="David" w:eastAsia="David" w:hAnsi="David"/>
          <w:sz w:val="24"/>
          <w:szCs w:val="24"/>
          <w:rtl/>
        </w:rPr>
        <w:t xml:space="preserve"> בשנת 2019 נרשמו 9,216 אירועי ירי, 94% מן החשודים בהם היו ערבים, ובחברה הערבית נרצחו 95 בני אדם.</w:t>
      </w:r>
      <w:r>
        <w:rPr>
          <w:rStyle w:val="FootnoteReference"/>
        </w:rPr>
        <w:footnoteReference w:id="2"/>
      </w:r>
      <w:r>
        <w:rPr>
          <w:rFonts w:ascii="David" w:cs="David" w:eastAsia="David" w:hAnsi="David"/>
          <w:sz w:val="24"/>
          <w:szCs w:val="24"/>
          <w:rtl/>
        </w:rPr>
        <w:t xml:space="preserve"> הנתונים מחייבים לשאול מה נדרש כדי להגן על הקהילות האלה, ואם די בתוספת תקציב ושוטרים.</w:t>
      </w:r>
    </w:p>
    <w:p>
      <w:pPr>
        <w:bidi/>
        <w:spacing w:after="120" w:line="360"/>
        <w:ind w:firstLine="0"/>
        <w:jc w:val="both"/>
      </w:pPr>
      <w:r>
        <w:rPr>
          <w:rFonts w:ascii="David" w:cs="David" w:eastAsia="David" w:hAnsi="David"/>
          <w:sz w:val="24"/>
          <w:szCs w:val="24"/>
          <w:rtl/>
        </w:rPr>
        <w:t xml:space="preserve">הציבור הערבי מעלה שתי דרישות בו בזמן. צוות המנכ"לים להתמודדות עם הפשיעה בחברה הערבית ייחס את חוסר האמון במשטרה לשילוב של שיטור חסר ולא יעיל עם שימוש באמצעים שאינם מידתיים.</w:t>
      </w:r>
      <w:r>
        <w:rPr>
          <w:rStyle w:val="FootnoteReference"/>
        </w:rPr>
        <w:footnoteReference w:id="3"/>
      </w:r>
      <w:r>
        <w:rPr>
          <w:rFonts w:ascii="David" w:cs="David" w:eastAsia="David" w:hAnsi="David"/>
          <w:sz w:val="24"/>
          <w:szCs w:val="24"/>
          <w:rtl/>
        </w:rPr>
        <w:t xml:space="preserve"> ספיר מזהיר כי הרחבת סמכויות והחמרת ענישה, בלי טיפול בגורמי העומק ובלי שיתוף הציבור הערבי, עלולות להוביל לתוצאות בלתי צודקות מבלי להפחית את הפשיעה.</w:t>
      </w:r>
      <w:r>
        <w:rPr>
          <w:rStyle w:val="FootnoteReference"/>
        </w:rPr>
        <w:footnoteReference w:id="4"/>
      </w:r>
      <w:r>
        <w:rPr>
          <w:rFonts w:ascii="David" w:cs="David" w:eastAsia="David" w:hAnsi="David"/>
          <w:sz w:val="24"/>
          <w:szCs w:val="24"/>
          <w:rtl/>
        </w:rPr>
        <w:t xml:space="preserve"> השאלה היא אפוא איזה שיטור נדרש, לפי אילו מדדים ייחשב אפקטיבי ובאילו גבולות משפטיים.</w:t>
      </w:r>
    </w:p>
    <w:p>
      <w:pPr>
        <w:bidi/>
        <w:spacing w:after="120" w:line="360"/>
        <w:ind w:firstLine="0"/>
        <w:jc w:val="both"/>
      </w:pPr>
      <w:r>
        <w:rPr>
          <w:rFonts w:ascii="David" w:cs="David" w:eastAsia="David" w:hAnsi="David"/>
          <w:sz w:val="24"/>
          <w:szCs w:val="24"/>
          <w:rtl/>
        </w:rPr>
        <w:t xml:space="preserve">רפורמת אמו"ן ("אסטרטגיות מניעה ומיקוד ניהולי") הושקה בסוף שנת 2015 והיא בנויה על מודל השיטור המוכוון בעיות של גולדשטיין. כל תחנה בוחרת שלוש בעיות מקומיות, מנתחת אותן, בונה נגדן תוכנית פעולה ונמדדת לפי התוצאה ולא לפי היקף הפעילות.</w:t>
      </w:r>
      <w:r>
        <w:rPr>
          <w:rStyle w:val="FootnoteReference"/>
        </w:rPr>
        <w:footnoteReference w:id="5"/>
      </w:r>
      <w:r>
        <w:rPr>
          <w:rFonts w:ascii="David" w:cs="David" w:eastAsia="David" w:hAnsi="David"/>
          <w:sz w:val="24"/>
          <w:szCs w:val="24"/>
          <w:rtl/>
        </w:rPr>
        <w:t xml:space="preserve"> בעולם שימש המודל בדרך כלל כמענה נקודתי, ואילו בישראל נעשה ניסיון להחיל אותו על המשטרה כולה, בליווי מערכת מדידה ממוחשבת.</w:t>
      </w:r>
      <w:r>
        <w:rPr>
          <w:rStyle w:val="FootnoteReference"/>
        </w:rPr>
        <w:footnoteReference w:id="6"/>
      </w:r>
      <w:r>
        <w:rPr>
          <w:rFonts w:ascii="David" w:cs="David" w:eastAsia="David" w:hAnsi="David"/>
          <w:sz w:val="24"/>
          <w:szCs w:val="24"/>
          <w:rtl/>
        </w:rPr>
        <w:t xml:space="preserve"> לכן אמו"ן היא מקרה מבחן חשוב.</w:t>
      </w:r>
    </w:p>
    <w:p>
      <w:pPr>
        <w:bidi/>
        <w:spacing w:after="120" w:line="360"/>
        <w:ind w:firstLine="0"/>
        <w:jc w:val="both"/>
      </w:pPr>
      <w:r>
        <w:rPr>
          <w:rFonts w:ascii="David" w:cs="David" w:eastAsia="David" w:hAnsi="David"/>
          <w:sz w:val="24"/>
          <w:szCs w:val="24"/>
          <w:rtl/>
        </w:rPr>
        <w:t xml:space="preserve">שאלת המחקר של העבודה היא באיזו מידה רפורמת אמו"ן אפקטיבית בהפחתת עבריינות ובשיפור האכיפה בקרב צעירים ערבים בני 18 עד 24, וככל שמתגלים קשיים באפקטיביותה, האם מקורם במודל העקרוני עצמו או באופן יישומו במשטרת ישראל. שאלות המשנה הן: מהו ההיגיון המחקרי של המודל ועד כמה הוכחה האפקטיביות של אסטרטגיות מסוגו; כיצד יושם המודל בישראל, ובמיוחד מול פשיעה ואלימות בחברה הערבית; והאם הפערים בתוצאות נובעים מחולשה מובנית של המודל או מבעיות ביישום, ובהן משאבים, אבחון הבעיות, בחירת היעדים, שיטור יתר וחסר, הוגנות ההליכים ואמון הציבור.</w:t>
      </w:r>
    </w:p>
    <w:p>
      <w:pPr>
        <w:bidi/>
        <w:spacing w:after="120" w:line="360"/>
        <w:ind w:firstLine="0"/>
        <w:jc w:val="both"/>
      </w:pPr>
      <w:r>
        <w:rPr>
          <w:rFonts w:ascii="David" w:cs="David" w:eastAsia="David" w:hAnsi="David"/>
          <w:sz w:val="24"/>
          <w:szCs w:val="24"/>
          <w:rtl/>
        </w:rPr>
        <w:t xml:space="preserve">בשנת 2023 היו 54% מן המעצרים של צעירים לא יהודים מעצרים של בני 18 עד 24, ושיעור המעצרים בקבוצה זו עמד על 26.6 לאלף נפש, לעומת פחות מחמישה לאלף בקרב יהודים באותו גיל.</w:t>
      </w:r>
      <w:r>
        <w:rPr>
          <w:rStyle w:val="FootnoteReference"/>
        </w:rPr>
        <w:footnoteReference w:id="7"/>
      </w:r>
      <w:r>
        <w:rPr>
          <w:rFonts w:ascii="David" w:cs="David" w:eastAsia="David" w:hAnsi="David"/>
          <w:sz w:val="24"/>
          <w:szCs w:val="24"/>
          <w:rtl/>
        </w:rPr>
        <w:t xml:space="preserve"> הפער מלמד על מגע אינטנסיבי עם מערכת האכיפה, אך יש להבחין בין הסיווג המשטרתי "לא יהודים" לבין הקבוצה הערבית, ובין היקף המעצרים לבין היקף העבריינות. מחקרי ההערכה של אמו"ן השוו בין תחנות ובין אזורים, ולא אמדו את השפעתה על קבוצת גיל מסוימת.</w:t>
      </w:r>
      <w:r>
        <w:rPr>
          <w:rStyle w:val="FootnoteReference"/>
        </w:rPr>
        <w:footnoteReference w:id="8"/>
      </w:r>
      <w:r>
        <w:rPr>
          <w:rFonts w:ascii="David" w:cs="David" w:eastAsia="David" w:hAnsi="David"/>
          <w:sz w:val="24"/>
          <w:szCs w:val="24"/>
          <w:rtl/>
        </w:rPr>
        <w:t xml:space="preserve"> לכן העבודה אינה טוענת לקשר סיבתי, והקבוצה משמשת בה מקרה מבחן לבחינת התאמת המודל וקשיי יישומו.</w:t>
      </w:r>
    </w:p>
    <w:p>
      <w:pPr>
        <w:bidi/>
        <w:spacing w:after="120" w:line="360"/>
        <w:ind w:firstLine="0"/>
        <w:jc w:val="both"/>
      </w:pPr>
      <w:r>
        <w:rPr>
          <w:rFonts w:ascii="David" w:cs="David" w:eastAsia="David" w:hAnsi="David"/>
          <w:sz w:val="24"/>
          <w:szCs w:val="24"/>
          <w:rtl/>
        </w:rPr>
        <w:t xml:space="preserve">העבודה נשענת על ספרות קרימינולוגית ועל מטא-אנליזות של שיטור יזום, על מחקרי ההערכה של אמו"ן שערך המכון לקרימינולוגיה באוניברסיטה העברית, על דוחות מבקר המדינה ומסמכי מרכז המחקר והמידע של הכנסת, ועל חקיקה ופסיקה מישראל, מארצות הברית ומבריטניה.</w:t>
      </w:r>
    </w:p>
    <w:p>
      <w:pPr>
        <w:pStyle w:val="Heading1"/>
        <w:bidi/>
        <w:spacing w:after="160" w:before="240"/>
        <w:jc w:val="center"/>
      </w:pPr>
      <w:r>
        <w:rPr>
          <w:rFonts w:ascii="David" w:cs="David" w:eastAsia="David" w:hAnsi="David"/>
          <w:b/>
          <w:bCs/>
          <w:sz w:val="32"/>
          <w:szCs w:val="32"/>
          <w:rtl/>
        </w:rPr>
        <w:t xml:space="preserve">2. אפקטיביות בשיטור: מסגרת מושגית ומשפטית</w:t>
      </w:r>
    </w:p>
    <w:p>
      <w:pPr>
        <w:pStyle w:val="Heading2"/>
        <w:bidi/>
        <w:spacing w:after="160" w:before="240"/>
        <w:jc w:val="right"/>
      </w:pPr>
      <w:r>
        <w:rPr>
          <w:rFonts w:ascii="David" w:cs="David" w:eastAsia="David" w:hAnsi="David"/>
          <w:b/>
          <w:bCs/>
          <w:sz w:val="28"/>
          <w:szCs w:val="28"/>
          <w:rtl/>
        </w:rPr>
        <w:t xml:space="preserve">2.1 ארבעה ממדים של אפקטיביות</w:t>
      </w:r>
    </w:p>
    <w:p>
      <w:pPr>
        <w:bidi/>
        <w:spacing w:after="120" w:line="360"/>
        <w:ind w:firstLine="0"/>
        <w:jc w:val="both"/>
      </w:pPr>
      <w:r>
        <w:rPr>
          <w:rFonts w:ascii="David" w:cs="David" w:eastAsia="David" w:hAnsi="David"/>
          <w:sz w:val="24"/>
          <w:szCs w:val="24"/>
          <w:rtl/>
        </w:rPr>
        <w:t xml:space="preserve">גולדשטיין טען שהמשטרה מעדיפה את האמצעים על פני המטרות, ומשקיעה בארגון ובשיטות העבודה יותר מאשר בתוצאות שהציבור מקבל.</w:t>
      </w:r>
      <w:r>
        <w:rPr>
          <w:rStyle w:val="FootnoteReference"/>
        </w:rPr>
        <w:footnoteReference w:id="9"/>
      </w:r>
      <w:r>
        <w:rPr>
          <w:rFonts w:ascii="David" w:cs="David" w:eastAsia="David" w:hAnsi="David"/>
          <w:sz w:val="24"/>
          <w:szCs w:val="24"/>
          <w:rtl/>
        </w:rPr>
        <w:t xml:space="preserve"> תחנה יכולה להגדיל את מספר הסיורים והמעצרים בלי לשנות דבר בתופעה שבה ביקשה לטפל. לכן הרפורמה תיבחן לפי ארבעה ממדים.</w:t>
      </w:r>
    </w:p>
    <w:p>
      <w:pPr>
        <w:bidi/>
        <w:spacing w:after="120" w:line="360"/>
        <w:ind w:firstLine="0"/>
        <w:jc w:val="both"/>
      </w:pPr>
      <w:r>
        <w:rPr>
          <w:rFonts w:ascii="David" w:cs="David" w:eastAsia="David" w:hAnsi="David"/>
          <w:sz w:val="24"/>
          <w:szCs w:val="24"/>
          <w:rtl/>
        </w:rPr>
        <w:t xml:space="preserve">הממד הראשון הוא הפחתה בפועל של פשיעה ושל פגיעה בקורבנות. הממד השני הוא איכות האכיפה, כלומר היכולת להשלים חקירות ולהביא לדין; מבקר המדינה קשר את הקשיים בחקירה לשיעור הנמוך של כתבי אישום בעבירות ירי.</w:t>
      </w:r>
      <w:r>
        <w:rPr>
          <w:rStyle w:val="FootnoteReference"/>
        </w:rPr>
        <w:footnoteReference w:id="10"/>
      </w:r>
      <w:r>
        <w:rPr>
          <w:rFonts w:ascii="David" w:cs="David" w:eastAsia="David" w:hAnsi="David"/>
          <w:sz w:val="24"/>
          <w:szCs w:val="24"/>
          <w:rtl/>
        </w:rPr>
        <w:t xml:space="preserve"> הממד השלישי הוא אמון ולגיטימיות. סאנשיין וטיילר מצאו שהלגיטימיות קשורה לציות ולסיוע למשטרה, ושהיא נשענת בעיקר על הוגנות הפעלת הסמכות,</w:t>
      </w:r>
      <w:r>
        <w:rPr>
          <w:rStyle w:val="FootnoteReference"/>
        </w:rPr>
        <w:footnoteReference w:id="11"/>
      </w:r>
      <w:r>
        <w:rPr>
          <w:rFonts w:ascii="David" w:cs="David" w:eastAsia="David" w:hAnsi="David"/>
          <w:sz w:val="24"/>
          <w:szCs w:val="24"/>
          <w:rtl/>
        </w:rPr>
        <w:t xml:space="preserve"> ובעניין </w:t>
      </w:r>
      <w:r>
        <w:rPr>
          <w:rFonts w:ascii="David" w:cs="David" w:eastAsia="David" w:hAnsi="David"/>
          <w:b/>
          <w:bCs/>
          <w:sz w:val="24"/>
          <w:szCs w:val="24"/>
          <w:rtl/>
        </w:rPr>
        <w:t xml:space="preserve">סויסא</w:t>
      </w:r>
      <w:r>
        <w:rPr>
          <w:rFonts w:ascii="David" w:cs="David" w:eastAsia="David" w:hAnsi="David"/>
          <w:sz w:val="24"/>
          <w:szCs w:val="24"/>
          <w:rtl/>
        </w:rPr>
        <w:t xml:space="preserve"> נקבע שבלי יחסי אמון עם הקהילה המשטרה לא תוכל למלא את משימותיה.</w:t>
      </w:r>
      <w:r>
        <w:rPr>
          <w:rStyle w:val="FootnoteReference"/>
        </w:rPr>
        <w:footnoteReference w:id="12"/>
      </w:r>
      <w:r>
        <w:rPr>
          <w:rFonts w:ascii="David" w:cs="David" w:eastAsia="David" w:hAnsi="David"/>
          <w:sz w:val="24"/>
          <w:szCs w:val="24"/>
          <w:rtl/>
        </w:rPr>
        <w:t xml:space="preserve"> בעניין </w:t>
      </w:r>
      <w:r>
        <w:rPr>
          <w:rFonts w:ascii="David" w:cs="David" w:eastAsia="David" w:hAnsi="David"/>
          <w:b/>
          <w:bCs/>
          <w:sz w:val="24"/>
          <w:szCs w:val="24"/>
          <w:rtl/>
        </w:rPr>
        <w:t xml:space="preserve">אלחננוב</w:t>
      </w:r>
      <w:r>
        <w:rPr>
          <w:rFonts w:ascii="David" w:cs="David" w:eastAsia="David" w:hAnsi="David"/>
          <w:sz w:val="24"/>
          <w:szCs w:val="24"/>
          <w:rtl/>
        </w:rPr>
        <w:t xml:space="preserve"> הודגש שאמון הציבור במשטרה מותנה "לא רק ביעילותה המקצועית, אלא בראש וראשונה באמינותה".</w:t>
      </w:r>
      <w:r>
        <w:rPr>
          <w:rStyle w:val="FootnoteReference"/>
        </w:rPr>
        <w:footnoteReference w:id="13"/>
      </w:r>
      <w:r>
        <w:rPr>
          <w:rFonts w:ascii="David" w:cs="David" w:eastAsia="David" w:hAnsi="David"/>
          <w:sz w:val="24"/>
          <w:szCs w:val="24"/>
          <w:rtl/>
        </w:rPr>
        <w:t xml:space="preserve"> הממד הרביעי הוא שוויון, ובעניין </w:t>
      </w:r>
      <w:r>
        <w:rPr>
          <w:rFonts w:ascii="David" w:cs="David" w:eastAsia="David" w:hAnsi="David"/>
          <w:b/>
          <w:bCs/>
          <w:sz w:val="24"/>
          <w:szCs w:val="24"/>
          <w:rtl/>
        </w:rPr>
        <w:t xml:space="preserve">טבקה</w:t>
      </w:r>
      <w:r>
        <w:rPr>
          <w:rFonts w:ascii="David" w:cs="David" w:eastAsia="David" w:hAnsi="David"/>
          <w:sz w:val="24"/>
          <w:szCs w:val="24"/>
          <w:rtl/>
        </w:rPr>
        <w:t xml:space="preserve"> עמד בית המשפט על הקשר בין היעדר אמות מידה ברורות להפעלת סמכות לבין הפליה של מיעוטים.</w:t>
      </w:r>
      <w:r>
        <w:rPr>
          <w:rStyle w:val="FootnoteReference"/>
        </w:rPr>
        <w:footnoteReference w:id="14"/>
      </w:r>
    </w:p>
    <w:p>
      <w:pPr>
        <w:bidi/>
        <w:spacing w:after="120" w:line="360"/>
        <w:ind w:firstLine="0"/>
        <w:jc w:val="both"/>
      </w:pPr>
      <w:r>
        <w:rPr>
          <w:rFonts w:ascii="David" w:cs="David" w:eastAsia="David" w:hAnsi="David"/>
          <w:sz w:val="24"/>
          <w:szCs w:val="24"/>
          <w:rtl/>
        </w:rPr>
        <w:t xml:space="preserve">הממדים אינם נעים תמיד יחד. ועדת האקדמיות הלאומיות האמריקאיות מצאה ששיטור נקודות חמות מפחית פשיעה בטווח הקצר, אך בהתערבויות ממוקדות אנשים נמצא קשר שלילי בין החשיפה לבין יחס הנחשפים למשטרה.</w:t>
      </w:r>
      <w:r>
        <w:rPr>
          <w:rStyle w:val="FootnoteReference"/>
        </w:rPr>
        <w:footnoteReference w:id="15"/>
      </w:r>
      <w:r>
        <w:rPr>
          <w:rFonts w:ascii="David" w:cs="David" w:eastAsia="David" w:hAnsi="David"/>
          <w:sz w:val="24"/>
          <w:szCs w:val="24"/>
          <w:rtl/>
        </w:rPr>
        <w:t xml:space="preserve"> הוועדה הדגישה גם שאסטרטגיות יזומות עלולות לשחוק ערכים כמו פרטיות, שוויון ואחריותיות, ושהמחקר כמעט אינו בודק זאת.</w:t>
      </w:r>
      <w:r>
        <w:rPr>
          <w:rStyle w:val="FootnoteReference"/>
        </w:rPr>
        <w:footnoteReference w:id="16"/>
      </w:r>
      <w:r>
        <w:rPr>
          <w:rFonts w:ascii="David" w:cs="David" w:eastAsia="David" w:hAnsi="David"/>
          <w:sz w:val="24"/>
          <w:szCs w:val="24"/>
          <w:rtl/>
        </w:rPr>
        <w:t xml:space="preserve"> לכן טענה להצלחה צריכה לציין באיזה ממד מדובר ומה קרה בממדים האחרים.</w:t>
      </w:r>
    </w:p>
    <w:p>
      <w:pPr>
        <w:bidi/>
        <w:spacing w:after="120" w:line="360"/>
        <w:ind w:firstLine="0"/>
        <w:jc w:val="both"/>
      </w:pPr>
      <w:r>
        <w:rPr>
          <w:rFonts w:ascii="David" w:cs="David" w:eastAsia="David" w:hAnsi="David"/>
          <w:sz w:val="24"/>
          <w:szCs w:val="24"/>
          <w:rtl/>
        </w:rPr>
        <w:t xml:space="preserve">יש להבחין גם בין מדדים ארגוניים לבין חוויית הציבור. טיילר, גוף ומקון מתארים מעבר בסדר היום של השיטור האמריקאי, מהתמקדות במקצועיות ובמאבק בפשיעה אל היחסים עם הקהילות,</w:t>
      </w:r>
      <w:r>
        <w:rPr>
          <w:rStyle w:val="FootnoteReference"/>
        </w:rPr>
        <w:footnoteReference w:id="17"/>
      </w:r>
      <w:r>
        <w:rPr>
          <w:rFonts w:ascii="David" w:cs="David" w:eastAsia="David" w:hAnsi="David"/>
          <w:sz w:val="24"/>
          <w:szCs w:val="24"/>
          <w:rtl/>
        </w:rPr>
        <w:t xml:space="preserve"> והצוות הנשיאותי לשיטור במאה ה-21 המליץ לאמץ את הוגנות ההליכים כעיקרון מנחה במדיניות הפנימית והחיצונית של גופי אכיפת החוק.</w:t>
      </w:r>
      <w:r>
        <w:rPr>
          <w:rStyle w:val="FootnoteReference"/>
        </w:rPr>
        <w:footnoteReference w:id="18"/>
      </w:r>
      <w:r>
        <w:rPr>
          <w:rFonts w:ascii="David" w:cs="David" w:eastAsia="David" w:hAnsi="David"/>
          <w:sz w:val="24"/>
          <w:szCs w:val="24"/>
          <w:rtl/>
        </w:rPr>
        <w:t xml:space="preserve"> ההמלצה מרחיבה את מושג ההצלחה כך שיכלול גם את הדרך שבה המשטרה פועלת. ארגון שמודד רק את עצמו רואה תמונה חלקית, ולעיתים מחמיאה מדי. פורום המרצות והמרצים למשפטים מוסיף שאחריותיות של המשטרה אינה יכולה להיות אחריותיות כלפי הרוב בלבד, ושהטיפול בקהילות מוחלשות, שפוגשות במשטרה יותר מאחרות, צריך לקבל עדיפות על פני הרצון להיענות להעדפות הרוב.</w:t>
      </w:r>
      <w:r>
        <w:rPr>
          <w:rStyle w:val="FootnoteReference"/>
        </w:rPr>
        <w:footnoteReference w:id="19"/>
      </w:r>
      <w:r>
        <w:rPr>
          <w:rFonts w:ascii="David" w:cs="David" w:eastAsia="David" w:hAnsi="David"/>
          <w:sz w:val="24"/>
          <w:szCs w:val="24"/>
          <w:rtl/>
        </w:rPr>
        <w:t xml:space="preserve"> יש לזכור גם שנתוני פשיעה משקפים במידה רבה את היקף הפעילות המשטרתית, ולכן עלייה בתיקים אחרי מבצע אכיפה אינה מוכיחה עלייה בעבריינות.</w:t>
      </w:r>
      <w:r>
        <w:rPr>
          <w:rStyle w:val="FootnoteReference"/>
        </w:rPr>
        <w:footnoteReference w:id="20"/>
      </w:r>
    </w:p>
    <w:p>
      <w:pPr>
        <w:pStyle w:val="Heading2"/>
        <w:bidi/>
        <w:spacing w:after="160" w:before="240"/>
        <w:jc w:val="right"/>
      </w:pPr>
      <w:r>
        <w:rPr>
          <w:rFonts w:ascii="David" w:cs="David" w:eastAsia="David" w:hAnsi="David"/>
          <w:b/>
          <w:bCs/>
          <w:sz w:val="28"/>
          <w:szCs w:val="28"/>
          <w:rtl/>
        </w:rPr>
        <w:t xml:space="preserve">2.2 שיטור מוכוון בעיות ומשפחת השיטור היזום</w:t>
      </w:r>
    </w:p>
    <w:p>
      <w:pPr>
        <w:bidi/>
        <w:spacing w:after="120" w:line="360"/>
        <w:ind w:firstLine="0"/>
        <w:jc w:val="both"/>
      </w:pPr>
      <w:r>
        <w:rPr>
          <w:rFonts w:ascii="David" w:cs="David" w:eastAsia="David" w:hAnsi="David"/>
          <w:sz w:val="24"/>
          <w:szCs w:val="24"/>
          <w:rtl/>
        </w:rPr>
        <w:t xml:space="preserve">וייסבורד ואק מראים שיש מעט ראיות לכך שמודל השיטור הסטנדרטי, המבוסס על סיור, מענה לקריאות וחקירה בדיעבד, מפחית פשיעה, אי-סדר או פחד מפשיעה.</w:t>
      </w:r>
      <w:r>
        <w:rPr>
          <w:rStyle w:val="FootnoteReference"/>
        </w:rPr>
        <w:footnoteReference w:id="21"/>
      </w:r>
      <w:r>
        <w:rPr>
          <w:rFonts w:ascii="David" w:cs="David" w:eastAsia="David" w:hAnsi="David"/>
          <w:sz w:val="24"/>
          <w:szCs w:val="24"/>
          <w:rtl/>
        </w:rPr>
        <w:t xml:space="preserve"> גולדשטיין הציע לחייב את המשטרה להגדיר במדויק את הבעיות שהציבור מצפה שתטפל בהן, לבדוק את התגובה הקיימת ולשקול חלופות.</w:t>
      </w:r>
      <w:r>
        <w:rPr>
          <w:rStyle w:val="FootnoteReference"/>
        </w:rPr>
        <w:footnoteReference w:id="22"/>
      </w:r>
      <w:r>
        <w:rPr>
          <w:rFonts w:ascii="David" w:cs="David" w:eastAsia="David" w:hAnsi="David"/>
          <w:sz w:val="24"/>
          <w:szCs w:val="24"/>
          <w:rtl/>
        </w:rPr>
        <w:t xml:space="preserve"> אק וספלמן תרגמו זאת לארבעה שלבים: סריקה, ניתוח, תגובה והערכה (</w:t>
      </w:r>
      <w:r>
        <w:rPr>
          <w:rFonts w:ascii="David" w:cs="David" w:eastAsia="David" w:hAnsi="David"/>
          <w:sz w:val="24"/>
          <w:szCs w:val="24"/>
          <w:rtl w:val="false"/>
        </w:rPr>
        <w:t xml:space="preserve">SARA).‎</w:t>
      </w:r>
      <w:r>
        <w:rPr>
          <w:rStyle w:val="FootnoteReference"/>
        </w:rPr>
        <w:footnoteReference w:id="23"/>
      </w:r>
      <w:r>
        <w:rPr>
          <w:rFonts w:ascii="David" w:cs="David" w:eastAsia="David" w:hAnsi="David"/>
          <w:sz w:val="24"/>
          <w:szCs w:val="24"/>
          <w:rtl/>
        </w:rPr>
        <w:t xml:space="preserve"> מטא-אנליזה של 34 מחקרים מצאה ירידה מובהקת של כ-34% בפשיעה ובאי-סדר, ונטייה לפיזור התועלת לאזורים סמוכים יותר מאשר להתקת הפשיעה.</w:t>
      </w:r>
      <w:r>
        <w:rPr>
          <w:rStyle w:val="FootnoteReference"/>
        </w:rPr>
        <w:footnoteReference w:id="24"/>
      </w:r>
    </w:p>
    <w:p>
      <w:pPr>
        <w:bidi/>
        <w:spacing w:after="120" w:line="360"/>
        <w:ind w:firstLine="0"/>
        <w:jc w:val="both"/>
      </w:pPr>
      <w:r>
        <w:rPr>
          <w:rFonts w:ascii="David" w:cs="David" w:eastAsia="David" w:hAnsi="David"/>
          <w:sz w:val="24"/>
          <w:szCs w:val="24"/>
          <w:rtl/>
        </w:rPr>
        <w:t xml:space="preserve">שיטור מוכוון בעיות הוא אחת מארבע גישות של "שיטור יזום", לצד גישות ממוקדות מקום, ממוקדות אנשים וקהילתיות.</w:t>
      </w:r>
      <w:r>
        <w:rPr>
          <w:rStyle w:val="FootnoteReference"/>
        </w:rPr>
        <w:footnoteReference w:id="25"/>
      </w:r>
      <w:r>
        <w:rPr>
          <w:rFonts w:ascii="David" w:cs="David" w:eastAsia="David" w:hAnsi="David"/>
          <w:sz w:val="24"/>
          <w:szCs w:val="24"/>
          <w:rtl/>
        </w:rPr>
        <w:t xml:space="preserve"> שיטור נקודות חמות נמצא מפחית פשיעה באזורי היעד.</w:t>
      </w:r>
      <w:r>
        <w:rPr>
          <w:rStyle w:val="FootnoteReference"/>
        </w:rPr>
        <w:footnoteReference w:id="26"/>
      </w:r>
      <w:r>
        <w:rPr>
          <w:rFonts w:ascii="David" w:cs="David" w:eastAsia="David" w:hAnsi="David"/>
          <w:sz w:val="24"/>
          <w:szCs w:val="24"/>
          <w:rtl/>
        </w:rPr>
        <w:t xml:space="preserve"> הרתעה ממוקדת, שמשלבת אכיפה מול קבוצה קטנה של עבריינים פעילים עם מעורבות הקהילה ושירותים חברתיים, הראתה אפקט מתון ומובהק, גדול יותר מול כנופיות.</w:t>
      </w:r>
      <w:r>
        <w:rPr>
          <w:rStyle w:val="FootnoteReference"/>
        </w:rPr>
        <w:footnoteReference w:id="27"/>
      </w:r>
      <w:r>
        <w:rPr>
          <w:rFonts w:ascii="David" w:cs="David" w:eastAsia="David" w:hAnsi="David"/>
          <w:sz w:val="24"/>
          <w:szCs w:val="24"/>
          <w:rtl/>
        </w:rPr>
        <w:t xml:space="preserve"> המדריך המקצועי מתאר שישה שלבים, ובהם מפגש התרעה ואכיפה לצד שירותים,</w:t>
      </w:r>
      <w:r>
        <w:rPr>
          <w:rStyle w:val="FootnoteReference"/>
        </w:rPr>
        <w:footnoteReference w:id="28"/>
      </w:r>
      <w:r>
        <w:rPr>
          <w:rFonts w:ascii="David" w:cs="David" w:eastAsia="David" w:hAnsi="David"/>
          <w:sz w:val="24"/>
          <w:szCs w:val="24"/>
          <w:rtl/>
        </w:rPr>
        <w:t xml:space="preserve"> ולכן הפעלת רכיב האכיפה לבדו אינה צפויה להשיג את אותן תוצאות.</w:t>
      </w:r>
    </w:p>
    <w:p>
      <w:pPr>
        <w:bidi/>
        <w:spacing w:after="120" w:line="360"/>
        <w:ind w:firstLine="0"/>
        <w:jc w:val="both"/>
      </w:pPr>
      <w:r>
        <w:rPr>
          <w:rFonts w:ascii="David" w:cs="David" w:eastAsia="David" w:hAnsi="David"/>
          <w:sz w:val="24"/>
          <w:szCs w:val="24"/>
          <w:rtl/>
        </w:rPr>
        <w:t xml:space="preserve">המשותף לגישות הוא המיקוד, וזו גם נקודת התורפה שלהן. לפי ועדת האקדמיות הלאומיות, מיקוד באנשים או במקומות בסיכון גבוה צפוי ליצור פערים גזעיים גדולים בהיקף המפגשים ובאופיים.</w:t>
      </w:r>
      <w:r>
        <w:rPr>
          <w:rStyle w:val="FootnoteReference"/>
        </w:rPr>
        <w:footnoteReference w:id="29"/>
      </w:r>
      <w:r>
        <w:rPr>
          <w:rFonts w:ascii="David" w:cs="David" w:eastAsia="David" w:hAnsi="David"/>
          <w:sz w:val="24"/>
          <w:szCs w:val="24"/>
          <w:rtl/>
        </w:rPr>
        <w:t xml:space="preserve"> פער כזה אינו הוכחה לאפליה, אך הוא מחייב לבדוק את אמות המידה לבחירת היעדים. בהתערבויות של פתרון בעיות כמעט לא נמצאו השפעות שליליות על עמדות הציבור,</w:t>
      </w:r>
      <w:r>
        <w:rPr>
          <w:rStyle w:val="FootnoteReference"/>
        </w:rPr>
        <w:footnoteReference w:id="30"/>
      </w:r>
      <w:r>
        <w:rPr>
          <w:rFonts w:ascii="David" w:cs="David" w:eastAsia="David" w:hAnsi="David"/>
          <w:sz w:val="24"/>
          <w:szCs w:val="24"/>
          <w:rtl/>
        </w:rPr>
        <w:t xml:space="preserve"> ולכן הסיכון נקבע לפי הפעולות שבתוכנית, ולא לפי שמה.</w:t>
      </w:r>
    </w:p>
    <w:p>
      <w:pPr>
        <w:bidi/>
        <w:spacing w:after="120" w:line="360"/>
        <w:ind w:firstLine="0"/>
        <w:jc w:val="both"/>
      </w:pPr>
      <w:r>
        <w:rPr>
          <w:rFonts w:ascii="David" w:cs="David" w:eastAsia="David" w:hAnsi="David"/>
          <w:sz w:val="24"/>
          <w:szCs w:val="24"/>
          <w:rtl/>
        </w:rPr>
        <w:t xml:space="preserve">הגישות שונות גם בעוצמת המגע שהן יוצרות. שיפור תאורה או שינוי פיזי של מרחב אינם מחייבים לעכב אדם, ואילו תגבור סיורים, עיכובים וחיפושים כרוכים במגע ישיר עם אזרחים. בקרב מי שנחשפו לעיכובים, לתשאול ולחיפושים יזומים נמצא קשר שלילי בולט בין החשיפה לבין עמדותיהם כלפי המשטרה.</w:t>
      </w:r>
      <w:r>
        <w:rPr>
          <w:rStyle w:val="FootnoteReference"/>
        </w:rPr>
        <w:footnoteReference w:id="31"/>
      </w:r>
      <w:r>
        <w:rPr>
          <w:rFonts w:ascii="David" w:cs="David" w:eastAsia="David" w:hAnsi="David"/>
          <w:sz w:val="24"/>
          <w:szCs w:val="24"/>
          <w:rtl/>
        </w:rPr>
        <w:t xml:space="preserve"> תמהיל הכלים שתחנה בוחרת קובע אפוא לא רק את סיכויי ההצלחה, אלא גם את הסיכון לאמון.</w:t>
      </w:r>
    </w:p>
    <w:p>
      <w:pPr>
        <w:pStyle w:val="Heading2"/>
        <w:bidi/>
        <w:spacing w:after="160" w:before="240"/>
        <w:jc w:val="right"/>
      </w:pPr>
      <w:r>
        <w:rPr>
          <w:rFonts w:ascii="David" w:cs="David" w:eastAsia="David" w:hAnsi="David"/>
          <w:b/>
          <w:bCs/>
          <w:sz w:val="28"/>
          <w:szCs w:val="28"/>
          <w:rtl/>
        </w:rPr>
        <w:t xml:space="preserve">2.3 שיטור יתר, שיטור חסר והוגנות ההליכים</w:t>
      </w:r>
    </w:p>
    <w:p>
      <w:pPr>
        <w:bidi/>
        <w:spacing w:after="120" w:line="360"/>
        <w:ind w:firstLine="0"/>
        <w:jc w:val="both"/>
      </w:pPr>
      <w:r>
        <w:rPr>
          <w:rFonts w:ascii="David" w:cs="David" w:eastAsia="David" w:hAnsi="David"/>
          <w:sz w:val="24"/>
          <w:szCs w:val="24"/>
          <w:rtl/>
        </w:rPr>
        <w:t xml:space="preserve">נטפוף מציבה מול הפללת היתר את תופעת אכיפת החסר, הכשל השיטתי בהגנה על קהילות שלמות, ומראה ששתיהן יכולות להתקיים באותה אוכלוסייה.</w:t>
      </w:r>
      <w:r>
        <w:rPr>
          <w:rStyle w:val="FootnoteReference"/>
        </w:rPr>
        <w:footnoteReference w:id="32"/>
      </w:r>
      <w:r>
        <w:rPr>
          <w:rFonts w:ascii="David" w:cs="David" w:eastAsia="David" w:hAnsi="David"/>
          <w:sz w:val="24"/>
          <w:szCs w:val="24"/>
          <w:rtl/>
        </w:rPr>
        <w:t xml:space="preserve"> חסייסי וליטמנוביץ מתארים דפוס דומה בישראל: בני המיעוט חווים שיטור מופרז כחשודים ושיטור חסר כקורבנות, והדבר עלול לעורר ניכור ולפגוע בשיתוף הפעולה.</w:t>
      </w:r>
      <w:r>
        <w:rPr>
          <w:rStyle w:val="FootnoteReference"/>
        </w:rPr>
        <w:footnoteReference w:id="33"/>
      </w:r>
      <w:r>
        <w:rPr>
          <w:rFonts w:ascii="David" w:cs="David" w:eastAsia="David" w:hAnsi="David"/>
          <w:sz w:val="24"/>
          <w:szCs w:val="24"/>
          <w:rtl/>
        </w:rPr>
        <w:t xml:space="preserve"> במקום שבו הסדר החוקי נחלש מתחזקים מנגנונים מסורתיים ודרכים לעשיית סדר מחוץ לחוק.</w:t>
      </w:r>
      <w:r>
        <w:rPr>
          <w:rStyle w:val="FootnoteReference"/>
        </w:rPr>
        <w:footnoteReference w:id="34"/>
      </w:r>
      <w:r>
        <w:rPr>
          <w:rFonts w:ascii="David" w:cs="David" w:eastAsia="David" w:hAnsi="David"/>
          <w:sz w:val="24"/>
          <w:szCs w:val="24"/>
          <w:rtl/>
        </w:rPr>
        <w:t xml:space="preserve"> הרדוף מתאר את הצד המשפטי של שיטור החסר: כוח אדם מוגבל וריבוי עבירות מביאים לכך שחלקים מדיני העונשין נאכפים באופן חלקי בלבד, ובחירת המקומות שבהם יוצבו ניידות והתופעות שבהן תתמקד האכיפה מנתבת את ההליך הפלילי לאוכלוסיות ולאזורים מסוימים, בלי הסמכה ברורה.</w:t>
      </w:r>
      <w:r>
        <w:rPr>
          <w:rStyle w:val="FootnoteReference"/>
        </w:rPr>
        <w:footnoteReference w:id="35"/>
      </w:r>
    </w:p>
    <w:p>
      <w:pPr>
        <w:bidi/>
        <w:spacing w:after="120" w:line="360"/>
        <w:ind w:firstLine="0"/>
        <w:jc w:val="both"/>
      </w:pPr>
      <w:r>
        <w:rPr>
          <w:rFonts w:ascii="David" w:cs="David" w:eastAsia="David" w:hAnsi="David"/>
          <w:sz w:val="24"/>
          <w:szCs w:val="24"/>
          <w:rtl/>
        </w:rPr>
        <w:t xml:space="preserve">בל מתארת "ניכור משפטי": תחושה שהחוק פועל להוציא קבוצות מן החברה, והיא רואה בתיאוריית הלגיטימיות אבחנה חלקית שממעיטה במרכיבים המבניים.</w:t>
      </w:r>
      <w:r>
        <w:rPr>
          <w:rStyle w:val="FootnoteReference"/>
        </w:rPr>
        <w:footnoteReference w:id="36"/>
      </w:r>
      <w:r>
        <w:rPr>
          <w:rFonts w:ascii="David" w:cs="David" w:eastAsia="David" w:hAnsi="David"/>
          <w:sz w:val="24"/>
          <w:szCs w:val="24"/>
          <w:rtl/>
        </w:rPr>
        <w:t xml:space="preserve"> ההבחנה מעשית: אם הבעיה היא לגיטימיות, הפתרון הוא שיפור המפגש; אם הבעיה היא ניכור, נדרש שינוי בהיקף ההגנה ובפיקוח. ההבחנה חשובה לאמו"ן: רפורמה שמשפרת את המפגש אך אינה משנה את היקף ההגנה שהקהילה מקבלת עלולה לטפל בסימפטום ולא במבנה. השאלה תחזור בפרק 7.</w:t>
      </w:r>
    </w:p>
    <w:p>
      <w:pPr>
        <w:bidi/>
        <w:spacing w:after="120" w:line="360"/>
        <w:ind w:firstLine="0"/>
        <w:jc w:val="both"/>
      </w:pPr>
      <w:r>
        <w:rPr>
          <w:rFonts w:ascii="David" w:cs="David" w:eastAsia="David" w:hAnsi="David"/>
          <w:sz w:val="24"/>
          <w:szCs w:val="24"/>
          <w:rtl/>
        </w:rPr>
        <w:t xml:space="preserve">גישת הוגנות ההליכים מדגישה את האופן שבו מופעלת הסמכות. סאנשיין וטיילר מצאו שהוגנות ההליכים היא המנבא המרכזי של הלגיטימיות,</w:t>
      </w:r>
      <w:r>
        <w:rPr>
          <w:rStyle w:val="FootnoteReference"/>
        </w:rPr>
        <w:footnoteReference w:id="37"/>
      </w:r>
      <w:r>
        <w:rPr>
          <w:rFonts w:ascii="David" w:cs="David" w:eastAsia="David" w:hAnsi="David"/>
          <w:sz w:val="24"/>
          <w:szCs w:val="24"/>
          <w:rtl/>
        </w:rPr>
        <w:t xml:space="preserve"> וטיילר, גוף ומקון הראו שהירידה בפשיעה בארצות הברית לא הביאה לעלייה מקבילה בלגיטימיות המשטרה.</w:t>
      </w:r>
      <w:r>
        <w:rPr>
          <w:rStyle w:val="FootnoteReference"/>
        </w:rPr>
        <w:footnoteReference w:id="38"/>
      </w:r>
      <w:r>
        <w:rPr>
          <w:rFonts w:ascii="David" w:cs="David" w:eastAsia="David" w:hAnsi="David"/>
          <w:sz w:val="24"/>
          <w:szCs w:val="24"/>
          <w:rtl/>
        </w:rPr>
        <w:t xml:space="preserve"> הפורום מוסיף שגוף שיטור שחסרה לו לגיטימציה, במיוחד בקהילות חלשות, לא יזכה לסיוע ואולי אף ייתקל בהתנגדות, וההתנגדות עלולה להוביל לשימוש בכוח רב עוד יותר.</w:t>
      </w:r>
      <w:r>
        <w:rPr>
          <w:rStyle w:val="FootnoteReference"/>
        </w:rPr>
        <w:footnoteReference w:id="39"/>
      </w:r>
      <w:r>
        <w:rPr>
          <w:rFonts w:ascii="David" w:cs="David" w:eastAsia="David" w:hAnsi="David"/>
          <w:sz w:val="24"/>
          <w:szCs w:val="24"/>
          <w:rtl/>
        </w:rPr>
        <w:t xml:space="preserve"> סקוגן מצא שמפגש שלילי משפיע על העמדות הרבה יותר ממפגש חיובי,</w:t>
      </w:r>
      <w:r>
        <w:rPr>
          <w:rStyle w:val="FootnoteReference"/>
        </w:rPr>
        <w:footnoteReference w:id="40"/>
      </w:r>
      <w:r>
        <w:rPr>
          <w:rFonts w:ascii="David" w:cs="David" w:eastAsia="David" w:hAnsi="David"/>
          <w:sz w:val="24"/>
          <w:szCs w:val="24"/>
          <w:rtl/>
        </w:rPr>
        <w:t xml:space="preserve"> ובמילווקי, לאחר פרסום מקרה של אלימות שוטרים, נאמד הפער בקריאות למוקד בכ-22,200 קריאות.</w:t>
      </w:r>
      <w:r>
        <w:rPr>
          <w:rStyle w:val="FootnoteReference"/>
        </w:rPr>
        <w:footnoteReference w:id="41"/>
      </w:r>
      <w:r>
        <w:rPr>
          <w:rFonts w:ascii="David" w:cs="David" w:eastAsia="David" w:hAnsi="David"/>
          <w:sz w:val="24"/>
          <w:szCs w:val="24"/>
          <w:rtl/>
        </w:rPr>
        <w:t xml:space="preserve"> כשהדיווח נשחק, נפגע בסיס המידע של כל מודל שמזהה בעיות מקומיות.</w:t>
      </w:r>
    </w:p>
    <w:p>
      <w:pPr>
        <w:pStyle w:val="Heading2"/>
        <w:bidi/>
        <w:spacing w:after="160" w:before="240"/>
        <w:jc w:val="right"/>
      </w:pPr>
      <w:r>
        <w:rPr>
          <w:rFonts w:ascii="David" w:cs="David" w:eastAsia="David" w:hAnsi="David"/>
          <w:b/>
          <w:bCs/>
          <w:sz w:val="28"/>
          <w:szCs w:val="28"/>
          <w:rtl/>
        </w:rPr>
        <w:t xml:space="preserve">2.4 סמכות, שיקול דעת, שוויון ומידתיות באכיפה</w:t>
      </w:r>
    </w:p>
    <w:p>
      <w:pPr>
        <w:bidi/>
        <w:spacing w:after="120" w:line="360"/>
        <w:ind w:firstLine="0"/>
        <w:jc w:val="both"/>
      </w:pPr>
      <w:r>
        <w:rPr>
          <w:rFonts w:ascii="David" w:cs="David" w:eastAsia="David" w:hAnsi="David"/>
          <w:sz w:val="24"/>
          <w:szCs w:val="24"/>
          <w:rtl/>
        </w:rPr>
        <w:t xml:space="preserve">בעניין </w:t>
      </w:r>
      <w:r>
        <w:rPr>
          <w:rFonts w:ascii="David" w:cs="David" w:eastAsia="David" w:hAnsi="David"/>
          <w:b/>
          <w:bCs/>
          <w:sz w:val="24"/>
          <w:szCs w:val="24"/>
          <w:rtl/>
        </w:rPr>
        <w:t xml:space="preserve">מוסא</w:t>
      </w:r>
      <w:r>
        <w:rPr>
          <w:rFonts w:ascii="David" w:cs="David" w:eastAsia="David" w:hAnsi="David"/>
          <w:sz w:val="24"/>
          <w:szCs w:val="24"/>
          <w:rtl/>
        </w:rPr>
        <w:t xml:space="preserve"> נקבע ש"אין למשטרה כוחות, אלא עד כמה שאלה הוענקו לה בחוק".</w:t>
      </w:r>
      <w:r>
        <w:rPr>
          <w:rStyle w:val="FootnoteReference"/>
        </w:rPr>
        <w:footnoteReference w:id="42"/>
      </w:r>
      <w:r>
        <w:rPr>
          <w:rFonts w:ascii="David" w:cs="David" w:eastAsia="David" w:hAnsi="David"/>
          <w:sz w:val="24"/>
          <w:szCs w:val="24"/>
          <w:rtl/>
        </w:rPr>
        <w:t xml:space="preserve"> בעניין </w:t>
      </w:r>
      <w:r>
        <w:rPr>
          <w:rFonts w:ascii="David" w:cs="David" w:eastAsia="David" w:hAnsi="David"/>
          <w:b/>
          <w:bCs/>
          <w:sz w:val="24"/>
          <w:szCs w:val="24"/>
          <w:rtl/>
        </w:rPr>
        <w:t xml:space="preserve">המרכז האקדמי</w:t>
      </w:r>
      <w:r>
        <w:rPr>
          <w:rFonts w:ascii="David" w:cs="David" w:eastAsia="David" w:hAnsi="David"/>
          <w:sz w:val="24"/>
          <w:szCs w:val="24"/>
          <w:rtl/>
        </w:rPr>
        <w:t xml:space="preserve"> תואר כוח האכיפה ככוח "המתוחם להשגת תכלית האכיפה ולא מעבר לה", והגבלתו נועדה להגן גם על מעמדו של המיעוט ביחס לרוב.</w:t>
      </w:r>
      <w:r>
        <w:rPr>
          <w:rStyle w:val="FootnoteReference"/>
        </w:rPr>
        <w:footnoteReference w:id="43"/>
      </w:r>
      <w:r>
        <w:rPr>
          <w:rFonts w:ascii="David" w:cs="David" w:eastAsia="David" w:hAnsi="David"/>
          <w:sz w:val="24"/>
          <w:szCs w:val="24"/>
          <w:rtl/>
        </w:rPr>
        <w:t xml:space="preserve"> בעניין </w:t>
      </w:r>
      <w:r>
        <w:rPr>
          <w:rFonts w:ascii="David" w:cs="David" w:eastAsia="David" w:hAnsi="David"/>
          <w:b/>
          <w:bCs/>
          <w:sz w:val="24"/>
          <w:szCs w:val="24"/>
          <w:rtl/>
        </w:rPr>
        <w:t xml:space="preserve">טבקה</w:t>
      </w:r>
      <w:r>
        <w:rPr>
          <w:rFonts w:ascii="David" w:cs="David" w:eastAsia="David" w:hAnsi="David"/>
          <w:sz w:val="24"/>
          <w:szCs w:val="24"/>
          <w:rtl/>
        </w:rPr>
        <w:t xml:space="preserve"> נקבע שדרישת הזדהות לפי חוק החזקת תעודת זהות אינה מותנית בחשד סביר, אך מחייבת זיקה עניינית לפרטי התעודה, ואינה מתירה "מסע דיג" או פעולות שיטור נוספות בלי חשד.</w:t>
      </w:r>
      <w:r>
        <w:rPr>
          <w:rStyle w:val="FootnoteReference"/>
        </w:rPr>
        <w:footnoteReference w:id="44"/>
      </w:r>
      <w:r>
        <w:rPr>
          <w:rFonts w:ascii="David" w:cs="David" w:eastAsia="David" w:hAnsi="David"/>
          <w:sz w:val="24"/>
          <w:szCs w:val="24"/>
          <w:rtl/>
        </w:rPr>
        <w:t xml:space="preserve"> בית המשפט ציין שהסמכות הופעלה שנים בלי אמות מידה גלויות, ושממצאי ועדת פלמור הצביעו על שימוש סלקטיבי שהוביל להפליה גם בלי כוונה. לפי חוות דעת שהוגשה, נהלים מפורטים ותבחינים ברורים שיפרו את יעילות המשטרה וצמצמו שימוש בסטריאוטיפים.</w:t>
      </w:r>
      <w:r>
        <w:rPr>
          <w:rStyle w:val="FootnoteReference"/>
        </w:rPr>
        <w:footnoteReference w:id="45"/>
      </w:r>
    </w:p>
    <w:p>
      <w:pPr>
        <w:bidi/>
        <w:spacing w:after="120" w:line="360"/>
        <w:ind w:firstLine="0"/>
        <w:jc w:val="both"/>
      </w:pPr>
      <w:r>
        <w:rPr>
          <w:rFonts w:ascii="David" w:cs="David" w:eastAsia="David" w:hAnsi="David"/>
          <w:sz w:val="24"/>
          <w:szCs w:val="24"/>
          <w:rtl/>
        </w:rPr>
        <w:t xml:space="preserve">פקודת המשטרה מגדירה את תפקידי המשטרה,</w:t>
      </w:r>
      <w:r>
        <w:rPr>
          <w:rStyle w:val="FootnoteReference"/>
        </w:rPr>
        <w:footnoteReference w:id="46"/>
      </w:r>
      <w:r>
        <w:rPr>
          <w:rFonts w:ascii="David" w:cs="David" w:eastAsia="David" w:hAnsi="David"/>
          <w:sz w:val="24"/>
          <w:szCs w:val="24"/>
          <w:rtl/>
        </w:rPr>
        <w:t xml:space="preserve"> תפקידה כולל גם הגנה על זכויות יסוד, ולא רק שמירה על הסדר.</w:t>
      </w:r>
      <w:r>
        <w:rPr>
          <w:rStyle w:val="FootnoteReference"/>
        </w:rPr>
        <w:footnoteReference w:id="47"/>
      </w:r>
      <w:r>
        <w:rPr>
          <w:rFonts w:ascii="David" w:cs="David" w:eastAsia="David" w:hAnsi="David"/>
          <w:sz w:val="24"/>
          <w:szCs w:val="24"/>
          <w:rtl/>
        </w:rPr>
        <w:t xml:space="preserve"> אך תיאור תפקידים אינו מקור סמכות לפגיעה בזכויות, ותועלת מבצעית אינה מחליפה הסמכה מפורשת בחוק.</w:t>
      </w:r>
      <w:r>
        <w:rPr>
          <w:rStyle w:val="FootnoteReference"/>
        </w:rPr>
        <w:footnoteReference w:id="48"/>
      </w:r>
      <w:r>
        <w:rPr>
          <w:rFonts w:ascii="David" w:cs="David" w:eastAsia="David" w:hAnsi="David"/>
          <w:sz w:val="24"/>
          <w:szCs w:val="24"/>
          <w:rtl/>
        </w:rPr>
        <w:t xml:space="preserve"> השופט שטיין ניסח זאת כך: "עולמן של סמכויות השררה הוא עולם של מילים מפורשות".</w:t>
      </w:r>
      <w:r>
        <w:rPr>
          <w:rStyle w:val="FootnoteReference"/>
        </w:rPr>
        <w:footnoteReference w:id="49"/>
      </w:r>
      <w:r>
        <w:rPr>
          <w:rFonts w:ascii="David" w:cs="David" w:eastAsia="David" w:hAnsi="David"/>
          <w:sz w:val="24"/>
          <w:szCs w:val="24"/>
          <w:rtl/>
        </w:rPr>
        <w:t xml:space="preserve"> לכן יעדים ארגוניים ותוכניות פעולה אינם מרחיבים את סמכויות השוטר. סמכויות העיכוב מוסדרות בחוק המעצרים,</w:t>
      </w:r>
      <w:r>
        <w:rPr>
          <w:rStyle w:val="FootnoteReference"/>
        </w:rPr>
        <w:footnoteReference w:id="50"/>
      </w:r>
      <w:r>
        <w:rPr>
          <w:rFonts w:ascii="David" w:cs="David" w:eastAsia="David" w:hAnsi="David"/>
          <w:sz w:val="24"/>
          <w:szCs w:val="24"/>
          <w:rtl/>
        </w:rPr>
        <w:t xml:space="preserve"> שמשקף איזון בין ביטחון הציבור לבין זכויות הפרט.</w:t>
      </w:r>
      <w:r>
        <w:rPr>
          <w:rStyle w:val="FootnoteReference"/>
        </w:rPr>
        <w:footnoteReference w:id="51"/>
      </w:r>
    </w:p>
    <w:p>
      <w:pPr>
        <w:bidi/>
        <w:spacing w:after="120" w:line="360"/>
        <w:ind w:firstLine="0"/>
        <w:jc w:val="both"/>
      </w:pPr>
      <w:r>
        <w:rPr>
          <w:rFonts w:ascii="David" w:cs="David" w:eastAsia="David" w:hAnsi="David"/>
          <w:sz w:val="24"/>
          <w:szCs w:val="24"/>
          <w:rtl/>
        </w:rPr>
        <w:t xml:space="preserve">חשד סביר נבחן במבחן אובייקטיבי, לפי נסיבות המפגש.</w:t>
      </w:r>
      <w:r>
        <w:rPr>
          <w:rStyle w:val="FootnoteReference"/>
        </w:rPr>
        <w:footnoteReference w:id="52"/>
      </w:r>
      <w:r>
        <w:rPr>
          <w:rFonts w:ascii="David" w:cs="David" w:eastAsia="David" w:hAnsi="David"/>
          <w:sz w:val="24"/>
          <w:szCs w:val="24"/>
          <w:rtl/>
        </w:rPr>
        <w:t xml:space="preserve"> תיאור חיצוני כללי אינו מקים סמכות עיכוב,</w:t>
      </w:r>
      <w:r>
        <w:rPr>
          <w:rStyle w:val="FootnoteReference"/>
        </w:rPr>
        <w:footnoteReference w:id="53"/>
      </w:r>
      <w:r>
        <w:rPr>
          <w:rFonts w:ascii="David" w:cs="David" w:eastAsia="David" w:hAnsi="David"/>
          <w:sz w:val="24"/>
          <w:szCs w:val="24"/>
          <w:rtl/>
        </w:rPr>
        <w:t xml:space="preserve"> וחיפוש ללא חשד פרטני מחייב הסמכה מפורשת, שעשויה "להגביר את הפיקוח על החלטות הרשות, לצמצם את החשש לפגיעה לא מידתית בזכויות, ולהבטיח כי יתקיים דיון ציבורי".</w:t>
      </w:r>
      <w:r>
        <w:rPr>
          <w:rStyle w:val="FootnoteReference"/>
        </w:rPr>
        <w:footnoteReference w:id="54"/>
      </w:r>
      <w:r>
        <w:rPr>
          <w:rFonts w:ascii="David" w:cs="David" w:eastAsia="David" w:hAnsi="David"/>
          <w:sz w:val="24"/>
          <w:szCs w:val="24"/>
          <w:rtl/>
        </w:rPr>
        <w:t xml:space="preserve"> גם החקיקה שנועדה למאבק בנשק אינה מתירה חיפוש גורף: חוק הסמכויות לשמירה על ביטחון הציבור מתיר חיפוש ללא צו רק כשיש חשד סביר שאדם נושא נשק שלא כדין או עומד לבצע עבירת אלימות.</w:t>
      </w:r>
      <w:r>
        <w:rPr>
          <w:rStyle w:val="FootnoteReference"/>
        </w:rPr>
        <w:footnoteReference w:id="55"/>
      </w:r>
      <w:r>
        <w:rPr>
          <w:rFonts w:ascii="David" w:cs="David" w:eastAsia="David" w:hAnsi="David"/>
          <w:sz w:val="24"/>
          <w:szCs w:val="24"/>
          <w:rtl/>
        </w:rPr>
        <w:t xml:space="preserve"> נקודת תורפה נוספת היא ההסכמה. בעניין </w:t>
      </w:r>
      <w:r>
        <w:rPr>
          <w:rFonts w:ascii="David" w:cs="David" w:eastAsia="David" w:hAnsi="David"/>
          <w:b/>
          <w:bCs/>
          <w:sz w:val="24"/>
          <w:szCs w:val="24"/>
          <w:rtl/>
        </w:rPr>
        <w:t xml:space="preserve">בן חיים</w:t>
      </w:r>
      <w:r>
        <w:rPr>
          <w:rFonts w:ascii="David" w:cs="David" w:eastAsia="David" w:hAnsi="David"/>
          <w:sz w:val="24"/>
          <w:szCs w:val="24"/>
          <w:rtl/>
        </w:rPr>
        <w:t xml:space="preserve"> נקבע שחיפוש בהסכמה כשר רק אם ההסכמה מדעת, ושעל השוטר להבהיר שהאדם רשאי לסרב ושהסירוב לא ייזקף לחובתו.</w:t>
      </w:r>
      <w:r>
        <w:rPr>
          <w:rStyle w:val="FootnoteReference"/>
        </w:rPr>
        <w:footnoteReference w:id="56"/>
      </w:r>
      <w:r>
        <w:rPr>
          <w:rFonts w:ascii="David" w:cs="David" w:eastAsia="David" w:hAnsi="David"/>
          <w:sz w:val="24"/>
          <w:szCs w:val="24"/>
          <w:rtl/>
        </w:rPr>
        <w:t xml:space="preserve"> הרמלין מטיל ספק בכך שהסכמה אמיתית אפשרית במפגש עם שוטרים חמושים, בפערי כוח מובנים,</w:t>
      </w:r>
      <w:r>
        <w:rPr>
          <w:rStyle w:val="FootnoteReference"/>
        </w:rPr>
        <w:footnoteReference w:id="57"/>
      </w:r>
      <w:r>
        <w:rPr>
          <w:rFonts w:ascii="David" w:cs="David" w:eastAsia="David" w:hAnsi="David"/>
          <w:sz w:val="24"/>
          <w:szCs w:val="24"/>
          <w:rtl/>
        </w:rPr>
        <w:t xml:space="preserve"> והרדוף מוסיף שחפים מפשע מסכימים לחיפוש משום שאינם מאמינים שיוכלו לסרב, ושהפגיעה כמעט אינה מגיעה לבית המשפט משום שלא מוגש כתב אישום.</w:t>
      </w:r>
      <w:r>
        <w:rPr>
          <w:rStyle w:val="FootnoteReference"/>
        </w:rPr>
        <w:footnoteReference w:id="58"/>
      </w:r>
      <w:r>
        <w:rPr>
          <w:rFonts w:ascii="David" w:cs="David" w:eastAsia="David" w:hAnsi="David"/>
          <w:sz w:val="24"/>
          <w:szCs w:val="24"/>
          <w:rtl/>
        </w:rPr>
        <w:t xml:space="preserve"> בדיון הנוסף בעניין </w:t>
      </w:r>
      <w:r>
        <w:rPr>
          <w:rFonts w:ascii="David" w:cs="David" w:eastAsia="David" w:hAnsi="David"/>
          <w:b/>
          <w:bCs/>
          <w:sz w:val="24"/>
          <w:szCs w:val="24"/>
          <w:rtl/>
        </w:rPr>
        <w:t xml:space="preserve">טבקה</w:t>
      </w:r>
      <w:r>
        <w:rPr>
          <w:rFonts w:ascii="David" w:cs="David" w:eastAsia="David" w:hAnsi="David"/>
          <w:sz w:val="24"/>
          <w:szCs w:val="24"/>
          <w:rtl/>
        </w:rPr>
        <w:t xml:space="preserve"> הבהיר המשנה לנשיאה הנדל שההלכה חלה כשהאדם מעוכב, ושהשאלה מה מותר לשוטר כשהאדם "חופשי לעזוב" לא הוכרעה.</w:t>
      </w:r>
      <w:r>
        <w:rPr>
          <w:rStyle w:val="FootnoteReference"/>
        </w:rPr>
        <w:footnoteReference w:id="59"/>
      </w:r>
      <w:r>
        <w:rPr>
          <w:rFonts w:ascii="David" w:cs="David" w:eastAsia="David" w:hAnsi="David"/>
          <w:sz w:val="24"/>
          <w:szCs w:val="24"/>
          <w:rtl/>
        </w:rPr>
        <w:t xml:space="preserve"> בבג"ץ 244/23 הבהיר בית המשפט שאין להסתפק ב"חשש" כללי כשהדין דורש יסוד סביר לחשד.</w:t>
      </w:r>
      <w:r>
        <w:rPr>
          <w:rStyle w:val="FootnoteReference"/>
        </w:rPr>
        <w:footnoteReference w:id="60"/>
      </w:r>
      <w:r>
        <w:rPr>
          <w:rFonts w:ascii="David" w:cs="David" w:eastAsia="David" w:hAnsi="David"/>
          <w:sz w:val="24"/>
          <w:szCs w:val="24"/>
          <w:rtl/>
        </w:rPr>
        <w:t xml:space="preserve"> לכן יש להבחין בין נוכחות באזור שהוגדר כמוקד פשיעה לבין בסיס פרטני לפעולה כלפי אדם. גם בחירת היעדים כפופה לדיני השוויון: מותרת אכיפה חלקית שנובעת ממגבלת משאבים, אך לא אכיפה בררנית שמבוססת על שיקול זר.</w:t>
      </w:r>
      <w:r>
        <w:rPr>
          <w:rStyle w:val="FootnoteReference"/>
        </w:rPr>
        <w:footnoteReference w:id="61"/>
      </w:r>
      <w:r>
        <w:rPr>
          <w:rFonts w:ascii="David" w:cs="David" w:eastAsia="David" w:hAnsi="David"/>
          <w:sz w:val="24"/>
          <w:szCs w:val="24"/>
          <w:rtl/>
        </w:rPr>
        <w:t xml:space="preserve"> בעניין </w:t>
      </w:r>
      <w:r>
        <w:rPr>
          <w:rFonts w:ascii="David" w:cs="David" w:eastAsia="David" w:hAnsi="David"/>
          <w:b/>
          <w:bCs/>
          <w:sz w:val="24"/>
          <w:szCs w:val="24"/>
          <w:rtl/>
        </w:rPr>
        <w:t xml:space="preserve">בורוביץ</w:t>
      </w:r>
      <w:r>
        <w:rPr>
          <w:rFonts w:ascii="David" w:cs="David" w:eastAsia="David" w:hAnsi="David"/>
          <w:sz w:val="24"/>
          <w:szCs w:val="24"/>
          <w:rtl/>
        </w:rPr>
        <w:t xml:space="preserve"> הוסבר שאכיפה בררנית פוגעת בשוויון בפני החוק ובתחושת הצדק,</w:t>
      </w:r>
      <w:r>
        <w:rPr>
          <w:rStyle w:val="FootnoteReference"/>
        </w:rPr>
        <w:footnoteReference w:id="62"/>
      </w:r>
      <w:r>
        <w:rPr>
          <w:rFonts w:ascii="David" w:cs="David" w:eastAsia="David" w:hAnsi="David"/>
          <w:sz w:val="24"/>
          <w:szCs w:val="24"/>
          <w:rtl/>
        </w:rPr>
        <w:t xml:space="preserve"> ובעניין </w:t>
      </w:r>
      <w:r>
        <w:rPr>
          <w:rFonts w:ascii="David" w:cs="David" w:eastAsia="David" w:hAnsi="David"/>
          <w:b/>
          <w:bCs/>
          <w:sz w:val="24"/>
          <w:szCs w:val="24"/>
          <w:rtl/>
        </w:rPr>
        <w:t xml:space="preserve">פרץ</w:t>
      </w:r>
      <w:r>
        <w:rPr>
          <w:rFonts w:ascii="David" w:cs="David" w:eastAsia="David" w:hAnsi="David"/>
          <w:sz w:val="24"/>
          <w:szCs w:val="24"/>
          <w:rtl/>
        </w:rPr>
        <w:t xml:space="preserve"> נקבע מבחן: הגדרת קבוצת השוויון, בדיקה אם יש הבחנה רלוונטית בין המקרים, ובחינה אם האכיפה נבעה משיקולים ענייניים.</w:t>
      </w:r>
      <w:r>
        <w:rPr>
          <w:rStyle w:val="FootnoteReference"/>
        </w:rPr>
        <w:footnoteReference w:id="63"/>
      </w:r>
      <w:r>
        <w:rPr>
          <w:rFonts w:ascii="David" w:cs="David" w:eastAsia="David" w:hAnsi="David"/>
          <w:sz w:val="24"/>
          <w:szCs w:val="24"/>
          <w:rtl/>
        </w:rPr>
        <w:t xml:space="preserve"> המשטרה רשאית לקבוע סדרי עדיפויות לפי המידע והמשאבים שבידיה, אך עליה להצביע על דרך פעולה סבירה,</w:t>
      </w:r>
      <w:r>
        <w:rPr>
          <w:rStyle w:val="FootnoteReference"/>
        </w:rPr>
        <w:footnoteReference w:id="64"/>
      </w:r>
      <w:r>
        <w:rPr>
          <w:rFonts w:ascii="David" w:cs="David" w:eastAsia="David" w:hAnsi="David"/>
          <w:sz w:val="24"/>
          <w:szCs w:val="24"/>
          <w:rtl/>
        </w:rPr>
        <w:t xml:space="preserve"> וסדרי העדיפויות אסור שיתמקדו באופן שרירותי בחלק מקבוצת השוויון.</w:t>
      </w:r>
      <w:r>
        <w:rPr>
          <w:rStyle w:val="FootnoteReference"/>
        </w:rPr>
        <w:footnoteReference w:id="65"/>
      </w:r>
    </w:p>
    <w:p>
      <w:pPr>
        <w:bidi/>
        <w:spacing w:after="120" w:line="360"/>
        <w:ind w:firstLine="0"/>
        <w:jc w:val="both"/>
      </w:pPr>
      <w:r>
        <w:rPr>
          <w:rFonts w:ascii="David" w:cs="David" w:eastAsia="David" w:hAnsi="David"/>
          <w:sz w:val="24"/>
          <w:szCs w:val="24"/>
          <w:rtl/>
        </w:rPr>
        <w:t xml:space="preserve">דוח האקדמיות הלאומיות בחן את השיטור היזום בארבעה תחומים: חוקיות, פשיעה ואי-סדר, תגובות הקהילה והטיה גזעית.</w:t>
      </w:r>
      <w:r>
        <w:rPr>
          <w:rStyle w:val="FootnoteReference"/>
        </w:rPr>
        <w:footnoteReference w:id="66"/>
      </w:r>
      <w:r>
        <w:rPr>
          <w:rFonts w:ascii="David" w:cs="David" w:eastAsia="David" w:hAnsi="David"/>
          <w:sz w:val="24"/>
          <w:szCs w:val="24"/>
          <w:rtl/>
        </w:rPr>
        <w:t xml:space="preserve"> בדומה לכך, המידתיות נבחנת כאן בשתי רמות. ברמה הראשונה היא בוחנת את המפגש הבודד: עוצמת הפגיעה בזכות והצורך בה. ברמה השנייה היא בוחנת את המדיניות שיוצרת את המפגשים. החלטה של תחנה להגביר נוכחות באזור מסוים טעונה הצדקה בפני עצמה, ולא רק כל מפגש שנובע ממנה, והאיזון בין ביטחון לבין זכויות צריך להיבחן כבר בשלב התכנון ולא רק בבית המשפט בדיעבד. השאלה אינה אם יופעל שיקול דעת, שהוא חלק הכרחי מעבודת השוטר, אלא באילו תנאים, לפי אילו תבחינים, איך הוא יתועד ומי יפקח עליו.</w:t>
      </w:r>
    </w:p>
    <w:p>
      <w:pPr>
        <w:pStyle w:val="Heading1"/>
        <w:bidi/>
        <w:spacing w:after="160" w:before="240"/>
        <w:jc w:val="center"/>
      </w:pPr>
      <w:r>
        <w:rPr>
          <w:rFonts w:ascii="David" w:cs="David" w:eastAsia="David" w:hAnsi="David"/>
          <w:b/>
          <w:bCs/>
          <w:sz w:val="32"/>
          <w:szCs w:val="32"/>
          <w:rtl/>
        </w:rPr>
        <w:t xml:space="preserve">3. רפורמת אמו"ן: הרציונל, המבנה ומנגנוני הפעולה</w:t>
      </w:r>
    </w:p>
    <w:p>
      <w:pPr>
        <w:pStyle w:val="Heading2"/>
        <w:bidi/>
        <w:spacing w:after="160" w:before="240"/>
        <w:jc w:val="right"/>
      </w:pPr>
      <w:r>
        <w:rPr>
          <w:rFonts w:ascii="David" w:cs="David" w:eastAsia="David" w:hAnsi="David"/>
          <w:b/>
          <w:bCs/>
          <w:sz w:val="28"/>
          <w:szCs w:val="28"/>
          <w:rtl/>
        </w:rPr>
        <w:t xml:space="preserve">3.1 הרקע להקמת הרפורמה ומטרותיה</w:t>
      </w:r>
    </w:p>
    <w:p>
      <w:pPr>
        <w:bidi/>
        <w:spacing w:after="120" w:line="360"/>
        <w:ind w:firstLine="0"/>
        <w:jc w:val="both"/>
      </w:pPr>
      <w:r>
        <w:rPr>
          <w:rFonts w:ascii="David" w:cs="David" w:eastAsia="David" w:hAnsi="David"/>
          <w:sz w:val="24"/>
          <w:szCs w:val="24"/>
          <w:rtl/>
        </w:rPr>
        <w:t xml:space="preserve">אמו"ן הושקה בסוף שנת 2015 ושולבה בתוכניות העבודה של 2016. פדן מתאר אותה כרפורמה שהוביל המפכ"ל רוני אלשיך, שהציגה תפיסת עולם חדשה ביחס ליעדי המשטרה ולדרכי פעולתה.</w:t>
      </w:r>
      <w:r>
        <w:rPr>
          <w:rStyle w:val="FootnoteReference"/>
        </w:rPr>
        <w:footnoteReference w:id="67"/>
      </w:r>
      <w:r>
        <w:rPr>
          <w:rFonts w:ascii="David" w:cs="David" w:eastAsia="David" w:hAnsi="David"/>
          <w:sz w:val="24"/>
          <w:szCs w:val="24"/>
          <w:rtl/>
        </w:rPr>
        <w:t xml:space="preserve"> לפי מסמכי המשטרה, מטרתה למקד את הארגון בשירות ל"אזרח הנורמטיבי", מתוך תפיסה שמשטרה דמוקרטית אינה יכולה לפעול בלי אמון הציבור.</w:t>
      </w:r>
      <w:r>
        <w:rPr>
          <w:rStyle w:val="FootnoteReference"/>
        </w:rPr>
        <w:footnoteReference w:id="68"/>
      </w:r>
      <w:r>
        <w:rPr>
          <w:rFonts w:ascii="David" w:cs="David" w:eastAsia="David" w:hAnsi="David"/>
          <w:sz w:val="24"/>
          <w:szCs w:val="24"/>
          <w:rtl/>
        </w:rPr>
        <w:t xml:space="preserve"> האמון הוגדר אפוא כמטרה של הרפורמה, ולא כתוצר לוואי. המסמכים מבחינים בין שיטור קלאסי המבוסס על התחנה, שיטור גבוה המכוון על ידי מודיעין ושיטור חכם המבוסס על טכנולוגיה, ואמו"ן שייכת לראשון.</w:t>
      </w:r>
      <w:r>
        <w:rPr>
          <w:rStyle w:val="FootnoteReference"/>
        </w:rPr>
        <w:footnoteReference w:id="69"/>
      </w:r>
      <w:r>
        <w:rPr>
          <w:rFonts w:ascii="David" w:cs="David" w:eastAsia="David" w:hAnsi="David"/>
          <w:sz w:val="24"/>
          <w:szCs w:val="24"/>
          <w:rtl/>
        </w:rPr>
        <w:t xml:space="preserve"> החלוקה מעוררת שאלה על גבולות המענה המקומי, משום שמקורות הנשק והפשיעה המאורגנת חורגים מגזרת התחנה, והשאלה תחזור בדיון על עבירות הירי.</w:t>
      </w:r>
    </w:p>
    <w:p>
      <w:pPr>
        <w:bidi/>
        <w:spacing w:after="120" w:line="360"/>
        <w:ind w:firstLine="0"/>
        <w:jc w:val="both"/>
      </w:pPr>
      <w:r>
        <w:rPr>
          <w:rFonts w:ascii="David" w:cs="David" w:eastAsia="David" w:hAnsi="David"/>
          <w:sz w:val="24"/>
          <w:szCs w:val="24"/>
          <w:rtl/>
        </w:rPr>
        <w:t xml:space="preserve">התוכנית משלבת ארבע גישות שנמצאו אפקטיביות: שיטור מוכוון בעיות, שיטור ממוקד מקום, מניעה מצבית ושיטור קהילתי.</w:t>
      </w:r>
      <w:r>
        <w:rPr>
          <w:rStyle w:val="FootnoteReference"/>
        </w:rPr>
        <w:footnoteReference w:id="70"/>
      </w:r>
      <w:r>
        <w:rPr>
          <w:rFonts w:ascii="David" w:cs="David" w:eastAsia="David" w:hAnsi="David"/>
          <w:sz w:val="24"/>
          <w:szCs w:val="24"/>
          <w:rtl/>
        </w:rPr>
        <w:t xml:space="preserve"> ייחודה בניסיון למסד אותן בכל הארגון,</w:t>
      </w:r>
      <w:r>
        <w:rPr>
          <w:rStyle w:val="FootnoteReference"/>
        </w:rPr>
        <w:footnoteReference w:id="71"/>
      </w:r>
      <w:r>
        <w:rPr>
          <w:rFonts w:ascii="David" w:cs="David" w:eastAsia="David" w:hAnsi="David"/>
          <w:sz w:val="24"/>
          <w:szCs w:val="24"/>
          <w:rtl/>
        </w:rPr>
        <w:t xml:space="preserve"> והיא הוצגה כהמשך להתפתחות השיטור הקלאסי במשטרות מתקדמות.</w:t>
      </w:r>
      <w:r>
        <w:rPr>
          <w:rStyle w:val="FootnoteReference"/>
        </w:rPr>
        <w:footnoteReference w:id="72"/>
      </w:r>
      <w:r>
        <w:rPr>
          <w:rFonts w:ascii="David" w:cs="David" w:eastAsia="David" w:hAnsi="David"/>
          <w:sz w:val="24"/>
          <w:szCs w:val="24"/>
          <w:rtl/>
        </w:rPr>
        <w:t xml:space="preserve"> מכאן שיש לבחון אותה לפי אותם קריטריונים שלפיהם נבחנו התוכניות שעליהן היא נשענת. המונח "אזרח נורמטיבי" נשמע מובן מאליו, אך כשקהילה שלמה נתפסת כמקום שבו הפשיעה נפוצה, קל לטשטש בשטח את ההבחנה בין האזרח לבין סביבתו, ובמסמכים שנבחנו לא נמצא מנגנון ייעודי לשמירה עליה.</w:t>
      </w:r>
    </w:p>
    <w:p>
      <w:pPr>
        <w:pStyle w:val="Heading2"/>
        <w:bidi/>
        <w:spacing w:after="160" w:before="240"/>
        <w:jc w:val="right"/>
      </w:pPr>
      <w:r>
        <w:rPr>
          <w:rFonts w:ascii="David" w:cs="David" w:eastAsia="David" w:hAnsi="David"/>
          <w:b/>
          <w:bCs/>
          <w:sz w:val="28"/>
          <w:szCs w:val="28"/>
          <w:rtl/>
        </w:rPr>
        <w:t xml:space="preserve">3.2 איתור הבעיות, הסריקה והניתוח</w:t>
      </w:r>
    </w:p>
    <w:p>
      <w:pPr>
        <w:bidi/>
        <w:spacing w:after="120" w:line="360"/>
        <w:ind w:firstLine="0"/>
        <w:jc w:val="both"/>
      </w:pPr>
      <w:r>
        <w:rPr>
          <w:rFonts w:ascii="David" w:cs="David" w:eastAsia="David" w:hAnsi="David"/>
          <w:sz w:val="24"/>
          <w:szCs w:val="24"/>
          <w:rtl/>
        </w:rPr>
        <w:t xml:space="preserve">כל תחנה בוחרת שלוש בעיות, כלומר תופעות משמעותיות של פשיעה או הפרת סדר בגזרתה, ומקצה להן את עיקר משאביה.</w:t>
      </w:r>
      <w:r>
        <w:rPr>
          <w:rStyle w:val="FootnoteReference"/>
        </w:rPr>
        <w:footnoteReference w:id="73"/>
      </w:r>
      <w:r>
        <w:rPr>
          <w:rFonts w:ascii="David" w:cs="David" w:eastAsia="David" w:hAnsi="David"/>
          <w:sz w:val="24"/>
          <w:szCs w:val="24"/>
          <w:rtl/>
        </w:rPr>
        <w:t xml:space="preserve"> הבעיות נבחרות ברמה המקומית, והתחנה צריכה להראות בנתונים שהן מרוכזות באזור מוגדר, "פוליגון". בלי ניתוח כזה התוכנית לא אושרה. לשם כך פותחה מערכת מדידה שהייתה נגישה לכל השוטרים. לפחות אחת הבעיות נדרשה לשקף את עמדות התושבים כפי שנמדדו בסקר מקומי, והתחנות התבקשו לקיים שיח עם נבחרי הציבור.</w:t>
      </w:r>
      <w:r>
        <w:rPr>
          <w:rStyle w:val="FootnoteReference"/>
        </w:rPr>
        <w:footnoteReference w:id="74"/>
      </w:r>
      <w:r>
        <w:rPr>
          <w:rFonts w:ascii="David" w:cs="David" w:eastAsia="David" w:hAnsi="David"/>
          <w:sz w:val="24"/>
          <w:szCs w:val="24"/>
          <w:rtl/>
        </w:rPr>
        <w:t xml:space="preserve"> כאשר הציבור מצביע על בעיה והמשטרה מחויבת להתייחס אליה, נוצרת מחויבות כלפי הציבור שאינה תלויה רק בשרשרת הפיקוד. זהו אחד הרכיבים החשובים ברפורמה מבחינת הממד השלישי, משום שהוא מכניס את קול התושבים כבר לשלב הגדרת הבעיה.</w:t>
      </w:r>
    </w:p>
    <w:p>
      <w:pPr>
        <w:bidi/>
        <w:spacing w:after="120" w:line="360"/>
        <w:ind w:firstLine="0"/>
        <w:jc w:val="both"/>
      </w:pPr>
      <w:r>
        <w:rPr>
          <w:rFonts w:ascii="David" w:cs="David" w:eastAsia="David" w:hAnsi="David"/>
          <w:sz w:val="24"/>
          <w:szCs w:val="24"/>
          <w:rtl/>
        </w:rPr>
        <w:t xml:space="preserve">שלב הניתוח נועד להבטיח הבנה של הבעיה לפני בחירת הכלי, והוא מציב רף מקצועי גבוה.</w:t>
      </w:r>
      <w:r>
        <w:rPr>
          <w:rStyle w:val="FootnoteReference"/>
        </w:rPr>
        <w:footnoteReference w:id="75"/>
      </w:r>
      <w:r>
        <w:rPr>
          <w:rFonts w:ascii="David" w:cs="David" w:eastAsia="David" w:hAnsi="David"/>
          <w:sz w:val="24"/>
          <w:szCs w:val="24"/>
          <w:rtl/>
        </w:rPr>
        <w:t xml:space="preserve"> הדרישה לבסס בעיה בנתונים תלויה באיכות הנתונים. כשהם מלאים היא יוצרת מיקוד, וכשהם חסרים היא יוצרת עיוות, משום שהתחנה נדרשת לעמוד ברף מספרי בכלים שאין לה. פרק 5 יראה שזה המצב שנוצר בתחנות שמשרתות אוכלוסייה ערבית.</w:t>
      </w:r>
    </w:p>
    <w:p>
      <w:pPr>
        <w:pStyle w:val="Heading2"/>
        <w:bidi/>
        <w:spacing w:after="160" w:before="240"/>
        <w:jc w:val="right"/>
      </w:pPr>
      <w:r>
        <w:rPr>
          <w:rFonts w:ascii="David" w:cs="David" w:eastAsia="David" w:hAnsi="David"/>
          <w:b/>
          <w:bCs/>
          <w:sz w:val="28"/>
          <w:szCs w:val="28"/>
          <w:rtl/>
        </w:rPr>
        <w:t xml:space="preserve">3.3 תוכניות התקיפה, הקצאת המשאבים ושיתוף הגורמים המקומיים</w:t>
      </w:r>
    </w:p>
    <w:p>
      <w:pPr>
        <w:bidi/>
        <w:spacing w:after="120" w:line="360"/>
        <w:ind w:firstLine="0"/>
        <w:jc w:val="both"/>
      </w:pPr>
      <w:r>
        <w:rPr>
          <w:rFonts w:ascii="David" w:cs="David" w:eastAsia="David" w:hAnsi="David"/>
          <w:sz w:val="24"/>
          <w:szCs w:val="24"/>
          <w:rtl/>
        </w:rPr>
        <w:t xml:space="preserve">לכל בעיה נבנתה "תוכנית תקיפה". שליש מן הפעולות נדרשו להתבסס על מניעה מצבית, והמשאבים אוגמו משלושה מקורות: התחנה, המחוז וגורמים חיצוניים כמו הרשות המקומית. פתרונות של מניעה מצבית ושיתופי פעולה חיצוניים היו תנאי לאישור התוכנית, ולכל בעיה מונה קצין בכיר כמתאם.</w:t>
      </w:r>
      <w:r>
        <w:rPr>
          <w:rStyle w:val="FootnoteReference"/>
        </w:rPr>
        <w:footnoteReference w:id="76"/>
      </w:r>
      <w:r>
        <w:rPr>
          <w:rFonts w:ascii="David" w:cs="David" w:eastAsia="David" w:hAnsi="David"/>
          <w:sz w:val="24"/>
          <w:szCs w:val="24"/>
          <w:rtl/>
        </w:rPr>
        <w:t xml:space="preserve"> המינוי נועד למנוע מצב שבו תוכנית מאושרת ונשכחת, אך תיעוד הביצוע אינו מדידה של התוצאה. הדרישה מעבירה חלק מן האחריות להצלחה לגורמים שאינם כפופים למשטרה, ולכן תחנה שפועלת לצד רשות מקומית חלשה נמצאת בעמדת פתיחה נחותה.</w:t>
      </w:r>
    </w:p>
    <w:p>
      <w:pPr>
        <w:bidi/>
        <w:spacing w:after="120" w:line="360"/>
        <w:ind w:firstLine="0"/>
        <w:jc w:val="both"/>
      </w:pPr>
      <w:r>
        <w:rPr>
          <w:rFonts w:ascii="David" w:cs="David" w:eastAsia="David" w:hAnsi="David"/>
          <w:sz w:val="24"/>
          <w:szCs w:val="24"/>
          <w:rtl/>
        </w:rPr>
        <w:t xml:space="preserve">בחברה הערבית הקושי חריף. אלרן ועמיתיו מסבירים את הפשיעה האלימה בשילוב של מצב כלכלי קשה, פירוק המסגרת החמולתית, נשירה של צעירים ממסגרות חינוך ותעסוקה וזמינות של נשק בלתי חוקי.</w:t>
      </w:r>
      <w:r>
        <w:rPr>
          <w:rStyle w:val="FootnoteReference"/>
        </w:rPr>
        <w:footnoteReference w:id="77"/>
      </w:r>
      <w:r>
        <w:rPr>
          <w:rFonts w:ascii="David" w:cs="David" w:eastAsia="David" w:hAnsi="David"/>
          <w:sz w:val="24"/>
          <w:szCs w:val="24"/>
          <w:rtl/>
        </w:rPr>
        <w:t xml:space="preserve"> מודל שמניח רשת מוסדית מתפקדת פועל בתנאים קשים יותר דווקא במקום שבו הבעיה חמורה יותר. גם מניעה מצבית אינה פטורה מבחינה משפטית: מצלמות מעוררות שאלות של פרטיות, ובירנהק מראה שמערכות לזיהוי מספרי רכב הופעלו בלי הסדר מפורש בחוק.</w:t>
      </w:r>
      <w:r>
        <w:rPr>
          <w:rStyle w:val="FootnoteReference"/>
        </w:rPr>
        <w:footnoteReference w:id="78"/>
      </w:r>
    </w:p>
    <w:p>
      <w:pPr>
        <w:pStyle w:val="Heading2"/>
        <w:bidi/>
        <w:spacing w:after="160" w:before="240"/>
        <w:jc w:val="right"/>
      </w:pPr>
      <w:r>
        <w:rPr>
          <w:rFonts w:ascii="David" w:cs="David" w:eastAsia="David" w:hAnsi="David"/>
          <w:b/>
          <w:bCs/>
          <w:sz w:val="28"/>
          <w:szCs w:val="28"/>
          <w:rtl/>
        </w:rPr>
        <w:t xml:space="preserve">3.4 מדדי ההצלחה, מנגנון ההערכה והסיכונים המשפטיים</w:t>
      </w:r>
    </w:p>
    <w:p>
      <w:pPr>
        <w:bidi/>
        <w:spacing w:after="120" w:line="360"/>
        <w:ind w:firstLine="0"/>
        <w:jc w:val="both"/>
      </w:pPr>
      <w:r>
        <w:rPr>
          <w:rFonts w:ascii="David" w:cs="David" w:eastAsia="David" w:hAnsi="David"/>
          <w:sz w:val="24"/>
          <w:szCs w:val="24"/>
          <w:rtl/>
        </w:rPr>
        <w:t xml:space="preserve">כל תחנה נמדדה מול עצמה, וההצלחה הוגדרה כמניעת פשיעה.</w:t>
      </w:r>
      <w:r>
        <w:rPr>
          <w:rStyle w:val="FootnoteReference"/>
        </w:rPr>
        <w:footnoteReference w:id="79"/>
      </w:r>
      <w:r>
        <w:rPr>
          <w:rFonts w:ascii="David" w:cs="David" w:eastAsia="David" w:hAnsi="David"/>
          <w:sz w:val="24"/>
          <w:szCs w:val="24"/>
          <w:rtl/>
        </w:rPr>
        <w:t xml:space="preserve"> המערכת הציגה את נתוני הפשיעה בתוך הפוליגון ומחוצה לו, לצד ציון על ביצוע תוכנית התקיפה. תחנות יכלו ללמוד זו מזו, ומפקד שמדדיו נמוכים התבקש לבדוק אם הבעיה בתוכנית או ביישומה.</w:t>
      </w:r>
      <w:r>
        <w:rPr>
          <w:rStyle w:val="FootnoteReference"/>
        </w:rPr>
        <w:footnoteReference w:id="80"/>
      </w:r>
      <w:r>
        <w:rPr>
          <w:rFonts w:ascii="David" w:cs="David" w:eastAsia="David" w:hAnsi="David"/>
          <w:sz w:val="24"/>
          <w:szCs w:val="24"/>
          <w:rtl/>
        </w:rPr>
        <w:t xml:space="preserve"> ההבחנה בין תקפות התוכנית לבין איכות הביצוע מובנית אפוא במודל עצמו, והיא תשמש בהמשך גם את הדיון בשאלת המחקר.</w:t>
      </w:r>
    </w:p>
    <w:p>
      <w:pPr>
        <w:bidi/>
        <w:spacing w:after="120" w:line="360"/>
        <w:ind w:firstLine="0"/>
        <w:jc w:val="both"/>
      </w:pPr>
      <w:r>
        <w:rPr>
          <w:rFonts w:ascii="David" w:cs="David" w:eastAsia="David" w:hAnsi="David"/>
          <w:sz w:val="24"/>
          <w:szCs w:val="24"/>
          <w:rtl/>
        </w:rPr>
        <w:t xml:space="preserve">למנגנון יש סיכון מובנה: יעד מספרי משנה את התנהגות העובדים. מתוך הארגון עלתה ביקורת שלפיה תוכניות התקיפה הפכו למטרה בפני עצמה,</w:t>
      </w:r>
      <w:r>
        <w:rPr>
          <w:rStyle w:val="FootnoteReference"/>
        </w:rPr>
        <w:footnoteReference w:id="81"/>
      </w:r>
      <w:r>
        <w:rPr>
          <w:rFonts w:ascii="David" w:cs="David" w:eastAsia="David" w:hAnsi="David"/>
          <w:sz w:val="24"/>
          <w:szCs w:val="24"/>
          <w:rtl/>
        </w:rPr>
        <w:t xml:space="preserve"> כלומר אותה העדפה של אמצעים על פני מטרות שהמודל נועד לתקן. הסיכון המשפטי קרוב לכך. מיקוד באנשים או במקומות בסיכון גבוה צפוי ליצור פערים בהיקף המפגשים,</w:t>
      </w:r>
      <w:r>
        <w:rPr>
          <w:rStyle w:val="FootnoteReference"/>
        </w:rPr>
        <w:footnoteReference w:id="82"/>
      </w:r>
      <w:r>
        <w:rPr>
          <w:rFonts w:ascii="David" w:cs="David" w:eastAsia="David" w:hAnsi="David"/>
          <w:sz w:val="24"/>
          <w:szCs w:val="24"/>
          <w:rtl/>
        </w:rPr>
        <w:t xml:space="preserve"> אך בתיאור הרפורמה אין פירוט של אמות המידה לבחירת האדם שאליו יפנה השוטר בתוך הפוליגון.</w:t>
      </w:r>
      <w:r>
        <w:rPr>
          <w:rStyle w:val="FootnoteReference"/>
        </w:rPr>
        <w:footnoteReference w:id="83"/>
      </w:r>
      <w:r>
        <w:rPr>
          <w:rFonts w:ascii="David" w:cs="David" w:eastAsia="David" w:hAnsi="David"/>
          <w:sz w:val="24"/>
          <w:szCs w:val="24"/>
          <w:rtl/>
        </w:rPr>
        <w:t xml:space="preserve"> אין זה ממצא שהרפורמה הגדילה מפגשים עם אנשים שלא עברו עבירה, אלא הצעה להרחיב את ההערכה. לאור עניין </w:t>
      </w:r>
      <w:r>
        <w:rPr>
          <w:rFonts w:ascii="David" w:cs="David" w:eastAsia="David" w:hAnsi="David"/>
          <w:b/>
          <w:bCs/>
          <w:sz w:val="24"/>
          <w:szCs w:val="24"/>
          <w:rtl/>
        </w:rPr>
        <w:t xml:space="preserve">טבקה</w:t>
      </w:r>
      <w:r>
        <w:rPr>
          <w:rFonts w:ascii="David" w:cs="David" w:eastAsia="David" w:hAnsi="David"/>
          <w:sz w:val="24"/>
          <w:szCs w:val="24"/>
          <w:rtl/>
        </w:rPr>
        <w:t xml:space="preserve">, מודל שמרכז פעילות יזומה באוכלוסייה מוגדרת מגביר את הצורך באמות מידה גלויות. הסיכון מחריף כאשר סדרי העדיפויות של המשטרה נתונים להשפעה פוליטית. בעניין </w:t>
      </w:r>
      <w:r>
        <w:rPr>
          <w:rFonts w:ascii="David" w:cs="David" w:eastAsia="David" w:hAnsi="David"/>
          <w:b/>
          <w:bCs/>
          <w:sz w:val="24"/>
          <w:szCs w:val="24"/>
          <w:rtl/>
        </w:rPr>
        <w:t xml:space="preserve">התנועה למען איכות השלטון</w:t>
      </w:r>
      <w:r>
        <w:rPr>
          <w:rFonts w:ascii="David" w:cs="David" w:eastAsia="David" w:hAnsi="David"/>
          <w:sz w:val="24"/>
          <w:szCs w:val="24"/>
          <w:rtl/>
        </w:rPr>
        <w:t xml:space="preserve"> בוטל סעיף 8ד לפקודת המשטרה, שהסמיך את השר להתוות מדיניות בתחום החקירות, ובית המשפט הבהיר ששימוש פוליטי בסמכויות המשטרה עלול להביא לאכיפת יתר או לאכיפת חסר כלפי קבוצות שונות ולערער את אמון הציבור.</w:t>
      </w:r>
      <w:r>
        <w:rPr>
          <w:rStyle w:val="FootnoteReference"/>
        </w:rPr>
        <w:footnoteReference w:id="84"/>
      </w:r>
    </w:p>
    <w:p>
      <w:pPr>
        <w:pStyle w:val="Heading1"/>
        <w:bidi/>
        <w:spacing w:after="160" w:before="240"/>
        <w:jc w:val="center"/>
      </w:pPr>
      <w:r>
        <w:rPr>
          <w:rFonts w:ascii="David" w:cs="David" w:eastAsia="David" w:hAnsi="David"/>
          <w:b/>
          <w:bCs/>
          <w:sz w:val="32"/>
          <w:szCs w:val="32"/>
          <w:rtl/>
        </w:rPr>
        <w:t xml:space="preserve">4. צעירים ערבים בני 18 עד 24 כמקרה מבחן</w:t>
      </w:r>
    </w:p>
    <w:p>
      <w:pPr>
        <w:pStyle w:val="Heading2"/>
        <w:bidi/>
        <w:spacing w:after="160" w:before="240"/>
        <w:jc w:val="right"/>
      </w:pPr>
      <w:r>
        <w:rPr>
          <w:rFonts w:ascii="David" w:cs="David" w:eastAsia="David" w:hAnsi="David"/>
          <w:b/>
          <w:bCs/>
          <w:sz w:val="28"/>
          <w:szCs w:val="28"/>
          <w:rtl/>
        </w:rPr>
        <w:t xml:space="preserve">4.1 ההצדקה לבחירת קבוצת הגיל</w:t>
      </w:r>
    </w:p>
    <w:p>
      <w:pPr>
        <w:bidi/>
        <w:spacing w:after="120" w:line="360"/>
        <w:ind w:firstLine="0"/>
        <w:jc w:val="both"/>
      </w:pPr>
      <w:r>
        <w:rPr>
          <w:rFonts w:ascii="David" w:cs="David" w:eastAsia="David" w:hAnsi="David"/>
          <w:sz w:val="24"/>
          <w:szCs w:val="24"/>
          <w:rtl/>
        </w:rPr>
        <w:t xml:space="preserve">בקבוצה זו מצטברים ארבעה קשיים: חשיפה גבוהה לפשיעה חמורה, נוכחות אינטנסיבית של אכיפה, טענות לשיטור חסר ולשיטור יתר גם יחד, ואמון נמוך. חלק מן הנתונים נוגעים לחברה הערבית כולה,</w:t>
      </w:r>
      <w:r>
        <w:rPr>
          <w:rStyle w:val="FootnoteReference"/>
        </w:rPr>
        <w:footnoteReference w:id="85"/>
      </w:r>
      <w:r>
        <w:rPr>
          <w:rFonts w:ascii="David" w:cs="David" w:eastAsia="David" w:hAnsi="David"/>
          <w:sz w:val="24"/>
          <w:szCs w:val="24"/>
          <w:rtl/>
        </w:rPr>
        <w:t xml:space="preserve"> ולכן הם משמשים רקע ולא בסיס לייחוס תוצאות לצעירים.</w:t>
      </w:r>
    </w:p>
    <w:p>
      <w:pPr>
        <w:bidi/>
        <w:spacing w:after="120" w:line="360"/>
        <w:ind w:firstLine="0"/>
        <w:jc w:val="both"/>
      </w:pPr>
      <w:r>
        <w:rPr>
          <w:rFonts w:ascii="David" w:cs="David" w:eastAsia="David" w:hAnsi="David"/>
          <w:sz w:val="24"/>
          <w:szCs w:val="24"/>
          <w:rtl/>
        </w:rPr>
        <w:t xml:space="preserve">לצד זאת יש לזכור שני סייגים. הנתונים המשטרתיים מסווגים את הנעצרים כ"לא יהודים", סיווג שאינו זהה לקבוצה הערבית. בנוסף, נתוני מעצרים ותיקים מלמדים על פעילות המשטרה ולא בהכרח על היקף העבריינות, ואינם מספרים דבר על הפגיעה שהצעירים עצמם חווים כקורבנות. הבחירה בקבוצה נועדה אפוא לבחון את נקודת המפגש בין פשיעה, אכיפה ולגיטימציה, ולא להציג אותה כקבוצה עבריינית.</w:t>
      </w:r>
    </w:p>
    <w:p>
      <w:pPr>
        <w:bidi/>
        <w:spacing w:after="120" w:line="360"/>
        <w:ind w:firstLine="0"/>
        <w:jc w:val="both"/>
      </w:pPr>
      <w:r>
        <w:rPr>
          <w:rFonts w:ascii="David" w:cs="David" w:eastAsia="David" w:hAnsi="David"/>
          <w:sz w:val="24"/>
          <w:szCs w:val="24"/>
          <w:rtl/>
        </w:rPr>
        <w:t xml:space="preserve">הנתון המרכזי נוגע להיקף המגע עם האכיפה: 54% מן המעצרים של צעירים לא יהודים בשנת 2023 היו של בני 18 עד 24, ו-49% מכתבי האישום של התביעה המשטרתית נגד צעירים לא יהודים הוגשו נגד בני קבוצת גיל זו.</w:t>
      </w:r>
      <w:r>
        <w:rPr>
          <w:rStyle w:val="FootnoteReference"/>
        </w:rPr>
        <w:footnoteReference w:id="86"/>
      </w:r>
      <w:r>
        <w:rPr>
          <w:rFonts w:ascii="David" w:cs="David" w:eastAsia="David" w:hAnsi="David"/>
          <w:sz w:val="24"/>
          <w:szCs w:val="24"/>
          <w:rtl/>
        </w:rPr>
        <w:t xml:space="preserve"> מסמך הכנסת מבחין בין בני 18 עד 24 לבין בני 25 עד 34, וכך מאפשר השוואה בין קבוצות אוכלוסייה בגיל זהה ומוציא מן הדיון את ההסדרים המיוחדים לקטינים. זהו גם גיל של מעבר ממסגרות החינוך לשוק העבודה, ואלרן ועמיתיו מונים את הנשירה ממסגרות אלה בין הגורמים לאלימות.</w:t>
      </w:r>
      <w:r>
        <w:rPr>
          <w:rStyle w:val="FootnoteReference"/>
        </w:rPr>
        <w:footnoteReference w:id="87"/>
      </w:r>
      <w:r>
        <w:rPr>
          <w:rFonts w:ascii="David" w:cs="David" w:eastAsia="David" w:hAnsi="David"/>
          <w:sz w:val="24"/>
          <w:szCs w:val="24"/>
          <w:rtl/>
        </w:rPr>
        <w:t xml:space="preserve"> יש לזכור גם שהחברה הערבית אינה קהילה אחת, אלא מכלול של קהילות, מסורתיות ומודרניות, מוסלמיות ונוצריות, כפריות ועירוניות.</w:t>
      </w:r>
      <w:r>
        <w:rPr>
          <w:rStyle w:val="FootnoteReference"/>
        </w:rPr>
        <w:footnoteReference w:id="88"/>
      </w:r>
      <w:r>
        <w:rPr>
          <w:rFonts w:ascii="David" w:cs="David" w:eastAsia="David" w:hAnsi="David"/>
          <w:sz w:val="24"/>
          <w:szCs w:val="24"/>
          <w:rtl/>
        </w:rPr>
        <w:t xml:space="preserve"> בנוסף, צעירים משתתפים יותר במחאות, ובעניין </w:t>
      </w:r>
      <w:r>
        <w:rPr>
          <w:rFonts w:ascii="David" w:cs="David" w:eastAsia="David" w:hAnsi="David"/>
          <w:b/>
          <w:bCs/>
          <w:sz w:val="24"/>
          <w:szCs w:val="24"/>
          <w:rtl/>
        </w:rPr>
        <w:t xml:space="preserve">דיאב</w:t>
      </w:r>
      <w:r>
        <w:rPr>
          <w:rFonts w:ascii="David" w:cs="David" w:eastAsia="David" w:hAnsi="David"/>
          <w:sz w:val="24"/>
          <w:szCs w:val="24"/>
          <w:rtl/>
        </w:rPr>
        <w:t xml:space="preserve"> ובעניין </w:t>
      </w:r>
      <w:r>
        <w:rPr>
          <w:rFonts w:ascii="David" w:cs="David" w:eastAsia="David" w:hAnsi="David"/>
          <w:b/>
          <w:bCs/>
          <w:sz w:val="24"/>
          <w:szCs w:val="24"/>
          <w:rtl/>
        </w:rPr>
        <w:t xml:space="preserve">עבאס</w:t>
      </w:r>
      <w:r>
        <w:rPr>
          <w:rFonts w:ascii="David" w:cs="David" w:eastAsia="David" w:hAnsi="David"/>
          <w:sz w:val="24"/>
          <w:szCs w:val="24"/>
          <w:rtl/>
        </w:rPr>
        <w:t xml:space="preserve"> נקבע שאין להפעיל סמכות משטרתית כלפי מפגינים על סמך זהותם הלאומית או על סמך הכללה, אלא רק לפי נסיבות קונקרטיות.</w:t>
      </w:r>
      <w:r>
        <w:rPr>
          <w:rStyle w:val="FootnoteReference"/>
        </w:rPr>
        <w:footnoteReference w:id="89"/>
      </w:r>
    </w:p>
    <w:p>
      <w:pPr>
        <w:pStyle w:val="Heading2"/>
        <w:bidi/>
        <w:spacing w:after="160" w:before="240"/>
        <w:jc w:val="right"/>
      </w:pPr>
      <w:r>
        <w:rPr>
          <w:rFonts w:ascii="David" w:cs="David" w:eastAsia="David" w:hAnsi="David"/>
          <w:b/>
          <w:bCs/>
          <w:sz w:val="28"/>
          <w:szCs w:val="28"/>
          <w:rtl/>
        </w:rPr>
        <w:t xml:space="preserve">4.2 נשק בלתי חוקי, ירי וחשיפה לעבריינות</w:t>
      </w:r>
    </w:p>
    <w:p>
      <w:pPr>
        <w:bidi/>
        <w:spacing w:after="120" w:line="360"/>
        <w:ind w:firstLine="0"/>
        <w:jc w:val="both"/>
      </w:pPr>
      <w:r>
        <w:rPr>
          <w:rFonts w:ascii="David" w:cs="David" w:eastAsia="David" w:hAnsi="David"/>
          <w:sz w:val="24"/>
          <w:szCs w:val="24"/>
          <w:rtl/>
        </w:rPr>
        <w:t xml:space="preserve">עבירות הירי פוגעות בביטחון התושבים ובאמונם ביכולת המדינה להגן עליהם, והן ניזונות מבעיית המשילות ומחריפות אותה.</w:t>
      </w:r>
      <w:r>
        <w:rPr>
          <w:rStyle w:val="FootnoteReference"/>
        </w:rPr>
        <w:footnoteReference w:id="90"/>
      </w:r>
      <w:r>
        <w:rPr>
          <w:rFonts w:ascii="David" w:cs="David" w:eastAsia="David" w:hAnsi="David"/>
          <w:sz w:val="24"/>
          <w:szCs w:val="24"/>
          <w:rtl/>
        </w:rPr>
        <w:t xml:space="preserve"> לפי מבקר המדינה, יותר מ-70% מעבירות הירי בחברה הערבית בוצעו בידי אזרחים שמוגדרים "נורמטיביים".</w:t>
      </w:r>
      <w:r>
        <w:rPr>
          <w:rStyle w:val="FootnoteReference"/>
        </w:rPr>
        <w:footnoteReference w:id="91"/>
      </w:r>
      <w:r>
        <w:rPr>
          <w:rFonts w:ascii="David" w:cs="David" w:eastAsia="David" w:hAnsi="David"/>
          <w:sz w:val="24"/>
          <w:szCs w:val="24"/>
          <w:rtl/>
        </w:rPr>
        <w:t xml:space="preserve"> הנתון משנה את מבנה הבעיה, משום שהרתעה ממוקדת הראתה אפקט גדול יותר מול כנופיות וקבוצות עברייניות.</w:t>
      </w:r>
      <w:r>
        <w:rPr>
          <w:rStyle w:val="FootnoteReference"/>
        </w:rPr>
        <w:footnoteReference w:id="92"/>
      </w:r>
      <w:r>
        <w:rPr>
          <w:rFonts w:ascii="David" w:cs="David" w:eastAsia="David" w:hAnsi="David"/>
          <w:sz w:val="24"/>
          <w:szCs w:val="24"/>
          <w:rtl/>
        </w:rPr>
        <w:t xml:space="preserve"> מול אוכלוסייה שבה רבים מן היורים אינם עבריינים מוכרים, הכלי עשוי להיות פחות מדויק.</w:t>
      </w:r>
    </w:p>
    <w:p>
      <w:pPr>
        <w:bidi/>
        <w:spacing w:after="120" w:line="360"/>
        <w:ind w:firstLine="0"/>
        <w:jc w:val="both"/>
      </w:pPr>
      <w:r>
        <w:rPr>
          <w:rFonts w:ascii="David" w:cs="David" w:eastAsia="David" w:hAnsi="David"/>
          <w:sz w:val="24"/>
          <w:szCs w:val="24"/>
          <w:rtl/>
        </w:rPr>
        <w:t xml:space="preserve">הנשק מגיע מגניבות מצה"ל, מהברחות מירדן, מייצור ביהודה ושומרון ומגניבות מבתים ומכלי רכב,</w:t>
      </w:r>
      <w:r>
        <w:rPr>
          <w:rStyle w:val="FootnoteReference"/>
        </w:rPr>
        <w:footnoteReference w:id="93"/>
      </w:r>
      <w:r>
        <w:rPr>
          <w:rFonts w:ascii="David" w:cs="David" w:eastAsia="David" w:hAnsi="David"/>
          <w:sz w:val="24"/>
          <w:szCs w:val="24"/>
          <w:rtl/>
        </w:rPr>
        <w:t xml:space="preserve"> וזמינותו היא גורם מרכזי בתופעה.</w:t>
      </w:r>
      <w:r>
        <w:rPr>
          <w:rStyle w:val="FootnoteReference"/>
        </w:rPr>
        <w:footnoteReference w:id="94"/>
      </w:r>
      <w:r>
        <w:rPr>
          <w:rFonts w:ascii="David" w:cs="David" w:eastAsia="David" w:hAnsi="David"/>
          <w:sz w:val="24"/>
          <w:szCs w:val="24"/>
          <w:rtl/>
        </w:rPr>
        <w:t xml:space="preserve"> מודל שבו כל תחנה בוחרת בעיות בגזרתה מתקשה לטפל בגורם שפועל בקנה מידה ארצי. המחוקק הגיב בהחמרה: חוק העונשין קובע עבירות של החזקת נשק ונשיאתו בעונש של עד חמש עשרה שנות מאסר ועונש מינימום של רבע מן העונש המרבי,</w:t>
      </w:r>
      <w:r>
        <w:rPr>
          <w:rStyle w:val="FootnoteReference"/>
        </w:rPr>
        <w:footnoteReference w:id="95"/>
      </w:r>
      <w:r>
        <w:rPr>
          <w:rFonts w:ascii="David" w:cs="David" w:eastAsia="David" w:hAnsi="David"/>
          <w:sz w:val="24"/>
          <w:szCs w:val="24"/>
          <w:rtl/>
        </w:rPr>
        <w:t xml:space="preserve"> ועבירה נפרדת של ירי מנשק חם, בחומרה יתרה באזור מגורים.</w:t>
      </w:r>
      <w:r>
        <w:rPr>
          <w:rStyle w:val="FootnoteReference"/>
        </w:rPr>
        <w:footnoteReference w:id="96"/>
      </w:r>
      <w:r>
        <w:rPr>
          <w:rFonts w:ascii="David" w:cs="David" w:eastAsia="David" w:hAnsi="David"/>
          <w:sz w:val="24"/>
          <w:szCs w:val="24"/>
          <w:rtl/>
        </w:rPr>
        <w:t xml:space="preserve"> עבירות נשק מקימות גם חזקת מסוכנות בהליכי מעצר.</w:t>
      </w:r>
      <w:r>
        <w:rPr>
          <w:rStyle w:val="FootnoteReference"/>
        </w:rPr>
        <w:footnoteReference w:id="97"/>
      </w:r>
      <w:r>
        <w:rPr>
          <w:rFonts w:ascii="David" w:cs="David" w:eastAsia="David" w:hAnsi="David"/>
          <w:sz w:val="24"/>
          <w:szCs w:val="24"/>
          <w:rtl/>
        </w:rPr>
        <w:t xml:space="preserve"> בית המשפט העליון הדגיש את הפגיעה באזרחים תמימים ואת הצורך בענישה ממשית ומרתיעה, גם כלפי מי שאין לו עבר פלילי ובמיוחד כשהירי נעשה ליישוב סכסוכים בסביבת בתי מגורים,</w:t>
      </w:r>
      <w:r>
        <w:rPr>
          <w:rStyle w:val="FootnoteReference"/>
        </w:rPr>
        <w:footnoteReference w:id="98"/>
      </w:r>
      <w:r>
        <w:rPr>
          <w:rFonts w:ascii="David" w:cs="David" w:eastAsia="David" w:hAnsi="David"/>
          <w:sz w:val="24"/>
          <w:szCs w:val="24"/>
          <w:rtl/>
        </w:rPr>
        <w:t xml:space="preserve"> ובית משפט השלום בחדרה ציין שאחת ממטרות ההחמרה היא לחזק את אמון הציבור הערבי ברשויות.</w:t>
      </w:r>
      <w:r>
        <w:rPr>
          <w:rStyle w:val="FootnoteReference"/>
        </w:rPr>
        <w:footnoteReference w:id="99"/>
      </w:r>
      <w:r>
        <w:rPr>
          <w:rFonts w:ascii="David" w:cs="David" w:eastAsia="David" w:hAnsi="David"/>
          <w:sz w:val="24"/>
          <w:szCs w:val="24"/>
          <w:rtl/>
        </w:rPr>
        <w:t xml:space="preserve"> אולם ענישה חמורה אינה מחליפה חקירה מוצלחת, וכאשר שיעור כתבי האישום נמוך, ההחמרה חלה על מעטים בלבד. המבקר תיאר גם איך החסמים בין המשטרה לחברה הערבית מזינים זה את זה ופוגעים באמון, וכך תורמים להתחמשות ולהמשך מעגל הירי.</w:t>
      </w:r>
      <w:r>
        <w:rPr>
          <w:rStyle w:val="FootnoteReference"/>
        </w:rPr>
        <w:footnoteReference w:id="100"/>
      </w:r>
      <w:r>
        <w:rPr>
          <w:rFonts w:ascii="David" w:cs="David" w:eastAsia="David" w:hAnsi="David"/>
          <w:sz w:val="24"/>
          <w:szCs w:val="24"/>
          <w:rtl/>
        </w:rPr>
        <w:t xml:space="preserve"> אזרח שאינו מאמין שהמשטרה תגן עליו עשוי לראות בנשק פתרון סביר, וכל נשק נוסף מגדיל את הסיכוי לאירוע ירי נוסף. לכן שבירת המעגל אינה יכולה להתחיל באכיפה בלבד, והיא מחייבת גם שיקום של האמון ושל היכולת לחקור.</w:t>
      </w:r>
    </w:p>
    <w:p>
      <w:pPr>
        <w:pStyle w:val="Heading2"/>
        <w:bidi/>
        <w:spacing w:after="160" w:before="240"/>
        <w:jc w:val="right"/>
      </w:pPr>
      <w:r>
        <w:rPr>
          <w:rFonts w:ascii="David" w:cs="David" w:eastAsia="David" w:hAnsi="David"/>
          <w:b/>
          <w:bCs/>
          <w:sz w:val="28"/>
          <w:szCs w:val="28"/>
          <w:rtl/>
        </w:rPr>
        <w:t xml:space="preserve">4.3 מעצרים, תיקי חקירה, כתבי אישום ואיכות האכיפה</w:t>
      </w:r>
    </w:p>
    <w:p>
      <w:pPr>
        <w:bidi/>
        <w:spacing w:after="120" w:line="360"/>
        <w:ind w:firstLine="0"/>
        <w:jc w:val="both"/>
      </w:pPr>
      <w:r>
        <w:rPr>
          <w:rFonts w:ascii="David" w:cs="David" w:eastAsia="David" w:hAnsi="David"/>
          <w:sz w:val="24"/>
          <w:szCs w:val="24"/>
          <w:rtl/>
        </w:rPr>
        <w:t xml:space="preserve">בשנים 2023 ו-2024 היו כ-65% מן המעצרים של צעירים מעצרים של לא יהודים.</w:t>
      </w:r>
      <w:r>
        <w:rPr>
          <w:rStyle w:val="FootnoteReference"/>
        </w:rPr>
        <w:footnoteReference w:id="101"/>
      </w:r>
      <w:r>
        <w:rPr>
          <w:rFonts w:ascii="David" w:cs="David" w:eastAsia="David" w:hAnsi="David"/>
          <w:sz w:val="24"/>
          <w:szCs w:val="24"/>
          <w:rtl/>
        </w:rPr>
        <w:t xml:space="preserve"> בשנת 2023 נרשמו לא יהודים ב-46% מן התיקים הגלויים נגד צעירים, ב-50% מתיקי הרכוש, ב-43% מתיקי האלימות וב-50% מתיקי החשיפה, שנפתחים בעקבות פעילות יזומה ולא בעקבות תלונה.</w:t>
      </w:r>
      <w:r>
        <w:rPr>
          <w:rStyle w:val="FootnoteReference"/>
        </w:rPr>
        <w:footnoteReference w:id="102"/>
      </w:r>
      <w:r>
        <w:rPr>
          <w:rFonts w:ascii="David" w:cs="David" w:eastAsia="David" w:hAnsi="David"/>
          <w:sz w:val="24"/>
          <w:szCs w:val="24"/>
          <w:rtl/>
        </w:rPr>
        <w:t xml:space="preserve"> הנתון האחרון מחייב תשומת לב מיוחדת, משום שתיק חשיפה משקף החלטה של שוטר לפעול ולא פנייה של אזרח, ולכן הוא מושפע ישירות מאופן בחירת היעדים של הפעילות היזומה. ייצוג יתר יכול לנבוע ממעורבות גבוהה יותר בעבריינות, מריכוז פעילות משטרתית או מדפוסי דיווח. מסמך הכנסת מציע לבדוק אם מעצרים ותיקים מובילים לכתבי אישום באותה מידה בכל הקבוצות.</w:t>
      </w:r>
      <w:r>
        <w:rPr>
          <w:rStyle w:val="FootnoteReference"/>
        </w:rPr>
        <w:footnoteReference w:id="103"/>
      </w:r>
    </w:p>
    <w:p>
      <w:pPr>
        <w:bidi/>
        <w:spacing w:after="120" w:line="360"/>
        <w:ind w:firstLine="0"/>
        <w:jc w:val="both"/>
      </w:pPr>
      <w:r>
        <w:rPr>
          <w:rFonts w:ascii="David" w:cs="David" w:eastAsia="David" w:hAnsi="David"/>
          <w:sz w:val="24"/>
          <w:szCs w:val="24"/>
          <w:rtl/>
        </w:rPr>
        <w:t xml:space="preserve">בעבירות הירי הכלי הזה חושף קושי חמור. שיעור כתבי האישום היה זניח, בשל קשיים בחקירה ובגיבוש ראיות,</w:t>
      </w:r>
      <w:r>
        <w:rPr>
          <w:rStyle w:val="FootnoteReference"/>
        </w:rPr>
        <w:footnoteReference w:id="104"/>
      </w:r>
      <w:r>
        <w:rPr>
          <w:rFonts w:ascii="David" w:cs="David" w:eastAsia="David" w:hAnsi="David"/>
          <w:sz w:val="24"/>
          <w:szCs w:val="24"/>
          <w:rtl/>
        </w:rPr>
        <w:t xml:space="preserve"> ובשנים 2017 עד 2019 עמד על 3% עד 5% בלבד, לעומת כ-15% בכלל תיקי החקירה בשנת 2019.</w:t>
      </w:r>
      <w:r>
        <w:rPr>
          <w:rStyle w:val="FootnoteReference"/>
        </w:rPr>
        <w:footnoteReference w:id="105"/>
      </w:r>
      <w:r>
        <w:rPr>
          <w:rFonts w:ascii="David" w:cs="David" w:eastAsia="David" w:hAnsi="David"/>
          <w:sz w:val="24"/>
          <w:szCs w:val="24"/>
          <w:rtl/>
        </w:rPr>
        <w:t xml:space="preserve"> המבקר מצא פער בין הגידול במערכים המבצעיים לבין התוספת הקטנה של חוקרים, ועומס שאינו בא לידי ביטוי בתקני התחנות שמשרתות אוכלוסייה ערבית.</w:t>
      </w:r>
      <w:r>
        <w:rPr>
          <w:rStyle w:val="FootnoteReference"/>
        </w:rPr>
        <w:footnoteReference w:id="106"/>
      </w:r>
      <w:r>
        <w:rPr>
          <w:rFonts w:ascii="David" w:cs="David" w:eastAsia="David" w:hAnsi="David"/>
          <w:sz w:val="24"/>
          <w:szCs w:val="24"/>
          <w:rtl/>
        </w:rPr>
        <w:t xml:space="preserve"> מסגרתה של נטפוף מסבירה איך אכיפה מוגברת בתחום אחד מתקיימת לצד הגנה חסרה בתחום אחר.</w:t>
      </w:r>
      <w:r>
        <w:rPr>
          <w:rStyle w:val="FootnoteReference"/>
        </w:rPr>
        <w:footnoteReference w:id="107"/>
      </w:r>
      <w:r>
        <w:rPr>
          <w:rFonts w:ascii="David" w:cs="David" w:eastAsia="David" w:hAnsi="David"/>
          <w:sz w:val="24"/>
          <w:szCs w:val="24"/>
          <w:rtl/>
        </w:rPr>
        <w:t xml:space="preserve"> הנתונים מתייחסים לאוכלוסיות ולתקופות שאינן חופפות, ולכן אינם מוכיחים אפליה. אבל בלי תיעוד של המפגשים היזומים אי אפשר גם לשלול אותה.</w:t>
      </w:r>
    </w:p>
    <w:p>
      <w:pPr>
        <w:pStyle w:val="Heading2"/>
        <w:bidi/>
        <w:spacing w:after="160" w:before="240"/>
        <w:jc w:val="right"/>
      </w:pPr>
      <w:r>
        <w:rPr>
          <w:rFonts w:ascii="David" w:cs="David" w:eastAsia="David" w:hAnsi="David"/>
          <w:b/>
          <w:bCs/>
          <w:sz w:val="28"/>
          <w:szCs w:val="28"/>
          <w:rtl/>
        </w:rPr>
        <w:t xml:space="preserve">4.4 בין שיטור חסר לשיטור יתר: אמון, דיווח ושיתוף פעולה</w:t>
      </w:r>
    </w:p>
    <w:p>
      <w:pPr>
        <w:bidi/>
        <w:spacing w:after="120" w:line="360"/>
        <w:ind w:firstLine="0"/>
        <w:jc w:val="both"/>
      </w:pPr>
      <w:r>
        <w:rPr>
          <w:rFonts w:ascii="David" w:cs="David" w:eastAsia="David" w:hAnsi="David"/>
          <w:sz w:val="24"/>
          <w:szCs w:val="24"/>
          <w:rtl/>
        </w:rPr>
        <w:t xml:space="preserve">חוסר אמון פוגע בנכונות להתלונן ולהעיד, היעדר עדויות מקשה על גיבוש ראיות, ומיעוט כתבי האישום מחזק את התחושה שאין טעם לפנות למשטרה. בסקר משנת 2016, כמחצית מן הנפגעים בחברה הערבית שלא דיווחו למשטרה נימקו זאת בתפקוד המשטרה.</w:t>
      </w:r>
      <w:r>
        <w:rPr>
          <w:rStyle w:val="FootnoteReference"/>
        </w:rPr>
        <w:footnoteReference w:id="108"/>
      </w:r>
      <w:r>
        <w:rPr>
          <w:rFonts w:ascii="David" w:cs="David" w:eastAsia="David" w:hAnsi="David"/>
          <w:sz w:val="24"/>
          <w:szCs w:val="24"/>
          <w:rtl/>
        </w:rPr>
        <w:t xml:space="preserve"> בסקרים של 2019 עד 2023 נרשמה ירידה עקבית בשיעור המשיבים הערבים שהביעו אמון במשטרה (בשנת 2020 לא נערך סקר).</w:t>
      </w:r>
      <w:r>
        <w:rPr>
          <w:rStyle w:val="FootnoteReference"/>
        </w:rPr>
        <w:footnoteReference w:id="109"/>
      </w:r>
      <w:r>
        <w:rPr>
          <w:rFonts w:ascii="David" w:cs="David" w:eastAsia="David" w:hAnsi="David"/>
          <w:sz w:val="24"/>
          <w:szCs w:val="24"/>
          <w:rtl/>
        </w:rPr>
        <w:t xml:space="preserve"> בפרשת אום אל-חיראן ציין בית המשפט העליון שתוצאות האירוע, וההצהרות שנמסרו לפני שהבירור הושלם, העמיקו את משבר האמון עם הקהילה הבדואית.</w:t>
      </w:r>
      <w:r>
        <w:rPr>
          <w:rStyle w:val="FootnoteReference"/>
        </w:rPr>
        <w:footnoteReference w:id="110"/>
      </w:r>
    </w:p>
    <w:p>
      <w:pPr>
        <w:bidi/>
        <w:spacing w:after="120" w:line="360"/>
        <w:ind w:firstLine="0"/>
        <w:jc w:val="both"/>
      </w:pPr>
      <w:r>
        <w:rPr>
          <w:rFonts w:ascii="David" w:cs="David" w:eastAsia="David" w:hAnsi="David"/>
          <w:sz w:val="24"/>
          <w:szCs w:val="24"/>
          <w:rtl/>
        </w:rPr>
        <w:t xml:space="preserve">חסייסי מסביר שבחברה שסועה יחסי המשטרה עם המיעוט אינם מוסברים בכלים הרגילים,</w:t>
      </w:r>
      <w:r>
        <w:rPr>
          <w:rStyle w:val="FootnoteReference"/>
        </w:rPr>
        <w:footnoteReference w:id="111"/>
      </w:r>
      <w:r>
        <w:rPr>
          <w:rFonts w:ascii="David" w:cs="David" w:eastAsia="David" w:hAnsi="David"/>
          <w:sz w:val="24"/>
          <w:szCs w:val="24"/>
          <w:rtl/>
        </w:rPr>
        <w:t xml:space="preserve"> ושפיקוח משטרתי כבד אינו מעיד בהכרח על משילות.</w:t>
      </w:r>
      <w:r>
        <w:rPr>
          <w:rStyle w:val="FootnoteReference"/>
        </w:rPr>
        <w:footnoteReference w:id="112"/>
      </w:r>
      <w:r>
        <w:rPr>
          <w:rFonts w:ascii="David" w:cs="David" w:eastAsia="David" w:hAnsi="David"/>
          <w:sz w:val="24"/>
          <w:szCs w:val="24"/>
          <w:rtl/>
        </w:rPr>
        <w:t xml:space="preserve"> מפקדי תחנות תיארו קושי ממשי בגביית עדויות גם כשיש נכונות לדווח.</w:t>
      </w:r>
      <w:r>
        <w:rPr>
          <w:rStyle w:val="FootnoteReference"/>
        </w:rPr>
        <w:footnoteReference w:id="113"/>
      </w:r>
      <w:r>
        <w:rPr>
          <w:rFonts w:ascii="David" w:cs="David" w:eastAsia="David" w:hAnsi="David"/>
          <w:sz w:val="24"/>
          <w:szCs w:val="24"/>
          <w:rtl/>
        </w:rPr>
        <w:t xml:space="preserve"> חסייסי ווייצר מצאו כבר בסקר משנת 2003 במחוז הצפון שהמשיבים הערבים ביקורתיים כלפי המשטרה יותר מן המשיבים היהודים, גם לאחר פיקוח על משתנים אחרים.</w:t>
      </w:r>
      <w:r>
        <w:rPr>
          <w:rStyle w:val="FootnoteReference"/>
        </w:rPr>
        <w:footnoteReference w:id="114"/>
      </w:r>
      <w:r>
        <w:rPr>
          <w:rFonts w:ascii="David" w:cs="David" w:eastAsia="David" w:hAnsi="David"/>
          <w:sz w:val="24"/>
          <w:szCs w:val="24"/>
          <w:rtl/>
        </w:rPr>
        <w:t xml:space="preserve"> הממצא קדם לרפורמה, ולכן אין לייחס לה את הפער, אך הוא מלמד שעמדות הציבור צריכות להיבחן בהקשר החברתי הרחב. קושי נוסף נוגע לצעירים עצמם: בני נוער וצעירים נחשבים קבוצה פגיעה בחקירה, שנמצאת "בסיכון גבוה למסירת הודאות שווא",</w:t>
      </w:r>
      <w:r>
        <w:rPr>
          <w:rStyle w:val="FootnoteReference"/>
        </w:rPr>
        <w:footnoteReference w:id="115"/>
      </w:r>
      <w:r>
        <w:rPr>
          <w:rFonts w:ascii="David" w:cs="David" w:eastAsia="David" w:hAnsi="David"/>
          <w:sz w:val="24"/>
          <w:szCs w:val="24"/>
          <w:rtl/>
        </w:rPr>
        <w:t xml:space="preserve"> ולכן מפגש לא הוגן עלול לפגוע גם באיכות הראיות. פודם, דרעי וטולדנו מצביעים על כך שפעולה שהשוטר רואה בה אכיפה יעילה עשויה להיתפס בעיני האזרח ככוחנית, ושבירור הוגן של תלונות הוא תנאי להגברת האמון,</w:t>
      </w:r>
      <w:r>
        <w:rPr>
          <w:rStyle w:val="FootnoteReference"/>
        </w:rPr>
        <w:footnoteReference w:id="116"/>
      </w:r>
      <w:r>
        <w:rPr>
          <w:rFonts w:ascii="David" w:cs="David" w:eastAsia="David" w:hAnsi="David"/>
          <w:sz w:val="24"/>
          <w:szCs w:val="24"/>
          <w:rtl/>
        </w:rPr>
        <w:t xml:space="preserve"> ודרומי מדגיש שאכיפה שוויונית ושיטור הוגן מגבירים את הלגיטימציה של המשטרה ואת הציות.</w:t>
      </w:r>
      <w:r>
        <w:rPr>
          <w:rStyle w:val="FootnoteReference"/>
        </w:rPr>
        <w:footnoteReference w:id="117"/>
      </w:r>
      <w:r>
        <w:rPr>
          <w:rFonts w:ascii="David" w:cs="David" w:eastAsia="David" w:hAnsi="David"/>
          <w:sz w:val="24"/>
          <w:szCs w:val="24"/>
          <w:rtl/>
        </w:rPr>
        <w:t xml:space="preserve"> פודם ועמיתיה מוסיפים שבשונה מן האזרחים, שוטרים סבורים שלגיטימיות המשטרה נובעת בעיקר מביצועיה בפועל, ושהוגנות הדרך שבה הם פועלים היא גורם משני.</w:t>
      </w:r>
      <w:r>
        <w:rPr>
          <w:rStyle w:val="FootnoteReference"/>
        </w:rPr>
        <w:footnoteReference w:id="118"/>
      </w:r>
      <w:r>
        <w:rPr>
          <w:rFonts w:ascii="David" w:cs="David" w:eastAsia="David" w:hAnsi="David"/>
          <w:sz w:val="24"/>
          <w:szCs w:val="24"/>
          <w:rtl/>
        </w:rPr>
        <w:t xml:space="preserve"> גם ההגנה על מי שמוסר מידע מוגבלת: ברק-ארז מראה שבתי המשפט הגנו בעיקר על זהותם של מודיעים משטרתיים,</w:t>
      </w:r>
      <w:r>
        <w:rPr>
          <w:rStyle w:val="FootnoteReference"/>
        </w:rPr>
        <w:footnoteReference w:id="119"/>
      </w:r>
      <w:r>
        <w:rPr>
          <w:rFonts w:ascii="David" w:cs="David" w:eastAsia="David" w:hAnsi="David"/>
          <w:sz w:val="24"/>
          <w:szCs w:val="24"/>
          <w:rtl/>
        </w:rPr>
        <w:t xml:space="preserve"> ופסיקה מאוחרת יותר סייגה אף את ההגנה הזו.</w:t>
      </w:r>
      <w:r>
        <w:rPr>
          <w:rStyle w:val="FootnoteReference"/>
        </w:rPr>
        <w:footnoteReference w:id="120"/>
      </w:r>
      <w:r>
        <w:rPr>
          <w:rFonts w:ascii="David" w:cs="David" w:eastAsia="David" w:hAnsi="David"/>
          <w:sz w:val="24"/>
          <w:szCs w:val="24"/>
          <w:rtl/>
        </w:rPr>
        <w:t xml:space="preserve"> הרדוף מזהיר ששימוש במודיעים ובאמצעי מעקב שאינם מוסדרים בחוק עלול לסדוק את האמון החברתי.</w:t>
      </w:r>
      <w:r>
        <w:rPr>
          <w:rStyle w:val="FootnoteReference"/>
        </w:rPr>
        <w:footnoteReference w:id="121"/>
      </w:r>
      <w:r>
        <w:rPr>
          <w:rFonts w:ascii="David" w:cs="David" w:eastAsia="David" w:hAnsi="David"/>
          <w:sz w:val="24"/>
          <w:szCs w:val="24"/>
          <w:rtl/>
        </w:rPr>
        <w:t xml:space="preserve"> הפורום מזכיר את החלטת ממשלה 852, שביקשה לחזק את האכיפה בחברה הערבית על בסיס שיתוף פעולה עם ההנהגה והציבור הערבי, ומציין שהיא לא יושמה.</w:t>
      </w:r>
      <w:r>
        <w:rPr>
          <w:rStyle w:val="FootnoteReference"/>
        </w:rPr>
        <w:footnoteReference w:id="122"/>
      </w:r>
      <w:r>
        <w:rPr>
          <w:rFonts w:ascii="David" w:cs="David" w:eastAsia="David" w:hAnsi="David"/>
          <w:sz w:val="24"/>
          <w:szCs w:val="24"/>
          <w:rtl/>
        </w:rPr>
        <w:t xml:space="preserve"> שחיקת האמון היא אפוא חלק מן האפקטיביות ולא גורם חיצוני לה. אמו"ן נשענת על סקר מקומי ועל נתוני אירועים שחלקם תלויים בדיווח,</w:t>
      </w:r>
      <w:r>
        <w:rPr>
          <w:rStyle w:val="FootnoteReference"/>
        </w:rPr>
        <w:footnoteReference w:id="123"/>
      </w:r>
      <w:r>
        <w:rPr>
          <w:rFonts w:ascii="David" w:cs="David" w:eastAsia="David" w:hAnsi="David"/>
          <w:sz w:val="24"/>
          <w:szCs w:val="24"/>
          <w:rtl/>
        </w:rPr>
        <w:t xml:space="preserve"> ולכן אמון נמוך משנה את תנאי הפעולה של המודל בקבוצה הזו.</w:t>
      </w:r>
    </w:p>
    <w:p>
      <w:pPr>
        <w:pStyle w:val="Heading1"/>
        <w:bidi/>
        <w:spacing w:after="160" w:before="240"/>
        <w:jc w:val="center"/>
      </w:pPr>
      <w:r>
        <w:rPr>
          <w:rFonts w:ascii="David" w:cs="David" w:eastAsia="David" w:hAnsi="David"/>
          <w:b/>
          <w:bCs/>
          <w:sz w:val="32"/>
          <w:szCs w:val="32"/>
          <w:rtl/>
        </w:rPr>
        <w:t xml:space="preserve">5. יישום רפורמת אמו"ן והערכת האפקטיביות שלה</w:t>
      </w:r>
    </w:p>
    <w:p>
      <w:pPr>
        <w:pStyle w:val="Heading2"/>
        <w:bidi/>
        <w:spacing w:after="160" w:before="240"/>
        <w:jc w:val="right"/>
      </w:pPr>
      <w:r>
        <w:rPr>
          <w:rFonts w:ascii="David" w:cs="David" w:eastAsia="David" w:hAnsi="David"/>
          <w:b/>
          <w:bCs/>
          <w:sz w:val="28"/>
          <w:szCs w:val="28"/>
          <w:rtl/>
        </w:rPr>
        <w:t xml:space="preserve">5.1 תוצאות הרפורמה בעבירות רכוש</w:t>
      </w:r>
    </w:p>
    <w:p>
      <w:pPr>
        <w:bidi/>
        <w:spacing w:after="120" w:line="360"/>
        <w:ind w:firstLine="0"/>
        <w:jc w:val="both"/>
      </w:pPr>
      <w:r>
        <w:rPr>
          <w:rFonts w:ascii="David" w:cs="David" w:eastAsia="David" w:hAnsi="David"/>
          <w:sz w:val="24"/>
          <w:szCs w:val="24"/>
          <w:rtl/>
        </w:rPr>
        <w:t xml:space="preserve">המכון לקרימינולוגיה באוניברסיטה העברית העריך את אמו"ן בשיתוף מחלקת האסטרטגיה של המשטרה, בסדרת דוחות לפי סלי עבירות.</w:t>
      </w:r>
      <w:r>
        <w:rPr>
          <w:rStyle w:val="FootnoteReference"/>
        </w:rPr>
        <w:footnoteReference w:id="124"/>
      </w:r>
      <w:r>
        <w:rPr>
          <w:rFonts w:ascii="David" w:cs="David" w:eastAsia="David" w:hAnsi="David"/>
          <w:sz w:val="24"/>
          <w:szCs w:val="24"/>
          <w:rtl/>
        </w:rPr>
        <w:t xml:space="preserve"> בסל הרכוש הושוו שלוש תחנות התערבות, עם היקף גבוה, בינוני ונמוך של פשיעת רכוש, לתחנות ביקורת דומות.</w:t>
      </w:r>
      <w:r>
        <w:rPr>
          <w:rStyle w:val="FootnoteReference"/>
        </w:rPr>
        <w:footnoteReference w:id="125"/>
      </w:r>
      <w:r>
        <w:rPr>
          <w:rFonts w:ascii="David" w:cs="David" w:eastAsia="David" w:hAnsi="David"/>
          <w:sz w:val="24"/>
          <w:szCs w:val="24"/>
          <w:rtl/>
        </w:rPr>
        <w:t xml:space="preserve"> בתחנה שבה הפשיעה הייתה גבוהה נמצאה בתוך הפוליגון ירידה של כ-50% ושל כ-40% בהשוואה לשתי תחנות הביקורת, בלי עדות להתקה, ואף ירידה מובהקת של 17% מחוץ לפוליגון. בתחנה הבינונית התמונה הייתה דומה. בתחנה שבה הפשיעה הייתה נמוכה הירידה לא הייתה מובהקת, והחוקרים ייחסו זאת לשיעור הפשיעה הנמוך ולמיעוט המשאבים, שכן התחנה לא הצליחה לגייס משאבים מן המחוז או מן הרשות המקומית.</w:t>
      </w:r>
      <w:r>
        <w:rPr>
          <w:rStyle w:val="FootnoteReference"/>
        </w:rPr>
        <w:footnoteReference w:id="126"/>
      </w:r>
    </w:p>
    <w:p>
      <w:pPr>
        <w:bidi/>
        <w:spacing w:after="120" w:line="360"/>
        <w:ind w:firstLine="0"/>
        <w:jc w:val="both"/>
      </w:pPr>
      <w:r>
        <w:rPr>
          <w:rFonts w:ascii="David" w:cs="David" w:eastAsia="David" w:hAnsi="David"/>
          <w:sz w:val="24"/>
          <w:szCs w:val="24"/>
          <w:rtl/>
        </w:rPr>
        <w:t xml:space="preserve">שלוש התחנות פעלו לפי אותה תפיסה, אך נבדלו ברמת הפשיעה, במשאבים וביכולת לגייס שותפים. יש אפוא בסיס לראות במשאבים הסבר אפשרי, אך המחקר אינו מבודד את תרומתו של כל גורם. לסל הרכוש יש גם מאפיינים שמקלים על המודל, כמו אמצעי מניעה מצבית של תאורה, מצלמות ומחסומים,</w:t>
      </w:r>
      <w:r>
        <w:rPr>
          <w:rStyle w:val="FootnoteReference"/>
        </w:rPr>
        <w:footnoteReference w:id="127"/>
      </w:r>
      <w:r>
        <w:rPr>
          <w:rFonts w:ascii="David" w:cs="David" w:eastAsia="David" w:hAnsi="David"/>
          <w:sz w:val="24"/>
          <w:szCs w:val="24"/>
          <w:rtl/>
        </w:rPr>
        <w:t xml:space="preserve"> בעוד שבירי קשה למקם אירועים ולהתאים את ההתערבות לסוגי הסכסוכים.</w:t>
      </w:r>
      <w:r>
        <w:rPr>
          <w:rStyle w:val="FootnoteReference"/>
        </w:rPr>
        <w:footnoteReference w:id="128"/>
      </w:r>
      <w:r>
        <w:rPr>
          <w:rFonts w:ascii="David" w:cs="David" w:eastAsia="David" w:hAnsi="David"/>
          <w:sz w:val="24"/>
          <w:szCs w:val="24"/>
          <w:rtl/>
        </w:rPr>
        <w:t xml:space="preserve"> הממצא בסל הרכוש אינו מלמד דבר על איכות המפגשים בפוליגון או על התפלגותם בין קבוצות, משום שהמדדים לא כללו מדד להוגנות המפגש.</w:t>
      </w:r>
      <w:r>
        <w:rPr>
          <w:rStyle w:val="FootnoteReference"/>
        </w:rPr>
        <w:footnoteReference w:id="129"/>
      </w:r>
    </w:p>
    <w:p>
      <w:pPr>
        <w:pStyle w:val="Heading2"/>
        <w:bidi/>
        <w:spacing w:after="160" w:before="240"/>
        <w:jc w:val="right"/>
      </w:pPr>
      <w:r>
        <w:rPr>
          <w:rFonts w:ascii="David" w:cs="David" w:eastAsia="David" w:hAnsi="David"/>
          <w:b/>
          <w:bCs/>
          <w:sz w:val="28"/>
          <w:szCs w:val="28"/>
          <w:rtl/>
        </w:rPr>
        <w:t xml:space="preserve">5.2 תוצאות הרפורמה בעבירות אלימות וירי</w:t>
      </w:r>
    </w:p>
    <w:p>
      <w:pPr>
        <w:bidi/>
        <w:spacing w:after="120" w:line="360"/>
        <w:ind w:firstLine="0"/>
        <w:jc w:val="both"/>
      </w:pPr>
      <w:r>
        <w:rPr>
          <w:rFonts w:ascii="David" w:cs="David" w:eastAsia="David" w:hAnsi="David"/>
          <w:sz w:val="24"/>
          <w:szCs w:val="24"/>
          <w:rtl/>
        </w:rPr>
        <w:t xml:space="preserve">בסל האלימות נמצאה בתוך הפוליגון ירידה לא מובהקת, ומחוצה לו נצפתה ברוב ההשוואות עלייה, מובהקת בשתיים מהן.</w:t>
      </w:r>
      <w:r>
        <w:rPr>
          <w:rStyle w:val="FootnoteReference"/>
        </w:rPr>
        <w:footnoteReference w:id="130"/>
      </w:r>
      <w:r>
        <w:rPr>
          <w:rFonts w:ascii="David" w:cs="David" w:eastAsia="David" w:hAnsi="David"/>
          <w:sz w:val="24"/>
          <w:szCs w:val="24"/>
          <w:rtl/>
        </w:rPr>
        <w:t xml:space="preserve"> החוקרים הציעו שני הסברים, התקה או הסטת משאבים מן השטח שמחוץ לפוליגון, וייחסו את עיקר הכישלון ליישום חלקי ולהגדרה רחבה מדי של הסל, שנבעה מן הצורך לצבור מספר אירועים שמאפשר מדידה.</w:t>
      </w:r>
      <w:r>
        <w:rPr>
          <w:rStyle w:val="FootnoteReference"/>
        </w:rPr>
        <w:footnoteReference w:id="131"/>
      </w:r>
    </w:p>
    <w:p>
      <w:pPr>
        <w:bidi/>
        <w:spacing w:after="120" w:line="360"/>
        <w:ind w:firstLine="0"/>
        <w:jc w:val="both"/>
      </w:pPr>
      <w:r>
        <w:rPr>
          <w:rFonts w:ascii="David" w:cs="David" w:eastAsia="David" w:hAnsi="David"/>
          <w:sz w:val="24"/>
          <w:szCs w:val="24"/>
          <w:rtl/>
        </w:rPr>
        <w:t xml:space="preserve">בסל הירי נערך מחקר תהליך איכותני בארבע תחנות, רובן בחברה הערבית.</w:t>
      </w:r>
      <w:r>
        <w:rPr>
          <w:rStyle w:val="FootnoteReference"/>
        </w:rPr>
        <w:footnoteReference w:id="132"/>
      </w:r>
      <w:r>
        <w:rPr>
          <w:rFonts w:ascii="David" w:cs="David" w:eastAsia="David" w:hAnsi="David"/>
          <w:sz w:val="24"/>
          <w:szCs w:val="24"/>
          <w:rtl/>
        </w:rPr>
        <w:t xml:space="preserve"> מערכות המדידה לא אפשרו למקם אירועים ביישובים ערביים, ולכן המיקוד המרחבי לא יושם ברוב התחנות.</w:t>
      </w:r>
      <w:r>
        <w:rPr>
          <w:rStyle w:val="FootnoteReference"/>
        </w:rPr>
        <w:footnoteReference w:id="133"/>
      </w:r>
      <w:r>
        <w:rPr>
          <w:rFonts w:ascii="David" w:cs="David" w:eastAsia="David" w:hAnsi="David"/>
          <w:sz w:val="24"/>
          <w:szCs w:val="24"/>
          <w:rtl/>
        </w:rPr>
        <w:t xml:space="preserve"> בתוכניות נמצאו רכיבים של הרתעה ממוקדת, אך לא תוכנית שלמה: לא נמצאו מפגשים עם עבריינים ולא רכיבים שיקומיים, ורכיב הקהילה יושם באופן חלקי בשתי תחנות בלבד.</w:t>
      </w:r>
      <w:r>
        <w:rPr>
          <w:rStyle w:val="FootnoteReference"/>
        </w:rPr>
        <w:footnoteReference w:id="134"/>
      </w:r>
      <w:r>
        <w:rPr>
          <w:rFonts w:ascii="David" w:cs="David" w:eastAsia="David" w:hAnsi="David"/>
          <w:sz w:val="24"/>
          <w:szCs w:val="24"/>
          <w:rtl/>
        </w:rPr>
        <w:t xml:space="preserve"> בתחנה שהתמקדה בארבע שכונות נרשמה ירידה משמעותית בירי, אך גם בתחנה שלא הגדירה פוליגון הושגו היעדים.</w:t>
      </w:r>
      <w:r>
        <w:rPr>
          <w:rStyle w:val="FootnoteReference"/>
        </w:rPr>
        <w:footnoteReference w:id="135"/>
      </w:r>
      <w:r>
        <w:rPr>
          <w:rFonts w:ascii="David" w:cs="David" w:eastAsia="David" w:hAnsi="David"/>
          <w:sz w:val="24"/>
          <w:szCs w:val="24"/>
          <w:rtl/>
        </w:rPr>
        <w:t xml:space="preserve"> מאחר שבסל הירי נבחן תהליך ולא אפקט, אי אפשר לומר שהרפורמה נכשלה בו. אפשר לומר שהיא לא יושמה במלואה, ושמערך המחקר מגביל את הערכת השפעתה.</w:t>
      </w:r>
    </w:p>
    <w:p>
      <w:pPr>
        <w:bidi/>
        <w:spacing w:after="120" w:line="360"/>
        <w:ind w:firstLine="0"/>
        <w:jc w:val="both"/>
      </w:pPr>
      <w:r>
        <w:rPr>
          <w:rFonts w:ascii="David" w:cs="David" w:eastAsia="David" w:hAnsi="David"/>
          <w:sz w:val="24"/>
          <w:szCs w:val="24"/>
          <w:rtl/>
        </w:rPr>
        <w:t xml:space="preserve">בשני הסלים יש הבדלים ניכרים בין תחנות ובין סוגי בעיות. התמונה אינה מצדיקה קביעה גורפת שהמודל נכשל בישראל, אך גם אינה מוכיחה שהוא מתאים לכל בעיה. היא מחייבת לבחון יחד את איכות הניתוח, את המשאבים, את בחירת הכלים ואת סוג העבירה, ולהביא בחשבון שכל סל נבדק במערך מחקר אחר.</w:t>
      </w:r>
    </w:p>
    <w:p>
      <w:pPr>
        <w:pStyle w:val="Heading2"/>
        <w:bidi/>
        <w:spacing w:after="160" w:before="240"/>
        <w:jc w:val="right"/>
      </w:pPr>
      <w:r>
        <w:rPr>
          <w:rFonts w:ascii="David" w:cs="David" w:eastAsia="David" w:hAnsi="David"/>
          <w:b/>
          <w:bCs/>
          <w:sz w:val="28"/>
          <w:szCs w:val="28"/>
          <w:rtl/>
        </w:rPr>
        <w:t xml:space="preserve">5.3 הטמעת הרפורמה, משאבים ותפקוד התחנות</w:t>
      </w:r>
    </w:p>
    <w:p>
      <w:pPr>
        <w:bidi/>
        <w:spacing w:after="120" w:line="360"/>
        <w:ind w:firstLine="0"/>
        <w:jc w:val="both"/>
      </w:pPr>
      <w:r>
        <w:rPr>
          <w:rFonts w:ascii="David" w:cs="David" w:eastAsia="David" w:hAnsi="David"/>
          <w:sz w:val="24"/>
          <w:szCs w:val="24"/>
          <w:rtl/>
        </w:rPr>
        <w:t xml:space="preserve">הרפורמה יצרה במשטרה אקלים של פתרון בעיות מבוסס נתונים, מערכת לניתוח פשיעה ושיטה חדשה להערכת ביצועים ששינתה את התמריצים ואת הקידום.</w:t>
      </w:r>
      <w:r>
        <w:rPr>
          <w:rStyle w:val="FootnoteReference"/>
        </w:rPr>
        <w:footnoteReference w:id="136"/>
      </w:r>
      <w:r>
        <w:rPr>
          <w:rFonts w:ascii="David" w:cs="David" w:eastAsia="David" w:hAnsi="David"/>
          <w:sz w:val="24"/>
          <w:szCs w:val="24"/>
          <w:rtl/>
        </w:rPr>
        <w:t xml:space="preserve"> השינוי בתמריצים הוא אולי הרכיב החשוב ביותר, משום שהוא מבדיל בין רפורמה מוצהרת לבין רפורמה שמשנה התנהגות. מנגד נמצאו סטיות: בעיות הוגדרו באופן רחב, תחנות צירפו עבירות שונות כדי להגיע לרף המינימלי, ובמקרים קיצוניים הוגדר יישוב שלם כפוליגון.</w:t>
      </w:r>
      <w:r>
        <w:rPr>
          <w:rStyle w:val="FootnoteReference"/>
        </w:rPr>
        <w:footnoteReference w:id="137"/>
      </w:r>
      <w:r>
        <w:rPr>
          <w:rFonts w:ascii="David" w:cs="David" w:eastAsia="David" w:hAnsi="David"/>
          <w:sz w:val="24"/>
          <w:szCs w:val="24"/>
          <w:rtl/>
        </w:rPr>
        <w:t xml:space="preserve"> דרישת הסף המספרית עודדה אפוא הרחבה של הבעיה.</w:t>
      </w:r>
    </w:p>
    <w:p>
      <w:pPr>
        <w:bidi/>
        <w:spacing w:after="120" w:line="360"/>
        <w:ind w:firstLine="0"/>
        <w:jc w:val="both"/>
      </w:pPr>
      <w:r>
        <w:rPr>
          <w:rFonts w:ascii="David" w:cs="David" w:eastAsia="David" w:hAnsi="David"/>
          <w:sz w:val="24"/>
          <w:szCs w:val="24"/>
          <w:rtl/>
        </w:rPr>
        <w:t xml:space="preserve">בתחנות שטיפלו בירי דווח שהגישה למשאבים ולכוח אדם אינה תואמת את היקף הבעיה, ושהמחסור פוגע במודיעין, יוצר שחיקה ופוגע בבניית האמון עם הקהילות.</w:t>
      </w:r>
      <w:r>
        <w:rPr>
          <w:rStyle w:val="FootnoteReference"/>
        </w:rPr>
        <w:footnoteReference w:id="138"/>
      </w:r>
      <w:r>
        <w:rPr>
          <w:rFonts w:ascii="David" w:cs="David" w:eastAsia="David" w:hAnsi="David"/>
          <w:sz w:val="24"/>
          <w:szCs w:val="24"/>
          <w:rtl/>
        </w:rPr>
        <w:t xml:space="preserve"> התמונה תואמת את ממצאי מבקר המדינה על העומס במשרדי החקירות בתחנות שמשרתות אוכלוסייה ערבית.</w:t>
      </w:r>
      <w:r>
        <w:rPr>
          <w:rStyle w:val="FootnoteReference"/>
        </w:rPr>
        <w:footnoteReference w:id="139"/>
      </w:r>
      <w:r>
        <w:rPr>
          <w:rFonts w:ascii="David" w:cs="David" w:eastAsia="David" w:hAnsi="David"/>
          <w:sz w:val="24"/>
          <w:szCs w:val="24"/>
          <w:rtl/>
        </w:rPr>
        <w:t xml:space="preserve"> היעדר היכולת למקם אירועים ביישובים ערביים הוא כשל של תשתית ארצית, והחוקרים ציינו שיש בסיס להרחיב את שיטור נקודות החמות גם בתחום הירי.</w:t>
      </w:r>
      <w:r>
        <w:rPr>
          <w:rStyle w:val="FootnoteReference"/>
        </w:rPr>
        <w:footnoteReference w:id="140"/>
      </w:r>
      <w:r>
        <w:rPr>
          <w:rFonts w:ascii="David" w:cs="David" w:eastAsia="David" w:hAnsi="David"/>
          <w:sz w:val="24"/>
          <w:szCs w:val="24"/>
          <w:rtl/>
        </w:rPr>
        <w:t xml:space="preserve"> המנגנון שמחייב תחנה להסביר פער בין תוכנית לתוצאה הוא כלי ניהולי חשוב,</w:t>
      </w:r>
      <w:r>
        <w:rPr>
          <w:rStyle w:val="FootnoteReference"/>
        </w:rPr>
        <w:footnoteReference w:id="141"/>
      </w:r>
      <w:r>
        <w:rPr>
          <w:rFonts w:ascii="David" w:cs="David" w:eastAsia="David" w:hAnsi="David"/>
          <w:sz w:val="24"/>
          <w:szCs w:val="24"/>
          <w:rtl/>
        </w:rPr>
        <w:t xml:space="preserve"> אך הוא מכוון לשאלות של ביצוע ולא של הוגנות.</w:t>
      </w:r>
    </w:p>
    <w:p>
      <w:pPr>
        <w:pStyle w:val="Heading2"/>
        <w:bidi/>
        <w:spacing w:after="160" w:before="240"/>
        <w:jc w:val="right"/>
      </w:pPr>
      <w:r>
        <w:rPr>
          <w:rFonts w:ascii="David" w:cs="David" w:eastAsia="David" w:hAnsi="David"/>
          <w:b/>
          <w:bCs/>
          <w:sz w:val="28"/>
          <w:szCs w:val="28"/>
          <w:rtl/>
        </w:rPr>
        <w:t xml:space="preserve">5.4 עמדות הציבור ומגבלות מחקרי ההערכה</w:t>
      </w:r>
    </w:p>
    <w:p>
      <w:pPr>
        <w:bidi/>
        <w:spacing w:after="120" w:line="360"/>
        <w:ind w:firstLine="0"/>
        <w:jc w:val="both"/>
      </w:pPr>
      <w:r>
        <w:rPr>
          <w:rFonts w:ascii="David" w:cs="David" w:eastAsia="David" w:hAnsi="David"/>
          <w:sz w:val="24"/>
          <w:szCs w:val="24"/>
          <w:rtl/>
        </w:rPr>
        <w:t xml:space="preserve">ניתוח רב-רמתי מצא קשר חיובי בין ציוני התחנה באמו"ן לבין אמון התושבים, וקשר חזק עוד יותר בין הוגנות ההליכים לבין אמון.</w:t>
      </w:r>
      <w:r>
        <w:rPr>
          <w:rStyle w:val="FootnoteReference"/>
        </w:rPr>
        <w:footnoteReference w:id="142"/>
      </w:r>
      <w:r>
        <w:rPr>
          <w:rFonts w:ascii="David" w:cs="David" w:eastAsia="David" w:hAnsi="David"/>
          <w:sz w:val="24"/>
          <w:szCs w:val="24"/>
          <w:rtl/>
        </w:rPr>
        <w:t xml:space="preserve"> בתחנות שמשרתות אוכלוסייה ערבית נמצא אמון נמוך יותר גם לאחר פיקוח על משתנים אחרים, ובקרב משיבים ערבים לא נמצא קשר ישיר בין הערכת הטיפול בעבירות איכות חיים לבין נכונות לשתף פעולה.</w:t>
      </w:r>
      <w:r>
        <w:rPr>
          <w:rStyle w:val="FootnoteReference"/>
        </w:rPr>
        <w:footnoteReference w:id="143"/>
      </w:r>
      <w:r>
        <w:rPr>
          <w:rFonts w:ascii="David" w:cs="David" w:eastAsia="David" w:hAnsi="David"/>
          <w:sz w:val="24"/>
          <w:szCs w:val="24"/>
          <w:rtl/>
        </w:rPr>
        <w:t xml:space="preserve"> אין להסיק מכך שהקשר בין ביצועים לאמון אינו פועל בחברה הערבית, אלא שיש לבחון בנפרד את סוג העבירה ואת התוצאה המבוקשת.</w:t>
      </w:r>
    </w:p>
    <w:p>
      <w:pPr>
        <w:bidi/>
        <w:spacing w:after="120" w:line="360"/>
        <w:ind w:firstLine="0"/>
        <w:jc w:val="both"/>
      </w:pPr>
      <w:r>
        <w:rPr>
          <w:rFonts w:ascii="David" w:cs="David" w:eastAsia="David" w:hAnsi="David"/>
          <w:sz w:val="24"/>
          <w:szCs w:val="24"/>
          <w:rtl/>
        </w:rPr>
        <w:t xml:space="preserve">המחקרים מתאמיים או מעין-ניסויים, בלי הקצאה אקראית של תחנות, ולכן קשה לשלול הסברים חלופיים.</w:t>
      </w:r>
      <w:r>
        <w:rPr>
          <w:rStyle w:val="FootnoteReference"/>
        </w:rPr>
        <w:footnoteReference w:id="144"/>
      </w:r>
      <w:r>
        <w:rPr>
          <w:rFonts w:ascii="David" w:cs="David" w:eastAsia="David" w:hAnsi="David"/>
          <w:sz w:val="24"/>
          <w:szCs w:val="24"/>
          <w:rtl/>
        </w:rPr>
        <w:t xml:space="preserve"> לכך מצטרפת בעיה מושגית: כשהדיווח נמוך והזירות משובשות, ייתכן שמספר האירועים אינו המדד הנכון, ונדרש מדד מורכב שמביא בחשבון גם בניית תיקים עם תשתית ראייתית חזקה.</w:t>
      </w:r>
      <w:r>
        <w:rPr>
          <w:rStyle w:val="FootnoteReference"/>
        </w:rPr>
        <w:footnoteReference w:id="145"/>
      </w:r>
      <w:r>
        <w:rPr>
          <w:rFonts w:ascii="David" w:cs="David" w:eastAsia="David" w:hAnsi="David"/>
          <w:sz w:val="24"/>
          <w:szCs w:val="24"/>
          <w:rtl/>
        </w:rPr>
        <w:t xml:space="preserve"> בקבוצה שבה הדיווח נמוך וכתבי האישום מעטים, מדד שמבוסס רק על אירועים עלול להראות שיפור גם כשההגנה על הקהילה נחלשה.</w:t>
      </w:r>
    </w:p>
    <w:p>
      <w:pPr>
        <w:pStyle w:val="Heading1"/>
        <w:bidi/>
        <w:spacing w:after="160" w:before="240"/>
        <w:jc w:val="center"/>
      </w:pPr>
      <w:r>
        <w:rPr>
          <w:rFonts w:ascii="David" w:cs="David" w:eastAsia="David" w:hAnsi="David"/>
          <w:b/>
          <w:bCs/>
          <w:sz w:val="32"/>
          <w:szCs w:val="32"/>
          <w:rtl/>
        </w:rPr>
        <w:t xml:space="preserve">6. משפט משווה: רפורמות שיטור והבניית שיקול הדעת בארצות הברית ובבריטניה</w:t>
      </w:r>
    </w:p>
    <w:p>
      <w:pPr>
        <w:pStyle w:val="Heading2"/>
        <w:bidi/>
        <w:spacing w:after="160" w:before="240"/>
        <w:jc w:val="right"/>
      </w:pPr>
      <w:r>
        <w:rPr>
          <w:rFonts w:ascii="David" w:cs="David" w:eastAsia="David" w:hAnsi="David"/>
          <w:b/>
          <w:bCs/>
          <w:sz w:val="28"/>
          <w:szCs w:val="28"/>
          <w:rtl/>
        </w:rPr>
        <w:t xml:space="preserve">6.1 מטרת ההשוואה ואמות המידה להשוואה</w:t>
      </w:r>
    </w:p>
    <w:p>
      <w:pPr>
        <w:bidi/>
        <w:spacing w:after="120" w:line="360"/>
        <w:ind w:firstLine="0"/>
        <w:jc w:val="both"/>
      </w:pPr>
      <w:r>
        <w:rPr>
          <w:rFonts w:ascii="David" w:cs="David" w:eastAsia="David" w:hAnsi="David"/>
          <w:sz w:val="24"/>
          <w:szCs w:val="24"/>
          <w:rtl/>
        </w:rPr>
        <w:t xml:space="preserve">ההשוואה אינה מבקשת לייבא פתרונות, אלא לבחון שלושה צירים: איך נקבע מיקוד האכיפה, איך מובנה שיקול הדעת של השוטר במפגש, ואיך נמדדים האפקטיביות והשוויון ומי מפקח על המדידה. הציר השלישי חשוב במיוחד לרפורמה מבוססת נתונים: אם הארגון מודד את עצמו, מי בודק את המדידה? אמו"ן מקפידה על שלב התכנון, אך אינה מפרטת איך ייבחר האדם שאליו יפנה השוטר בתוך הפוליגון.</w:t>
      </w:r>
      <w:r>
        <w:rPr>
          <w:rStyle w:val="FootnoteReference"/>
        </w:rPr>
        <w:footnoteReference w:id="146"/>
      </w:r>
      <w:r>
        <w:rPr>
          <w:rFonts w:ascii="David" w:cs="David" w:eastAsia="David" w:hAnsi="David"/>
          <w:sz w:val="24"/>
          <w:szCs w:val="24"/>
          <w:rtl/>
        </w:rPr>
        <w:t xml:space="preserve"> ארצות הברית היא מקור מודל השיטור המוכוון בעיות, ואנגליה ווילס מספקות דוגמה לחקיקה מפורטת של סמכויות עיכוב וחיפוש ולקוד שמסדיר את הפעלתן.</w:t>
      </w:r>
      <w:r>
        <w:rPr>
          <w:rStyle w:val="FootnoteReference"/>
        </w:rPr>
        <w:footnoteReference w:id="147"/>
      </w:r>
    </w:p>
    <w:p>
      <w:pPr>
        <w:pStyle w:val="Heading2"/>
        <w:bidi/>
        <w:spacing w:after="160" w:before="240"/>
        <w:jc w:val="right"/>
      </w:pPr>
      <w:r>
        <w:rPr>
          <w:rFonts w:ascii="David" w:cs="David" w:eastAsia="David" w:hAnsi="David"/>
          <w:b/>
          <w:bCs/>
          <w:sz w:val="28"/>
          <w:szCs w:val="28"/>
          <w:rtl/>
        </w:rPr>
        <w:t xml:space="preserve">6.2 ארצות הברית: שיטור מוכוון בעיות, אכיפה ממוקדת ופיקוח משפטי</w:t>
      </w:r>
    </w:p>
    <w:p>
      <w:pPr>
        <w:bidi/>
        <w:spacing w:after="120" w:line="360"/>
        <w:ind w:firstLine="0"/>
        <w:jc w:val="both"/>
      </w:pPr>
      <w:r>
        <w:rPr>
          <w:rFonts w:ascii="David" w:cs="David" w:eastAsia="David" w:hAnsi="David"/>
          <w:sz w:val="24"/>
          <w:szCs w:val="24"/>
          <w:rtl/>
        </w:rPr>
        <w:t xml:space="preserve">התיקון הרביעי לחוקה אוסר חיפושים ותפיסות בלתי סבירים.</w:t>
      </w:r>
      <w:r>
        <w:rPr>
          <w:rStyle w:val="FootnoteReference"/>
        </w:rPr>
        <w:footnoteReference w:id="148"/>
      </w:r>
      <w:r>
        <w:rPr>
          <w:rFonts w:ascii="David" w:cs="David" w:eastAsia="David" w:hAnsi="David"/>
          <w:sz w:val="24"/>
          <w:szCs w:val="24"/>
          <w:rtl/>
        </w:rPr>
        <w:t xml:space="preserve"> בעניין </w:t>
      </w:r>
      <w:r>
        <w:rPr>
          <w:rFonts w:ascii="David" w:cs="David" w:eastAsia="David" w:hAnsi="David"/>
          <w:i/>
          <w:iCs/>
          <w:sz w:val="24"/>
          <w:szCs w:val="24"/>
          <w:rtl w:val="false"/>
        </w:rPr>
        <w:t xml:space="preserve">Terry‎</w:t>
      </w:r>
      <w:r>
        <w:rPr>
          <w:rFonts w:ascii="David" w:cs="David" w:eastAsia="David" w:hAnsi="David"/>
          <w:sz w:val="24"/>
          <w:szCs w:val="24"/>
          <w:rtl/>
        </w:rPr>
        <w:t xml:space="preserve"> נקבע שעצירה לבירור צריכה להישען על עובדות ספציפיות, ושטפיחה לאיתור נשק מחייבת יסוד סביר להניח שהאדם חמוש ומסוכן.</w:t>
      </w:r>
      <w:r>
        <w:rPr>
          <w:rStyle w:val="FootnoteReference"/>
        </w:rPr>
        <w:footnoteReference w:id="149"/>
      </w:r>
      <w:r>
        <w:rPr>
          <w:rFonts w:ascii="David" w:cs="David" w:eastAsia="David" w:hAnsi="David"/>
          <w:sz w:val="24"/>
          <w:szCs w:val="24"/>
          <w:rtl/>
        </w:rPr>
        <w:t xml:space="preserve"> ההבחנה חשובה לשיטור יזום: הצדקה לבירור קצר אינה מעניקה אוטומטית הצדקה לחיפוש, וכל שלב בהסלמת המפגש טעון הצדקה משלו. בהיעדר חשד השוטר רשאי לפנות לאדם, אך בעניין </w:t>
      </w:r>
      <w:r>
        <w:rPr>
          <w:rFonts w:ascii="David" w:cs="David" w:eastAsia="David" w:hAnsi="David"/>
          <w:i/>
          <w:iCs/>
          <w:sz w:val="24"/>
          <w:szCs w:val="24"/>
          <w:rtl w:val="false"/>
        </w:rPr>
        <w:t xml:space="preserve">Brown‎</w:t>
      </w:r>
      <w:r>
        <w:rPr>
          <w:rFonts w:ascii="David" w:cs="David" w:eastAsia="David" w:hAnsi="David"/>
          <w:sz w:val="24"/>
          <w:szCs w:val="24"/>
          <w:rtl/>
        </w:rPr>
        <w:t xml:space="preserve"> נקבע שאין להרשיע אדם בסירוב להזדהות בלי נסיבות שמקימות חשד סביר,</w:t>
      </w:r>
      <w:r>
        <w:rPr>
          <w:rStyle w:val="FootnoteReference"/>
        </w:rPr>
        <w:footnoteReference w:id="150"/>
      </w:r>
      <w:r>
        <w:rPr>
          <w:rFonts w:ascii="David" w:cs="David" w:eastAsia="David" w:hAnsi="David"/>
          <w:sz w:val="24"/>
          <w:szCs w:val="24"/>
          <w:rtl/>
        </w:rPr>
        <w:t xml:space="preserve"> ופנייה בלי חשד כפופה למבחן "חופשי לעזוב": האם אדם סביר היה מבין שהוא רשאי לסרב ולהמשיך בדרכו.</w:t>
      </w:r>
      <w:r>
        <w:rPr>
          <w:rStyle w:val="FootnoteReference"/>
        </w:rPr>
        <w:footnoteReference w:id="151"/>
      </w:r>
      <w:r>
        <w:rPr>
          <w:rFonts w:ascii="David" w:cs="David" w:eastAsia="David" w:hAnsi="David"/>
          <w:sz w:val="24"/>
          <w:szCs w:val="24"/>
          <w:rtl/>
        </w:rPr>
        <w:t xml:space="preserve"> כללי </w:t>
      </w:r>
      <w:r>
        <w:rPr>
          <w:rFonts w:ascii="David" w:cs="David" w:eastAsia="David" w:hAnsi="David"/>
          <w:i/>
          <w:iCs/>
          <w:sz w:val="24"/>
          <w:szCs w:val="24"/>
          <w:rtl w:val="false"/>
        </w:rPr>
        <w:t xml:space="preserve">Miranda‎</w:t>
      </w:r>
      <w:r>
        <w:rPr>
          <w:rFonts w:ascii="David" w:cs="David" w:eastAsia="David" w:hAnsi="David"/>
          <w:sz w:val="24"/>
          <w:szCs w:val="24"/>
          <w:rtl/>
        </w:rPr>
        <w:t xml:space="preserve"> מדגימים את הגישה האמריקאית של כללים פרוצדורליים ברורים, שקל לציית להם וקל לבדוק אם קוימו.</w:t>
      </w:r>
      <w:r>
        <w:rPr>
          <w:rStyle w:val="FootnoteReference"/>
        </w:rPr>
        <w:footnoteReference w:id="152"/>
      </w:r>
      <w:r>
        <w:rPr>
          <w:rFonts w:ascii="David" w:cs="David" w:eastAsia="David" w:hAnsi="David"/>
          <w:sz w:val="24"/>
          <w:szCs w:val="24"/>
          <w:rtl/>
        </w:rPr>
        <w:t xml:space="preserve"> בעניין </w:t>
      </w:r>
      <w:r>
        <w:rPr>
          <w:rFonts w:ascii="David" w:cs="David" w:eastAsia="David" w:hAnsi="David"/>
          <w:i/>
          <w:iCs/>
          <w:sz w:val="24"/>
          <w:szCs w:val="24"/>
          <w:rtl w:val="false"/>
        </w:rPr>
        <w:t xml:space="preserve">Whren‎</w:t>
      </w:r>
      <w:r>
        <w:rPr>
          <w:rFonts w:ascii="David" w:cs="David" w:eastAsia="David" w:hAnsi="David"/>
          <w:sz w:val="24"/>
          <w:szCs w:val="24"/>
          <w:rtl/>
        </w:rPr>
        <w:t xml:space="preserve"> נקבע שכוונותיו הסובייקטיביות של השוטר אינן רלוונטיות לבחינת העצירה, ושההגנה מפני אכיפה מפלה מצויה בסעיף ההגנה השווה.</w:t>
      </w:r>
      <w:r>
        <w:rPr>
          <w:rStyle w:val="FootnoteReference"/>
        </w:rPr>
        <w:footnoteReference w:id="153"/>
      </w:r>
      <w:r>
        <w:rPr>
          <w:rFonts w:ascii="David" w:cs="David" w:eastAsia="David" w:hAnsi="David"/>
          <w:sz w:val="24"/>
          <w:szCs w:val="24"/>
          <w:rtl/>
        </w:rPr>
        <w:t xml:space="preserve"> בעניין </w:t>
      </w:r>
      <w:r>
        <w:rPr>
          <w:rFonts w:ascii="David" w:cs="David" w:eastAsia="David" w:hAnsi="David"/>
          <w:i/>
          <w:iCs/>
          <w:sz w:val="24"/>
          <w:szCs w:val="24"/>
          <w:rtl w:val="false"/>
        </w:rPr>
        <w:t xml:space="preserve">Wardlow‎</w:t>
      </w:r>
      <w:r>
        <w:rPr>
          <w:rFonts w:ascii="David" w:cs="David" w:eastAsia="David" w:hAnsi="David"/>
          <w:sz w:val="24"/>
          <w:szCs w:val="24"/>
          <w:rtl/>
        </w:rPr>
        <w:t xml:space="preserve"> נקבע שנוכחות באזור של פשיעה גבוהה אינה מספיקה לבדה לחשד, אך היא רלוונטית להערכת הנסיבות.</w:t>
      </w:r>
      <w:r>
        <w:rPr>
          <w:rStyle w:val="FootnoteReference"/>
        </w:rPr>
        <w:footnoteReference w:id="154"/>
      </w:r>
      <w:r>
        <w:rPr>
          <w:rFonts w:ascii="David" w:cs="David" w:eastAsia="David" w:hAnsi="David"/>
          <w:sz w:val="24"/>
          <w:szCs w:val="24"/>
          <w:rtl/>
        </w:rPr>
        <w:t xml:space="preserve"> טענת הגנה שווה קשה להוכחה, משום שנדרשת הוכחה של תוצאה מפלה ושל מטרה מפלה.</w:t>
      </w:r>
      <w:r>
        <w:rPr>
          <w:rStyle w:val="FootnoteReference"/>
        </w:rPr>
        <w:footnoteReference w:id="155"/>
      </w:r>
    </w:p>
    <w:p>
      <w:pPr>
        <w:bidi/>
        <w:spacing w:after="120" w:line="360"/>
        <w:ind w:firstLine="0"/>
        <w:jc w:val="both"/>
      </w:pPr>
      <w:r>
        <w:rPr>
          <w:rFonts w:ascii="David" w:cs="David" w:eastAsia="David" w:hAnsi="David"/>
          <w:sz w:val="24"/>
          <w:szCs w:val="24"/>
          <w:rtl/>
        </w:rPr>
        <w:t xml:space="preserve">חקירת משרד המשפטים בפרגוסון מצאה שהאכיפה הונעה משיקולי הכנסה, ושאפרו-אמריקאים היו 85% מן הנעצרים בעצירות רכב ו-93% מן העצורים, אף שהיו 67% מן האוכלוסייה.</w:t>
      </w:r>
      <w:r>
        <w:rPr>
          <w:rStyle w:val="FootnoteReference"/>
        </w:rPr>
        <w:footnoteReference w:id="156"/>
      </w:r>
      <w:r>
        <w:rPr>
          <w:rFonts w:ascii="David" w:cs="David" w:eastAsia="David" w:hAnsi="David"/>
          <w:sz w:val="24"/>
          <w:szCs w:val="24"/>
          <w:rtl/>
        </w:rPr>
        <w:t xml:space="preserve"> מנגנוני התיקון כוללים תביעה אזרחית נגד עובד ציבור, שבה רשות מקומית אחראית רק על מדיניות או נוהג שלה,</w:t>
      </w:r>
      <w:r>
        <w:rPr>
          <w:rStyle w:val="FootnoteReference"/>
        </w:rPr>
        <w:footnoteReference w:id="157"/>
      </w:r>
      <w:r>
        <w:rPr>
          <w:rFonts w:ascii="David" w:cs="David" w:eastAsia="David" w:hAnsi="David"/>
          <w:sz w:val="24"/>
          <w:szCs w:val="24"/>
          <w:rtl/>
        </w:rPr>
        <w:t xml:space="preserve"> סמכות פדרלית לתבוע נגד דפוס או נוהג של הפרת זכויות,</w:t>
      </w:r>
      <w:r>
        <w:rPr>
          <w:rStyle w:val="FootnoteReference"/>
        </w:rPr>
        <w:footnoteReference w:id="158"/>
      </w:r>
      <w:r>
        <w:rPr>
          <w:rFonts w:ascii="David" w:cs="David" w:eastAsia="David" w:hAnsi="David"/>
          <w:sz w:val="24"/>
          <w:szCs w:val="24"/>
          <w:rtl/>
        </w:rPr>
        <w:t xml:space="preserve"> ומינוי מפקח עצמאי בהליך שיפוטי.</w:t>
      </w:r>
      <w:r>
        <w:rPr>
          <w:rStyle w:val="FootnoteReference"/>
        </w:rPr>
        <w:footnoteReference w:id="159"/>
      </w:r>
      <w:r>
        <w:rPr>
          <w:rFonts w:ascii="David" w:cs="David" w:eastAsia="David" w:hAnsi="David"/>
          <w:sz w:val="24"/>
          <w:szCs w:val="24"/>
          <w:rtl/>
        </w:rPr>
        <w:t xml:space="preserve"> בצד ההגנה החסרה הכלים מעטים: בעניין </w:t>
      </w:r>
      <w:r>
        <w:rPr>
          <w:rFonts w:ascii="David" w:cs="David" w:eastAsia="David" w:hAnsi="David"/>
          <w:i/>
          <w:iCs/>
          <w:sz w:val="24"/>
          <w:szCs w:val="24"/>
          <w:rtl w:val="false"/>
        </w:rPr>
        <w:t xml:space="preserve">DeShaney‎</w:t>
      </w:r>
      <w:r>
        <w:rPr>
          <w:rFonts w:ascii="David" w:cs="David" w:eastAsia="David" w:hAnsi="David"/>
          <w:sz w:val="24"/>
          <w:szCs w:val="24"/>
          <w:rtl/>
        </w:rPr>
        <w:t xml:space="preserve"> נקבע שאין, ככלל, זכות חוקתית חיובית להגנת המדינה,</w:t>
      </w:r>
      <w:r>
        <w:rPr>
          <w:rStyle w:val="FootnoteReference"/>
        </w:rPr>
        <w:footnoteReference w:id="160"/>
      </w:r>
      <w:r>
        <w:rPr>
          <w:rFonts w:ascii="David" w:cs="David" w:eastAsia="David" w:hAnsi="David"/>
          <w:sz w:val="24"/>
          <w:szCs w:val="24"/>
          <w:rtl/>
        </w:rPr>
        <w:t xml:space="preserve"> ובעניין </w:t>
      </w:r>
      <w:r>
        <w:rPr>
          <w:rFonts w:ascii="David" w:cs="David" w:eastAsia="David" w:hAnsi="David"/>
          <w:i/>
          <w:iCs/>
          <w:sz w:val="24"/>
          <w:szCs w:val="24"/>
          <w:rtl w:val="false"/>
        </w:rPr>
        <w:t xml:space="preserve">Castle Rock‎</w:t>
      </w:r>
      <w:r>
        <w:rPr>
          <w:rFonts w:ascii="David" w:cs="David" w:eastAsia="David" w:hAnsi="David"/>
          <w:sz w:val="24"/>
          <w:szCs w:val="24"/>
          <w:rtl/>
        </w:rPr>
        <w:t xml:space="preserve"> נדחתה הטענה לזכות קניינית באכיפת צו הגנה.</w:t>
      </w:r>
      <w:r>
        <w:rPr>
          <w:rStyle w:val="FootnoteReference"/>
        </w:rPr>
        <w:footnoteReference w:id="161"/>
      </w:r>
      <w:r>
        <w:rPr>
          <w:rFonts w:ascii="David" w:cs="David" w:eastAsia="David" w:hAnsi="David"/>
          <w:sz w:val="24"/>
          <w:szCs w:val="24"/>
          <w:rtl/>
        </w:rPr>
        <w:t xml:space="preserve"> בערכאות המדינתיות נקבע בעניין </w:t>
      </w:r>
      <w:r>
        <w:rPr>
          <w:rFonts w:ascii="David" w:cs="David" w:eastAsia="David" w:hAnsi="David"/>
          <w:i/>
          <w:iCs/>
          <w:sz w:val="24"/>
          <w:szCs w:val="24"/>
          <w:rtl w:val="false"/>
        </w:rPr>
        <w:t xml:space="preserve">White‎</w:t>
      </w:r>
      <w:r>
        <w:rPr>
          <w:rFonts w:ascii="David" w:cs="David" w:eastAsia="David" w:hAnsi="David"/>
          <w:sz w:val="24"/>
          <w:szCs w:val="24"/>
          <w:rtl/>
        </w:rPr>
        <w:t xml:space="preserve"> שדוקטרינת החובה הציבורית מגינה על שוטרים שלא סייעו למנוע רצח של אישה בידי בעלה, ובעניין </w:t>
      </w:r>
      <w:r>
        <w:rPr>
          <w:rFonts w:ascii="David" w:cs="David" w:eastAsia="David" w:hAnsi="David"/>
          <w:i/>
          <w:iCs/>
          <w:sz w:val="24"/>
          <w:szCs w:val="24"/>
          <w:rtl w:val="false"/>
        </w:rPr>
        <w:t xml:space="preserve">Cuffy‎</w:t>
      </w:r>
      <w:r>
        <w:rPr>
          <w:rFonts w:ascii="David" w:cs="David" w:eastAsia="David" w:hAnsi="David"/>
          <w:sz w:val="24"/>
          <w:szCs w:val="24"/>
          <w:rtl/>
        </w:rPr>
        <w:t xml:space="preserve"> נדרשה הוכחה של "יחסים מיוחדים" ושל הסתמכות.</w:t>
      </w:r>
      <w:r>
        <w:rPr>
          <w:rStyle w:val="FootnoteReference"/>
        </w:rPr>
        <w:footnoteReference w:id="162"/>
      </w:r>
      <w:r>
        <w:rPr>
          <w:rFonts w:ascii="David" w:cs="David" w:eastAsia="David" w:hAnsi="David"/>
          <w:sz w:val="24"/>
          <w:szCs w:val="24"/>
          <w:rtl/>
        </w:rPr>
        <w:t xml:space="preserve"> סגל מעריך שגם דיני הנזיקין אינם מספקים שם ביקורת אפקטיבית על רשויות.</w:t>
      </w:r>
      <w:r>
        <w:rPr>
          <w:rStyle w:val="FootnoteReference"/>
        </w:rPr>
        <w:footnoteReference w:id="163"/>
      </w:r>
      <w:r>
        <w:rPr>
          <w:rFonts w:ascii="David" w:cs="David" w:eastAsia="David" w:hAnsi="David"/>
          <w:sz w:val="24"/>
          <w:szCs w:val="24"/>
          <w:rtl/>
        </w:rPr>
        <w:t xml:space="preserve"> גלעד מתאר את הדוקטרינה שלפיה חובה כלפי ציבור רחב אינה מקימה אחריות כלפי אדם מסוים ("</w:t>
      </w:r>
      <w:r>
        <w:rPr>
          <w:rFonts w:ascii="David" w:cs="David" w:eastAsia="David" w:hAnsi="David"/>
          <w:sz w:val="24"/>
          <w:szCs w:val="24"/>
          <w:rtl w:val="false"/>
        </w:rPr>
        <w:t xml:space="preserve">duty to all is duty to none‎</w:t>
      </w:r>
      <w:r>
        <w:rPr>
          <w:rFonts w:ascii="David" w:cs="David" w:eastAsia="David" w:hAnsi="David"/>
          <w:sz w:val="24"/>
          <w:szCs w:val="24"/>
          <w:rtl/>
        </w:rPr>
        <w:t xml:space="preserve">").</w:t>
      </w:r>
      <w:r>
        <w:rPr>
          <w:rStyle w:val="FootnoteReference"/>
        </w:rPr>
        <w:footnoteReference w:id="164"/>
      </w:r>
      <w:r>
        <w:rPr>
          <w:rFonts w:ascii="David" w:cs="David" w:eastAsia="David" w:hAnsi="David"/>
          <w:sz w:val="24"/>
          <w:szCs w:val="24"/>
          <w:rtl/>
        </w:rPr>
        <w:t xml:space="preserve"> זהו חוסר האיזון שנטפוף הצביעה עליו.</w:t>
      </w:r>
    </w:p>
    <w:p>
      <w:pPr>
        <w:pStyle w:val="Heading2"/>
        <w:bidi/>
        <w:spacing w:after="160" w:before="240"/>
        <w:jc w:val="right"/>
      </w:pPr>
      <w:r>
        <w:rPr>
          <w:rFonts w:ascii="David" w:cs="David" w:eastAsia="David" w:hAnsi="David"/>
          <w:b/>
          <w:bCs/>
          <w:sz w:val="28"/>
          <w:szCs w:val="28"/>
          <w:rtl/>
        </w:rPr>
        <w:t xml:space="preserve">6.3 בריטניה: סמכויות עיכוב וחיפוש, שוויון ואחריותיות משטרתית</w:t>
      </w:r>
    </w:p>
    <w:p>
      <w:pPr>
        <w:bidi/>
        <w:spacing w:after="120" w:line="360"/>
        <w:ind w:firstLine="0"/>
        <w:jc w:val="both"/>
      </w:pPr>
      <w:r>
        <w:rPr>
          <w:rFonts w:ascii="David" w:cs="David" w:eastAsia="David" w:hAnsi="David"/>
          <w:sz w:val="24"/>
          <w:szCs w:val="24"/>
          <w:rtl/>
        </w:rPr>
        <w:t xml:space="preserve">באנגליה מותר לשוטר לערוך חיפוש כשיש לו יסוד סביר לחשוד שימצא חפץ גנוב או אסור,</w:t>
      </w:r>
      <w:r>
        <w:rPr>
          <w:rStyle w:val="FootnoteReference"/>
        </w:rPr>
        <w:footnoteReference w:id="165"/>
      </w:r>
      <w:r>
        <w:rPr>
          <w:rFonts w:ascii="David" w:cs="David" w:eastAsia="David" w:hAnsi="David"/>
          <w:sz w:val="24"/>
          <w:szCs w:val="24"/>
          <w:rtl/>
        </w:rPr>
        <w:t xml:space="preserve"> ורק במסלול חריג ניתן להסמיך חיפושים באזור מוגדר בלי חשד פרטני.</w:t>
      </w:r>
      <w:r>
        <w:rPr>
          <w:rStyle w:val="FootnoteReference"/>
        </w:rPr>
        <w:footnoteReference w:id="166"/>
      </w:r>
      <w:r>
        <w:rPr>
          <w:rFonts w:ascii="David" w:cs="David" w:eastAsia="David" w:hAnsi="David"/>
          <w:sz w:val="24"/>
          <w:szCs w:val="24"/>
          <w:rtl/>
        </w:rPr>
        <w:t xml:space="preserve"> בישראל, הגדרת פוליגון אינה מקנה סמכות מקבילה. קוד </w:t>
      </w:r>
      <w:r>
        <w:rPr>
          <w:rFonts w:ascii="David" w:cs="David" w:eastAsia="David" w:hAnsi="David"/>
          <w:sz w:val="24"/>
          <w:szCs w:val="24"/>
          <w:rtl w:val="false"/>
        </w:rPr>
        <w:t xml:space="preserve">A‎</w:t>
      </w:r>
      <w:r>
        <w:rPr>
          <w:rFonts w:ascii="David" w:cs="David" w:eastAsia="David" w:hAnsi="David"/>
          <w:sz w:val="24"/>
          <w:szCs w:val="24"/>
          <w:rtl/>
        </w:rPr>
        <w:t xml:space="preserve"> אוסר לבסס חשד סביר על מאפיינים אישיים, ובהיעדר תיאור של חשוד אוסר להסתמך על מראה חיצוני או על הכללות סטריאוטיפיות.</w:t>
      </w:r>
      <w:r>
        <w:rPr>
          <w:rStyle w:val="FootnoteReference"/>
        </w:rPr>
        <w:footnoteReference w:id="167"/>
      </w:r>
      <w:r>
        <w:rPr>
          <w:rFonts w:ascii="David" w:cs="David" w:eastAsia="David" w:hAnsi="David"/>
          <w:sz w:val="24"/>
          <w:szCs w:val="24"/>
          <w:rtl/>
        </w:rPr>
        <w:t xml:space="preserve"> חוק השוויון מחייב רשות ציבורית לתת משקל ראוי למניעת אפליה.</w:t>
      </w:r>
      <w:r>
        <w:rPr>
          <w:rStyle w:val="FootnoteReference"/>
        </w:rPr>
        <w:footnoteReference w:id="168"/>
      </w:r>
      <w:r>
        <w:rPr>
          <w:rFonts w:ascii="David" w:cs="David" w:eastAsia="David" w:hAnsi="David"/>
          <w:sz w:val="24"/>
          <w:szCs w:val="24"/>
          <w:rtl/>
        </w:rPr>
        <w:t xml:space="preserve"> הקוד מחייב פיקוח שוטף על הרישומים כדי לזהות דפוסים בלתי מידתיים, ובחינה שלהם בידי נציגי הקהילה,</w:t>
      </w:r>
      <w:r>
        <w:rPr>
          <w:rStyle w:val="FootnoteReference"/>
        </w:rPr>
        <w:footnoteReference w:id="169"/>
      </w:r>
      <w:r>
        <w:rPr>
          <w:rFonts w:ascii="David" w:cs="David" w:eastAsia="David" w:hAnsi="David"/>
          <w:sz w:val="24"/>
          <w:szCs w:val="24"/>
          <w:rtl/>
        </w:rPr>
        <w:t xml:space="preserve"> והחוק מחייב את השוטר להזדהות, להסביר את הבסיס לחיפוש ולרשום אותו.</w:t>
      </w:r>
      <w:r>
        <w:rPr>
          <w:rStyle w:val="FootnoteReference"/>
        </w:rPr>
        <w:footnoteReference w:id="170"/>
      </w:r>
    </w:p>
    <w:p>
      <w:pPr>
        <w:bidi/>
        <w:spacing w:after="120" w:line="360"/>
        <w:ind w:firstLine="0"/>
        <w:jc w:val="both"/>
      </w:pPr>
      <w:r>
        <w:rPr>
          <w:rFonts w:ascii="David" w:cs="David" w:eastAsia="David" w:hAnsi="David"/>
          <w:sz w:val="24"/>
          <w:szCs w:val="24"/>
          <w:rtl/>
        </w:rPr>
        <w:t xml:space="preserve">דוח מקפרסון הגדיר גזענות ממסדית ככישלון קולקטיבי של ארגון, שיכול לנבוע מדעה קדומה לא מודעת ומסטריאוטיפים ולא רק מכוונה,</w:t>
      </w:r>
      <w:r>
        <w:rPr>
          <w:rStyle w:val="FootnoteReference"/>
        </w:rPr>
        <w:footnoteReference w:id="171"/>
      </w:r>
      <w:r>
        <w:rPr>
          <w:rFonts w:ascii="David" w:cs="David" w:eastAsia="David" w:hAnsi="David"/>
          <w:sz w:val="24"/>
          <w:szCs w:val="24"/>
          <w:rtl/>
        </w:rPr>
        <w:t xml:space="preserve"> והמליץ לרשום כל עיכוב, את סיבתו, את תוצאתו ואת הזהות האתנית שהאדם מגדיר לעצמו, ולמסור לו עותק.</w:t>
      </w:r>
      <w:r>
        <w:rPr>
          <w:rStyle w:val="FootnoteReference"/>
        </w:rPr>
        <w:footnoteReference w:id="172"/>
      </w:r>
      <w:r>
        <w:rPr>
          <w:rFonts w:ascii="David" w:cs="David" w:eastAsia="David" w:hAnsi="David"/>
          <w:sz w:val="24"/>
          <w:szCs w:val="24"/>
          <w:rtl/>
        </w:rPr>
        <w:t xml:space="preserve"> בעניין </w:t>
      </w:r>
      <w:r>
        <w:rPr>
          <w:rFonts w:ascii="David" w:cs="David" w:eastAsia="David" w:hAnsi="David"/>
          <w:i/>
          <w:iCs/>
          <w:sz w:val="24"/>
          <w:szCs w:val="24"/>
          <w:rtl w:val="false"/>
        </w:rPr>
        <w:t xml:space="preserve">Roberts‎</w:t>
      </w:r>
      <w:r>
        <w:rPr>
          <w:rFonts w:ascii="David" w:cs="David" w:eastAsia="David" w:hAnsi="David"/>
          <w:sz w:val="24"/>
          <w:szCs w:val="24"/>
          <w:rtl/>
        </w:rPr>
        <w:t xml:space="preserve"> הכיר בית המשפט העליון בכך שחיפוש ללא חשד עלול להיות מופעל באופן מפלה, אך מצא שמערך הבקרות, הסמכה בכתב, שקילת מידתיות, הגבלה בזמן ובמקום וכפיפות לביקורת, מכשיר אותו. עוד קבע שבסוף ההסמכה יש להעריך את המבצע גם לפי חוסר המידתיות ואמון הקהילה.</w:t>
      </w:r>
      <w:r>
        <w:rPr>
          <w:rStyle w:val="FootnoteReference"/>
        </w:rPr>
        <w:footnoteReference w:id="173"/>
      </w:r>
      <w:r>
        <w:rPr>
          <w:rFonts w:ascii="David" w:cs="David" w:eastAsia="David" w:hAnsi="David"/>
          <w:sz w:val="24"/>
          <w:szCs w:val="24"/>
          <w:rtl/>
        </w:rPr>
        <w:t xml:space="preserve"> לגבי המפגש עצמו נקבע שהשוטר חייב למסור את שמו ואת תחנתו, להסביר את הסמכות ואת מטרת החיפוש, לתעד זאת ולאפשר לאדם לקבל עותק.</w:t>
      </w:r>
      <w:r>
        <w:rPr>
          <w:rStyle w:val="FootnoteReference"/>
        </w:rPr>
        <w:footnoteReference w:id="174"/>
      </w:r>
    </w:p>
    <w:p>
      <w:pPr>
        <w:bidi/>
        <w:spacing w:after="120" w:line="360"/>
        <w:ind w:firstLine="0"/>
        <w:jc w:val="both"/>
      </w:pPr>
      <w:r>
        <w:rPr>
          <w:rFonts w:ascii="David" w:cs="David" w:eastAsia="David" w:hAnsi="David"/>
          <w:sz w:val="24"/>
          <w:szCs w:val="24"/>
          <w:rtl/>
        </w:rPr>
        <w:t xml:space="preserve">הפער בין הכללים ליישום נותר גדול. מפקח המשטרה מצא בשנת 2021 שאף משטרה אינה יכולה להסביר את חוסר המידתיות, ושהיעדר רישום של המוצא האתני מסתיר את היקפו.</w:t>
      </w:r>
      <w:r>
        <w:rPr>
          <w:rStyle w:val="FootnoteReference"/>
        </w:rPr>
        <w:footnoteReference w:id="175"/>
      </w:r>
      <w:r>
        <w:rPr>
          <w:rFonts w:ascii="David" w:cs="David" w:eastAsia="David" w:hAnsi="David"/>
          <w:sz w:val="24"/>
          <w:szCs w:val="24"/>
          <w:rtl/>
        </w:rPr>
        <w:t xml:space="preserve"> ניתוח משנת 2026 מצא שהסיכוי של אדם שחור לעבור עיכוב וחיפוש גבוה פי ארבעה, ושבלונדון שני שלישים מן החיפושים מסתיימים בלי פעולה נוספת.</w:t>
      </w:r>
      <w:r>
        <w:rPr>
          <w:rStyle w:val="FootnoteReference"/>
        </w:rPr>
        <w:footnoteReference w:id="176"/>
      </w:r>
      <w:r>
        <w:rPr>
          <w:rFonts w:ascii="David" w:cs="David" w:eastAsia="David" w:hAnsi="David"/>
          <w:sz w:val="24"/>
          <w:szCs w:val="24"/>
          <w:rtl/>
        </w:rPr>
        <w:t xml:space="preserve"> דוח לאמי הציע כלל של "הסבר או רפורמה" לפערים אתניים.</w:t>
      </w:r>
      <w:r>
        <w:rPr>
          <w:rStyle w:val="FootnoteReference"/>
        </w:rPr>
        <w:footnoteReference w:id="177"/>
      </w:r>
      <w:r>
        <w:rPr>
          <w:rFonts w:ascii="David" w:cs="David" w:eastAsia="David" w:hAnsi="David"/>
          <w:sz w:val="24"/>
          <w:szCs w:val="24"/>
          <w:rtl/>
        </w:rPr>
        <w:t xml:space="preserve"> בצד ההגנה החסרה, סגל מראה שדוקטרינת החובה הציבורית ודרישת הקרבה מובילות באנגליה לשלילת אחריות, ובעניין </w:t>
      </w:r>
      <w:r>
        <w:rPr>
          <w:rFonts w:ascii="David" w:cs="David" w:eastAsia="David" w:hAnsi="David"/>
          <w:i/>
          <w:iCs/>
          <w:sz w:val="24"/>
          <w:szCs w:val="24"/>
          <w:rtl w:val="false"/>
        </w:rPr>
        <w:t xml:space="preserve">Hill‎</w:t>
      </w:r>
      <w:r>
        <w:rPr>
          <w:rFonts w:ascii="David" w:cs="David" w:eastAsia="David" w:hAnsi="David"/>
          <w:sz w:val="24"/>
          <w:szCs w:val="24"/>
          <w:rtl/>
        </w:rPr>
        <w:t xml:space="preserve"> נדחתה תביעה על ניהול רשלני של חקירת רציחות.</w:t>
      </w:r>
      <w:r>
        <w:rPr>
          <w:rStyle w:val="FootnoteReference"/>
        </w:rPr>
        <w:footnoteReference w:id="178"/>
      </w:r>
      <w:r>
        <w:rPr>
          <w:rFonts w:ascii="David" w:cs="David" w:eastAsia="David" w:hAnsi="David"/>
          <w:sz w:val="24"/>
          <w:szCs w:val="24"/>
          <w:rtl/>
        </w:rPr>
        <w:t xml:space="preserve"> גלעד מוסיף שההגנה חלה במיוחד על החלטות תקציביות של הקצאת משאבים,</w:t>
      </w:r>
      <w:r>
        <w:rPr>
          <w:rStyle w:val="FootnoteReference"/>
        </w:rPr>
        <w:footnoteReference w:id="179"/>
      </w:r>
      <w:r>
        <w:rPr>
          <w:rFonts w:ascii="David" w:cs="David" w:eastAsia="David" w:hAnsi="David"/>
          <w:sz w:val="24"/>
          <w:szCs w:val="24"/>
          <w:rtl/>
        </w:rPr>
        <w:t xml:space="preserve"> ובעניין </w:t>
      </w:r>
      <w:r>
        <w:rPr>
          <w:rFonts w:ascii="David" w:cs="David" w:eastAsia="David" w:hAnsi="David"/>
          <w:i/>
          <w:iCs/>
          <w:sz w:val="24"/>
          <w:szCs w:val="24"/>
          <w:rtl w:val="false"/>
        </w:rPr>
        <w:t xml:space="preserve">Rigby‎</w:t>
      </w:r>
      <w:r>
        <w:rPr>
          <w:rFonts w:ascii="David" w:cs="David" w:eastAsia="David" w:hAnsi="David"/>
          <w:sz w:val="24"/>
          <w:szCs w:val="24"/>
          <w:rtl/>
        </w:rPr>
        <w:t xml:space="preserve"> הבחין בית המשפט בין החלטת מדיניות לבין ביצוע.</w:t>
      </w:r>
      <w:r>
        <w:rPr>
          <w:rStyle w:val="FootnoteReference"/>
        </w:rPr>
        <w:footnoteReference w:id="180"/>
      </w:r>
      <w:r>
        <w:rPr>
          <w:rFonts w:ascii="David" w:cs="David" w:eastAsia="David" w:hAnsi="David"/>
          <w:sz w:val="24"/>
          <w:szCs w:val="24"/>
          <w:rtl/>
        </w:rPr>
        <w:t xml:space="preserve"> בעניין </w:t>
      </w:r>
      <w:r>
        <w:rPr>
          <w:rFonts w:ascii="David" w:cs="David" w:eastAsia="David" w:hAnsi="David"/>
          <w:i/>
          <w:iCs/>
          <w:sz w:val="24"/>
          <w:szCs w:val="24"/>
          <w:rtl w:val="false"/>
        </w:rPr>
        <w:t xml:space="preserve">Kirkham‎</w:t>
      </w:r>
      <w:r>
        <w:rPr>
          <w:rFonts w:ascii="David" w:cs="David" w:eastAsia="David" w:hAnsi="David"/>
          <w:sz w:val="24"/>
          <w:szCs w:val="24"/>
          <w:rtl/>
        </w:rPr>
        <w:t xml:space="preserve">, לעומת זאת, הוטלה אחריות משום שהמשטרה יצרה סיכון אקטיבי.</w:t>
      </w:r>
      <w:r>
        <w:rPr>
          <w:rStyle w:val="FootnoteReference"/>
        </w:rPr>
        <w:footnoteReference w:id="181"/>
      </w:r>
      <w:r>
        <w:rPr>
          <w:rFonts w:ascii="David" w:cs="David" w:eastAsia="David" w:hAnsi="David"/>
          <w:sz w:val="24"/>
          <w:szCs w:val="24"/>
          <w:rtl/>
        </w:rPr>
        <w:t xml:space="preserve"> בעניין </w:t>
      </w:r>
      <w:r>
        <w:rPr>
          <w:rFonts w:ascii="David" w:cs="David" w:eastAsia="David" w:hAnsi="David"/>
          <w:i/>
          <w:iCs/>
          <w:sz w:val="24"/>
          <w:szCs w:val="24"/>
          <w:rtl w:val="false"/>
        </w:rPr>
        <w:t xml:space="preserve">Michael‎</w:t>
      </w:r>
      <w:r>
        <w:rPr>
          <w:rFonts w:ascii="David" w:cs="David" w:eastAsia="David" w:hAnsi="David"/>
          <w:sz w:val="24"/>
          <w:szCs w:val="24"/>
          <w:rtl/>
        </w:rPr>
        <w:t xml:space="preserve"> נקבע שככלל אין למשטרה חובת זהירות כלפי מי שנפגע מעבריין,</w:t>
      </w:r>
      <w:r>
        <w:rPr>
          <w:rStyle w:val="FootnoteReference"/>
        </w:rPr>
        <w:footnoteReference w:id="182"/>
      </w:r>
      <w:r>
        <w:rPr>
          <w:rFonts w:ascii="David" w:cs="David" w:eastAsia="David" w:hAnsi="David"/>
          <w:sz w:val="24"/>
          <w:szCs w:val="24"/>
          <w:rtl/>
        </w:rPr>
        <w:t xml:space="preserve"> אך בעניין </w:t>
      </w:r>
      <w:r>
        <w:rPr>
          <w:rFonts w:ascii="David" w:cs="David" w:eastAsia="David" w:hAnsi="David"/>
          <w:i/>
          <w:iCs/>
          <w:sz w:val="24"/>
          <w:szCs w:val="24"/>
          <w:rtl w:val="false"/>
        </w:rPr>
        <w:t xml:space="preserve">DSD‎</w:t>
      </w:r>
      <w:r>
        <w:rPr>
          <w:rFonts w:ascii="David" w:cs="David" w:eastAsia="David" w:hAnsi="David"/>
          <w:sz w:val="24"/>
          <w:szCs w:val="24"/>
          <w:rtl/>
        </w:rPr>
        <w:t xml:space="preserve"> נקבע שכשלים מבצעיים חמורים בחקירה מפרים את חובת החקירה מכוח חוק זכויות האדם.</w:t>
      </w:r>
      <w:r>
        <w:rPr>
          <w:rStyle w:val="FootnoteReference"/>
        </w:rPr>
        <w:footnoteReference w:id="183"/>
      </w:r>
    </w:p>
    <w:p>
      <w:pPr>
        <w:pStyle w:val="Heading2"/>
        <w:bidi/>
        <w:spacing w:after="160" w:before="240"/>
        <w:jc w:val="right"/>
      </w:pPr>
      <w:r>
        <w:rPr>
          <w:rFonts w:ascii="David" w:cs="David" w:eastAsia="David" w:hAnsi="David"/>
          <w:b/>
          <w:bCs/>
          <w:sz w:val="28"/>
          <w:szCs w:val="28"/>
          <w:rtl/>
        </w:rPr>
        <w:t xml:space="preserve">6.4 מסקנות ההשוואה והשלכותיהן על רפורמת אמו"ן</w:t>
      </w:r>
    </w:p>
    <w:p>
      <w:pPr>
        <w:bidi/>
        <w:spacing w:after="120" w:line="360"/>
        <w:ind w:firstLine="0"/>
        <w:jc w:val="both"/>
      </w:pPr>
      <w:r>
        <w:rPr>
          <w:rFonts w:ascii="David" w:cs="David" w:eastAsia="David" w:hAnsi="David"/>
          <w:sz w:val="24"/>
          <w:szCs w:val="24"/>
          <w:rtl/>
        </w:rPr>
        <w:t xml:space="preserve">ראשית, בחירת יעד מבוססת נתונים, כפי שאמו"ן דורשת, אינה מספיקה בלי כללים להפעלת הסמכות בתוך האזור שנבחר. שנית, האיסור לבסס חשד על מאפיינים אישיים קיים גם בישראל, מכוח עניין </w:t>
      </w:r>
      <w:r>
        <w:rPr>
          <w:rFonts w:ascii="David" w:cs="David" w:eastAsia="David" w:hAnsi="David"/>
          <w:b/>
          <w:bCs/>
          <w:sz w:val="24"/>
          <w:szCs w:val="24"/>
          <w:rtl/>
        </w:rPr>
        <w:t xml:space="preserve">טבקה</w:t>
      </w:r>
      <w:r>
        <w:rPr>
          <w:rFonts w:ascii="David" w:cs="David" w:eastAsia="David" w:hAnsi="David"/>
          <w:sz w:val="24"/>
          <w:szCs w:val="24"/>
          <w:rtl/>
        </w:rPr>
        <w:t xml:space="preserve">,</w:t>
      </w:r>
      <w:r>
        <w:rPr>
          <w:rStyle w:val="FootnoteReference"/>
        </w:rPr>
        <w:footnoteReference w:id="184"/>
      </w:r>
      <w:r>
        <w:rPr>
          <w:rFonts w:ascii="David" w:cs="David" w:eastAsia="David" w:hAnsi="David"/>
          <w:sz w:val="24"/>
          <w:szCs w:val="24"/>
          <w:rtl/>
        </w:rPr>
        <w:t xml:space="preserve"> אך באנגליה הוא הוראת עבודה יומיומית ולא רק כלל שיפוטי שמופעל בדיעבד. שלישית, התיעוד מרסן את השוטר בזמן אמת ויוצר את הנתונים שבלעדיהם אי אפשר לזהות פערים; בלי תיעוד, הפערים אינם נעלמים אלא רק מפסיקים להיות מדידים.</w:t>
      </w:r>
      <w:r>
        <w:rPr>
          <w:rStyle w:val="FootnoteReference"/>
        </w:rPr>
        <w:footnoteReference w:id="185"/>
      </w:r>
      <w:r>
        <w:rPr>
          <w:rFonts w:ascii="David" w:cs="David" w:eastAsia="David" w:hAnsi="David"/>
          <w:sz w:val="24"/>
          <w:szCs w:val="24"/>
          <w:rtl/>
        </w:rPr>
        <w:t xml:space="preserve"> רביעית, נדרש גורם שבודק את המדידה, בין בבחינה קהילתית, בין בכלל של הסבר או רפורמה ובין במפקח חיצוני. מערכת המדידה של אמו"ן אינה מודדת את התפלגות המפגשים בין קבוצות,</w:t>
      </w:r>
      <w:r>
        <w:rPr>
          <w:rStyle w:val="FootnoteReference"/>
        </w:rPr>
        <w:footnoteReference w:id="186"/>
      </w:r>
      <w:r>
        <w:rPr>
          <w:rFonts w:ascii="David" w:cs="David" w:eastAsia="David" w:hAnsi="David"/>
          <w:sz w:val="24"/>
          <w:szCs w:val="24"/>
          <w:rtl/>
        </w:rPr>
        <w:t xml:space="preserve"> אך היא יכולה לשמש בסיס להרחבה כזו.</w:t>
      </w:r>
    </w:p>
    <w:p>
      <w:pPr>
        <w:bidi/>
        <w:spacing w:after="120" w:line="360"/>
        <w:ind w:firstLine="0"/>
        <w:jc w:val="both"/>
      </w:pPr>
      <w:r>
        <w:rPr>
          <w:rFonts w:ascii="David" w:cs="David" w:eastAsia="David" w:hAnsi="David"/>
          <w:sz w:val="24"/>
          <w:szCs w:val="24"/>
          <w:rtl/>
        </w:rPr>
        <w:t xml:space="preserve">בשאלת ההגנה החסרה, בישראל קיימת מגמה של אחריות נזיקית רחבה יותר של רשויות,</w:t>
      </w:r>
      <w:r>
        <w:rPr>
          <w:rStyle w:val="FootnoteReference"/>
        </w:rPr>
        <w:footnoteReference w:id="187"/>
      </w:r>
      <w:r>
        <w:rPr>
          <w:rFonts w:ascii="David" w:cs="David" w:eastAsia="David" w:hAnsi="David"/>
          <w:sz w:val="24"/>
          <w:szCs w:val="24"/>
          <w:rtl/>
        </w:rPr>
        <w:t xml:space="preserve"> אם כי גם כאן מבחינה הפסיקה בין קביעת סדרי עדיפויות לבין ביצוע פעולה מסוימת.</w:t>
      </w:r>
      <w:r>
        <w:rPr>
          <w:rStyle w:val="FootnoteReference"/>
        </w:rPr>
        <w:footnoteReference w:id="188"/>
      </w:r>
      <w:r>
        <w:rPr>
          <w:rFonts w:ascii="David" w:cs="David" w:eastAsia="David" w:hAnsi="David"/>
          <w:sz w:val="24"/>
          <w:szCs w:val="24"/>
          <w:rtl/>
        </w:rPr>
        <w:t xml:space="preserve"> סעיף 3 לחוק הנזיקים האזרחיים (אחריות המדינה) מוציא את הרשלנות מן החסינות,</w:t>
      </w:r>
      <w:r>
        <w:rPr>
          <w:rStyle w:val="FootnoteReference"/>
        </w:rPr>
        <w:footnoteReference w:id="189"/>
      </w:r>
      <w:r>
        <w:rPr>
          <w:rFonts w:ascii="David" w:cs="David" w:eastAsia="David" w:hAnsi="David"/>
          <w:sz w:val="24"/>
          <w:szCs w:val="24"/>
          <w:rtl/>
        </w:rPr>
        <w:t xml:space="preserve"> אך בקטגוריה של אי-מניעת נזק שגרם אחר רוב פסקי הדין לא הטילו אחריות, כמו בעניין </w:t>
      </w:r>
      <w:r>
        <w:rPr>
          <w:rFonts w:ascii="David" w:cs="David" w:eastAsia="David" w:hAnsi="David"/>
          <w:b/>
          <w:bCs/>
          <w:sz w:val="24"/>
          <w:szCs w:val="24"/>
          <w:rtl/>
        </w:rPr>
        <w:t xml:space="preserve">פלונים</w:t>
      </w:r>
      <w:r>
        <w:rPr>
          <w:rFonts w:ascii="David" w:cs="David" w:eastAsia="David" w:hAnsi="David"/>
          <w:sz w:val="24"/>
          <w:szCs w:val="24"/>
          <w:rtl/>
        </w:rPr>
        <w:t xml:space="preserve">.</w:t>
      </w:r>
      <w:r>
        <w:rPr>
          <w:rStyle w:val="FootnoteReference"/>
        </w:rPr>
        <w:footnoteReference w:id="190"/>
      </w:r>
      <w:r>
        <w:rPr>
          <w:rFonts w:ascii="David" w:cs="David" w:eastAsia="David" w:hAnsi="David"/>
          <w:sz w:val="24"/>
          <w:szCs w:val="24"/>
          <w:rtl/>
        </w:rPr>
        <w:t xml:space="preserve"> גלעד מציע שיקול נגדי: חומרת המחדל גדלה כשלרשות יש "מונופול" על השליטה בסיכון, כמו המונופול המשטרתי על מניעת עבירות,</w:t>
      </w:r>
      <w:r>
        <w:rPr>
          <w:rStyle w:val="FootnoteReference"/>
        </w:rPr>
        <w:footnoteReference w:id="191"/>
      </w:r>
      <w:r>
        <w:rPr>
          <w:rFonts w:ascii="David" w:cs="David" w:eastAsia="David" w:hAnsi="David"/>
          <w:sz w:val="24"/>
          <w:szCs w:val="24"/>
          <w:rtl/>
        </w:rPr>
        <w:t xml:space="preserve"> ודרומי מגיע למסקנה דומה לגבי המונופול של המשטרה על הכוח במרחב הציבורי.</w:t>
      </w:r>
      <w:r>
        <w:rPr>
          <w:rStyle w:val="FootnoteReference"/>
        </w:rPr>
        <w:footnoteReference w:id="192"/>
      </w:r>
      <w:r>
        <w:rPr>
          <w:rFonts w:ascii="David" w:cs="David" w:eastAsia="David" w:hAnsi="David"/>
          <w:sz w:val="24"/>
          <w:szCs w:val="24"/>
          <w:rtl/>
        </w:rPr>
        <w:t xml:space="preserve"> בצד שיטור היתר, עיכוב בלי סמכות כדין הוא פגיעה פיזית בחירות,</w:t>
      </w:r>
      <w:r>
        <w:rPr>
          <w:rStyle w:val="FootnoteReference"/>
        </w:rPr>
        <w:footnoteReference w:id="193"/>
      </w:r>
      <w:r>
        <w:rPr>
          <w:rFonts w:ascii="David" w:cs="David" w:eastAsia="David" w:hAnsi="David"/>
          <w:sz w:val="24"/>
          <w:szCs w:val="24"/>
          <w:rtl/>
        </w:rPr>
        <w:t xml:space="preserve"> ובעניין </w:t>
      </w:r>
      <w:r>
        <w:rPr>
          <w:rFonts w:ascii="David" w:cs="David" w:eastAsia="David" w:hAnsi="David"/>
          <w:b/>
          <w:bCs/>
          <w:sz w:val="24"/>
          <w:szCs w:val="24"/>
          <w:rtl/>
        </w:rPr>
        <w:t xml:space="preserve">בוסקילה</w:t>
      </w:r>
      <w:r>
        <w:rPr>
          <w:rFonts w:ascii="David" w:cs="David" w:eastAsia="David" w:hAnsi="David"/>
          <w:sz w:val="24"/>
          <w:szCs w:val="24"/>
          <w:rtl/>
        </w:rPr>
        <w:t xml:space="preserve"> נפסק פיצוי על מעצר שלא כדין ועל פגיעה בקניין ובחופש התנועה.</w:t>
      </w:r>
      <w:r>
        <w:rPr>
          <w:rStyle w:val="FootnoteReference"/>
        </w:rPr>
        <w:footnoteReference w:id="194"/>
      </w:r>
      <w:r>
        <w:rPr>
          <w:rFonts w:ascii="David" w:cs="David" w:eastAsia="David" w:hAnsi="David"/>
          <w:sz w:val="24"/>
          <w:szCs w:val="24"/>
          <w:rtl/>
        </w:rPr>
        <w:t xml:space="preserve"> בעניין </w:t>
      </w:r>
      <w:r>
        <w:rPr>
          <w:rFonts w:ascii="David" w:cs="David" w:eastAsia="David" w:hAnsi="David"/>
          <w:b/>
          <w:bCs/>
          <w:sz w:val="24"/>
          <w:szCs w:val="24"/>
          <w:rtl/>
        </w:rPr>
        <w:t xml:space="preserve">פדידה</w:t>
      </w:r>
      <w:r>
        <w:rPr>
          <w:rFonts w:ascii="David" w:cs="David" w:eastAsia="David" w:hAnsi="David"/>
          <w:sz w:val="24"/>
          <w:szCs w:val="24"/>
          <w:rtl/>
        </w:rPr>
        <w:t xml:space="preserve"> הזכירה השופטת וילנר שלאיזון שנקבע לא יהיה ערך "אם יישאר כאיזון תיאורטי, הקיים 'על הנייר בלבד'".</w:t>
      </w:r>
      <w:r>
        <w:rPr>
          <w:rStyle w:val="FootnoteReference"/>
        </w:rPr>
        <w:footnoteReference w:id="195"/>
      </w:r>
      <w:r>
        <w:rPr>
          <w:rFonts w:ascii="David" w:cs="David" w:eastAsia="David" w:hAnsi="David"/>
          <w:sz w:val="24"/>
          <w:szCs w:val="24"/>
          <w:rtl/>
        </w:rPr>
        <w:t xml:space="preserve"> שיעור כתבי אישום של 3% עד 5% בעבירות ירי אינו מקים כשלעצמו עילה, אך מצדיק דיון בחובות המשטרה ובביקורת על מילוין. ההשוואה מחייבת זהירות, משום שהפערים בארצות הברית ובבריטניה נטועים בהיסטוריה ובמוסדות אחרים. מה שאפשר לאמץ אינו התוצאה אלא השיטה: לתעד, לפרסם, להשוות בין קבוצות ולהסביר או לתקן. דוח מקפרסון נכתב בעקבות רצח סטיבן לורנס והכשלים בחקירתו,</w:t>
      </w:r>
      <w:r>
        <w:rPr>
          <w:rStyle w:val="FootnoteReference"/>
        </w:rPr>
        <w:footnoteReference w:id="196"/>
      </w:r>
      <w:r>
        <w:rPr>
          <w:rFonts w:ascii="David" w:cs="David" w:eastAsia="David" w:hAnsi="David"/>
          <w:sz w:val="24"/>
          <w:szCs w:val="24"/>
          <w:rtl/>
        </w:rPr>
        <w:t xml:space="preserve"> וגם עשרות שנים אחריו לא הוסברו עד הסוף הפערים בהפעלת הסמכויות.</w:t>
      </w:r>
      <w:r>
        <w:rPr>
          <w:rStyle w:val="FootnoteReference"/>
        </w:rPr>
        <w:footnoteReference w:id="197"/>
      </w:r>
      <w:r>
        <w:rPr>
          <w:rFonts w:ascii="David" w:cs="David" w:eastAsia="David" w:hAnsi="David"/>
          <w:sz w:val="24"/>
          <w:szCs w:val="24"/>
          <w:rtl/>
        </w:rPr>
        <w:t xml:space="preserve"> מכאן שלא די בהקמת מנגנון, ונדרש מעקב מתמשך, ובאמו"ן אפשר לבנות את מנגנוני התיעוד והפיקוח כחלק מן הפעילות השוטפת, בלי להמתין לכשל שיחייב בדיקה בדיעבד.</w:t>
      </w:r>
    </w:p>
    <w:p>
      <w:pPr>
        <w:pStyle w:val="Heading1"/>
        <w:bidi/>
        <w:spacing w:after="160" w:before="240"/>
        <w:jc w:val="center"/>
      </w:pPr>
      <w:r>
        <w:rPr>
          <w:rFonts w:ascii="David" w:cs="David" w:eastAsia="David" w:hAnsi="David"/>
          <w:b/>
          <w:bCs/>
          <w:sz w:val="32"/>
          <w:szCs w:val="32"/>
          <w:rtl/>
        </w:rPr>
        <w:t xml:space="preserve">7. דיון: כשל במודל העקרוני או כשל ביישום?</w:t>
      </w:r>
    </w:p>
    <w:p>
      <w:pPr>
        <w:pStyle w:val="Heading2"/>
        <w:bidi/>
        <w:spacing w:after="160" w:before="240"/>
        <w:jc w:val="right"/>
      </w:pPr>
      <w:r>
        <w:rPr>
          <w:rFonts w:ascii="David" w:cs="David" w:eastAsia="David" w:hAnsi="David"/>
          <w:b/>
          <w:bCs/>
          <w:sz w:val="28"/>
          <w:szCs w:val="28"/>
          <w:rtl/>
        </w:rPr>
        <w:t xml:space="preserve">7.1 תוקפו של המודל העקרוני</w:t>
      </w:r>
    </w:p>
    <w:p>
      <w:pPr>
        <w:bidi/>
        <w:spacing w:after="120" w:line="360"/>
        <w:ind w:firstLine="0"/>
        <w:jc w:val="both"/>
      </w:pPr>
      <w:r>
        <w:rPr>
          <w:rFonts w:ascii="David" w:cs="David" w:eastAsia="David" w:hAnsi="David"/>
          <w:sz w:val="24"/>
          <w:szCs w:val="24"/>
          <w:rtl/>
        </w:rPr>
        <w:t xml:space="preserve">שאלת המחקר מחייבת הכרעה ולא רק סיכום. ההכרעה נבנית בשלושה שלבים: בחינת תוקפו של המודל העקרוני, בחינת רכיבי היישום, ובחינת האפשרות שמקור המגבלה הוא בהיקף שהמודל מכסה מלכתחילה. כל אחת מן התשובות מובילה למסקנות מדיניות אחרות.</w:t>
      </w:r>
    </w:p>
    <w:p>
      <w:pPr>
        <w:bidi/>
        <w:spacing w:after="120" w:line="360"/>
        <w:ind w:firstLine="0"/>
        <w:jc w:val="both"/>
      </w:pPr>
      <w:r>
        <w:rPr>
          <w:rFonts w:ascii="David" w:cs="David" w:eastAsia="David" w:hAnsi="David"/>
          <w:sz w:val="24"/>
          <w:szCs w:val="24"/>
          <w:rtl/>
        </w:rPr>
        <w:t xml:space="preserve">הראיות אינן תומכות בייחוס הקשיים למודל העקרוני עצמו. שיטור מוכוון בעיות נמצא קשור לירידה מובהקת בפשיעה על פני 34 מחקרים ובסוגי בעיות שונים,</w:t>
      </w:r>
      <w:r>
        <w:rPr>
          <w:rStyle w:val="FootnoteReference"/>
        </w:rPr>
        <w:footnoteReference w:id="198"/>
      </w:r>
      <w:r>
        <w:rPr>
          <w:rFonts w:ascii="David" w:cs="David" w:eastAsia="David" w:hAnsi="David"/>
          <w:sz w:val="24"/>
          <w:szCs w:val="24"/>
          <w:rtl/>
        </w:rPr>
        <w:t xml:space="preserve"> וגם שיטור נקודות חמות והרתעה ממוקדת נמצאו יעילים.</w:t>
      </w:r>
      <w:r>
        <w:rPr>
          <w:rStyle w:val="FootnoteReference"/>
        </w:rPr>
        <w:footnoteReference w:id="199"/>
      </w:r>
      <w:r>
        <w:rPr>
          <w:rFonts w:ascii="David" w:cs="David" w:eastAsia="David" w:hAnsi="David"/>
          <w:sz w:val="24"/>
          <w:szCs w:val="24"/>
          <w:rtl/>
        </w:rPr>
        <w:t xml:space="preserve"> בישראל הושגו תוצאות חיוביות בסל הרכוש,</w:t>
      </w:r>
      <w:r>
        <w:rPr>
          <w:rStyle w:val="FootnoteReference"/>
        </w:rPr>
        <w:footnoteReference w:id="200"/>
      </w:r>
      <w:r>
        <w:rPr>
          <w:rFonts w:ascii="David" w:cs="David" w:eastAsia="David" w:hAnsi="David"/>
          <w:sz w:val="24"/>
          <w:szCs w:val="24"/>
          <w:rtl/>
        </w:rPr>
        <w:t xml:space="preserve"> והחוקרים עצמם ייחסו את הכישלונות בסלי האלימות והירי ליישום חלקי ולתוכניות שאינן שלמות.</w:t>
      </w:r>
      <w:r>
        <w:rPr>
          <w:rStyle w:val="FootnoteReference"/>
        </w:rPr>
        <w:footnoteReference w:id="201"/>
      </w:r>
      <w:r>
        <w:rPr>
          <w:rFonts w:ascii="David" w:cs="David" w:eastAsia="David" w:hAnsi="David"/>
          <w:sz w:val="24"/>
          <w:szCs w:val="24"/>
          <w:rtl/>
        </w:rPr>
        <w:t xml:space="preserve"> עם זאת, הצלחה בסל אחד אינה מוכיחה שכל קושי בסל אחר נובע מביצוע לקוי; הבדלים עשויים לנבוע גם מסוג העבירה ומהתאמת הכלים אליה.</w:t>
      </w:r>
    </w:p>
    <w:p>
      <w:pPr>
        <w:bidi/>
        <w:spacing w:after="120" w:line="360"/>
        <w:ind w:firstLine="0"/>
        <w:jc w:val="both"/>
      </w:pPr>
      <w:r>
        <w:rPr>
          <w:rFonts w:ascii="David" w:cs="David" w:eastAsia="David" w:hAnsi="David"/>
          <w:sz w:val="24"/>
          <w:szCs w:val="24"/>
          <w:rtl/>
        </w:rPr>
        <w:t xml:space="preserve">תוקף כללי של מודל אינו מבטיח שהוא שלם. אסטרטגיות יזומות עלולות לשחוק ערכים משפטיים גם בלי להפר את החוקה, ומיקוד בסיכון גבוה צפוי ליצור פערים במפגשים.</w:t>
      </w:r>
      <w:r>
        <w:rPr>
          <w:rStyle w:val="FootnoteReference"/>
        </w:rPr>
        <w:footnoteReference w:id="202"/>
      </w:r>
      <w:r>
        <w:rPr>
          <w:rFonts w:ascii="David" w:cs="David" w:eastAsia="David" w:hAnsi="David"/>
          <w:sz w:val="24"/>
          <w:szCs w:val="24"/>
          <w:rtl/>
        </w:rPr>
        <w:t xml:space="preserve"> מנגד, בהתערבויות של פתרון בעיות כמעט לא נמצאו השפעות שליליות על עמדות הציבור, בשונה מהתערבויות ממוקדות אנשים.</w:t>
      </w:r>
      <w:r>
        <w:rPr>
          <w:rStyle w:val="FootnoteReference"/>
        </w:rPr>
        <w:footnoteReference w:id="203"/>
      </w:r>
      <w:r>
        <w:rPr>
          <w:rFonts w:ascii="David" w:cs="David" w:eastAsia="David" w:hAnsi="David"/>
          <w:sz w:val="24"/>
          <w:szCs w:val="24"/>
          <w:rtl/>
        </w:rPr>
        <w:t xml:space="preserve"> לכן יש לבדוק אילו פעולות נכללות בפועל בתוכניות של אמו"ן, ולא להסתפק בשם "פתרון בעיות".</w:t>
      </w:r>
    </w:p>
    <w:p>
      <w:pPr>
        <w:bidi/>
        <w:spacing w:after="120" w:line="360"/>
        <w:ind w:firstLine="0"/>
        <w:jc w:val="both"/>
      </w:pPr>
      <w:r>
        <w:rPr>
          <w:rFonts w:ascii="David" w:cs="David" w:eastAsia="David" w:hAnsi="David"/>
          <w:sz w:val="24"/>
          <w:szCs w:val="24"/>
          <w:rtl/>
        </w:rPr>
        <w:t xml:space="preserve">השאלה השלישית, שעניינה היקף המודל, מתחדדת דווקא בתחום הירי. אמו"ן בנויה על ההנחה שהבעיה מקומית ושאפשר לטפל בה ברמת התחנה. אבל מקורות הנשק ארציים, רבים מן היורים אינם עבריינים מוכרים, והקושי לגבות עדויות נובע מיחסי אמון שנבנו לאורך שנים.</w:t>
      </w:r>
      <w:r>
        <w:rPr>
          <w:rStyle w:val="FootnoteReference"/>
        </w:rPr>
        <w:footnoteReference w:id="204"/>
      </w:r>
      <w:r>
        <w:rPr>
          <w:rFonts w:ascii="David" w:cs="David" w:eastAsia="David" w:hAnsi="David"/>
          <w:sz w:val="24"/>
          <w:szCs w:val="24"/>
          <w:rtl/>
        </w:rPr>
        <w:t xml:space="preserve"> בתנאים כאלה, גם יישום מושלם של המודל ברמת התחנה עשוי שלא להספיק, משום שחלק מן הגורמים לבעיה נמצאים מחוץ לתחום שהמודל מכסה. אין פירוש הדבר שהמודל שגוי, אלא שהוא צריך להשתלב במענה רחב יותר, שכולל גם גורמים ארציים, מערכי חקירה ומענים חברתיים לצעירים שנשרו ממסגרות.</w:t>
      </w:r>
      <w:r>
        <w:rPr>
          <w:rStyle w:val="FootnoteReference"/>
        </w:rPr>
        <w:footnoteReference w:id="205"/>
      </w:r>
    </w:p>
    <w:p>
      <w:pPr>
        <w:pStyle w:val="Heading2"/>
        <w:bidi/>
        <w:spacing w:after="160" w:before="240"/>
        <w:jc w:val="right"/>
      </w:pPr>
      <w:r>
        <w:rPr>
          <w:rFonts w:ascii="David" w:cs="David" w:eastAsia="David" w:hAnsi="David"/>
          <w:b/>
          <w:bCs/>
          <w:sz w:val="28"/>
          <w:szCs w:val="28"/>
          <w:rtl/>
        </w:rPr>
        <w:t xml:space="preserve">7.2 כשלי היישום בשלבי הסריקה, הניתוח, התגובה וההערכה</w:t>
      </w:r>
    </w:p>
    <w:p>
      <w:pPr>
        <w:bidi/>
        <w:spacing w:after="120" w:line="360"/>
        <w:ind w:firstLine="0"/>
        <w:jc w:val="both"/>
      </w:pPr>
      <w:r>
        <w:rPr>
          <w:rFonts w:ascii="David" w:cs="David" w:eastAsia="David" w:hAnsi="David"/>
          <w:sz w:val="24"/>
          <w:szCs w:val="24"/>
          <w:rtl/>
        </w:rPr>
        <w:t xml:space="preserve">בכל אחד מארבעת שלבי המודל נמצא כשל. בשלב הסריקה, רף מספרי לאישור פוליגון הוביל להרחבת הבעיות והאזורים, עד כדי הגדרת יישוב שלם כפוליגון,</w:t>
      </w:r>
      <w:r>
        <w:rPr>
          <w:rStyle w:val="FootnoteReference"/>
        </w:rPr>
        <w:footnoteReference w:id="206"/>
      </w:r>
      <w:r>
        <w:rPr>
          <w:rFonts w:ascii="David" w:cs="David" w:eastAsia="David" w:hAnsi="David"/>
          <w:sz w:val="24"/>
          <w:szCs w:val="24"/>
          <w:rtl/>
        </w:rPr>
        <w:t xml:space="preserve"> בניגוד לדרישה של אק וספלמן להתמקד בבעיות מוגדרות.</w:t>
      </w:r>
      <w:r>
        <w:rPr>
          <w:rStyle w:val="FootnoteReference"/>
        </w:rPr>
        <w:footnoteReference w:id="207"/>
      </w:r>
      <w:r>
        <w:rPr>
          <w:rFonts w:ascii="David" w:cs="David" w:eastAsia="David" w:hAnsi="David"/>
          <w:sz w:val="24"/>
          <w:szCs w:val="24"/>
          <w:rtl/>
        </w:rPr>
        <w:t xml:space="preserve"> בשלב הניתוח נחסם המיקוד המרחבי ביישובים ערביים בגלל מגבלה בתשתית המידע.</w:t>
      </w:r>
      <w:r>
        <w:rPr>
          <w:rStyle w:val="FootnoteReference"/>
        </w:rPr>
        <w:footnoteReference w:id="208"/>
      </w:r>
      <w:r>
        <w:rPr>
          <w:rFonts w:ascii="David" w:cs="David" w:eastAsia="David" w:hAnsi="David"/>
          <w:sz w:val="24"/>
          <w:szCs w:val="24"/>
          <w:rtl/>
        </w:rPr>
        <w:t xml:space="preserve"> זהו פער באפקטיביות בין אוכלוסיות שנוצר בלי כוונה מפלה, ולכן גם גישה שווה לכלי ניתוח היא שאלה של שוויון. בשלב התגובה חסרו בחבילת ההרתעה הממוקדת המפגש עם העבריינים והרכיב השיקומי,</w:t>
      </w:r>
      <w:r>
        <w:rPr>
          <w:rStyle w:val="FootnoteReference"/>
        </w:rPr>
        <w:footnoteReference w:id="209"/>
      </w:r>
      <w:r>
        <w:rPr>
          <w:rFonts w:ascii="David" w:cs="David" w:eastAsia="David" w:hAnsi="David"/>
          <w:sz w:val="24"/>
          <w:szCs w:val="24"/>
          <w:rtl/>
        </w:rPr>
        <w:t xml:space="preserve"> אף שהרכיב הקהילתי הוא יסוד של התוכנית.</w:t>
      </w:r>
      <w:r>
        <w:rPr>
          <w:rStyle w:val="FootnoteReference"/>
        </w:rPr>
        <w:footnoteReference w:id="210"/>
      </w:r>
      <w:r>
        <w:rPr>
          <w:rFonts w:ascii="David" w:cs="David" w:eastAsia="David" w:hAnsi="David"/>
          <w:sz w:val="24"/>
          <w:szCs w:val="24"/>
          <w:rtl/>
        </w:rPr>
        <w:t xml:space="preserve"> בשלב ההערכה לא נמצא מתאם בין ציון ביצוע התוכנית לבין ירידה בפשיעה,</w:t>
      </w:r>
      <w:r>
        <w:rPr>
          <w:rStyle w:val="FootnoteReference"/>
        </w:rPr>
        <w:footnoteReference w:id="211"/>
      </w:r>
      <w:r>
        <w:rPr>
          <w:rFonts w:ascii="David" w:cs="David" w:eastAsia="David" w:hAnsi="David"/>
          <w:sz w:val="24"/>
          <w:szCs w:val="24"/>
          <w:rtl/>
        </w:rPr>
        <w:t xml:space="preserve"> כלומר רפורמה שהתחייבה למדוד תוצאות מדדה בפועל תפוקות.</w:t>
      </w:r>
    </w:p>
    <w:p>
      <w:pPr>
        <w:bidi/>
        <w:spacing w:after="120" w:line="360"/>
        <w:ind w:firstLine="0"/>
        <w:jc w:val="both"/>
      </w:pPr>
      <w:r>
        <w:rPr>
          <w:rFonts w:ascii="David" w:cs="David" w:eastAsia="David" w:hAnsi="David"/>
          <w:sz w:val="24"/>
          <w:szCs w:val="24"/>
          <w:rtl/>
        </w:rPr>
        <w:t xml:space="preserve">מחסור במשאבים חוצה את כל הכשלים: בסל הרכוש לא נמצא שיפור בתחנה הדלה במשאבים,</w:t>
      </w:r>
      <w:r>
        <w:rPr>
          <w:rStyle w:val="FootnoteReference"/>
        </w:rPr>
        <w:footnoteReference w:id="212"/>
      </w:r>
      <w:r>
        <w:rPr>
          <w:rFonts w:ascii="David" w:cs="David" w:eastAsia="David" w:hAnsi="David"/>
          <w:sz w:val="24"/>
          <w:szCs w:val="24"/>
          <w:rtl/>
        </w:rPr>
        <w:t xml:space="preserve"> ובסל הירי דיווחו התחנות על פער בין המשאבים לבין היקף הבעיה.</w:t>
      </w:r>
      <w:r>
        <w:rPr>
          <w:rStyle w:val="FootnoteReference"/>
        </w:rPr>
        <w:footnoteReference w:id="213"/>
      </w:r>
      <w:r>
        <w:rPr>
          <w:rFonts w:ascii="David" w:cs="David" w:eastAsia="David" w:hAnsi="David"/>
          <w:sz w:val="24"/>
          <w:szCs w:val="24"/>
          <w:rtl/>
        </w:rPr>
        <w:t xml:space="preserve"> מבקר המדינה מצא את אותו פער בין המערכים המבצעיים לבין מספר החוקרים.</w:t>
      </w:r>
      <w:r>
        <w:rPr>
          <w:rStyle w:val="FootnoteReference"/>
        </w:rPr>
        <w:footnoteReference w:id="214"/>
      </w:r>
      <w:r>
        <w:rPr>
          <w:rFonts w:ascii="David" w:cs="David" w:eastAsia="David" w:hAnsi="David"/>
          <w:sz w:val="24"/>
          <w:szCs w:val="24"/>
          <w:rtl/>
        </w:rPr>
        <w:t xml:space="preserve"> פדן מציין שעל אף התפיסה הכוללת של אמו"ן, לא נבנתה בפרקליטות תוכנית מקבילה, ושיתופי הפעולה בין הגופים נמשכו רק בהקשרים של תיקים ופרשות מסוימים.</w:t>
      </w:r>
      <w:r>
        <w:rPr>
          <w:rStyle w:val="FootnoteReference"/>
        </w:rPr>
        <w:footnoteReference w:id="215"/>
      </w:r>
      <w:r>
        <w:rPr>
          <w:rFonts w:ascii="David" w:cs="David" w:eastAsia="David" w:hAnsi="David"/>
          <w:sz w:val="24"/>
          <w:szCs w:val="24"/>
          <w:rtl/>
        </w:rPr>
        <w:t xml:space="preserve"> כשלי הסריקה וההערכה הם כשלים בעיצוב הכלי הארגוני, ואפשר לתקנם בנהלים. כשלי הניתוח והתגובה תלויים בתשתית ובמשאבים, ותיקונם דורש השקעה ארוכת טווח.</w:t>
      </w:r>
    </w:p>
    <w:p>
      <w:pPr>
        <w:bidi/>
        <w:spacing w:after="120" w:line="360"/>
        <w:ind w:firstLine="0"/>
        <w:jc w:val="both"/>
      </w:pPr>
      <w:r>
        <w:rPr>
          <w:rFonts w:ascii="David" w:cs="David" w:eastAsia="David" w:hAnsi="David"/>
          <w:sz w:val="24"/>
          <w:szCs w:val="24"/>
          <w:rtl/>
        </w:rPr>
        <w:t xml:space="preserve">הכשלים גם אינם בלתי תלויים זה בזה. מבקר המדינה מתאר קשיים בחקירה ובגיבוש ראיות, ולצידם חסמים ביחסי המשטרה עם הציבור, שמזינים את חוסר האמון ואת מעגל הירי. באמו"ן, זיהוי הבעיות נשען גם על נתוני אירועים וגם על עמדות התושבים.</w:t>
      </w:r>
      <w:r>
        <w:rPr>
          <w:rStyle w:val="FootnoteReference"/>
        </w:rPr>
        <w:footnoteReference w:id="216"/>
      </w:r>
      <w:r>
        <w:rPr>
          <w:rFonts w:ascii="David" w:cs="David" w:eastAsia="David" w:hAnsi="David"/>
          <w:sz w:val="24"/>
          <w:szCs w:val="24"/>
          <w:rtl/>
        </w:rPr>
        <w:t xml:space="preserve"> מכאן שהקשיים בחקירה ובקשר עם הציבור עלולים להכביד גם על הפעלת המודל עצמו, ולכן יש לבחון את השפעתם יחד ולא להניח שתיקון של רכיב אחד יספיק. סדר העדיפויות המתבקש הוא להתחיל בכשלים הארגוניים, שתיקונם מהיר יחסית, ובמקביל למפות את הצרכים בתשתית המידע ובכוח האדם.</w:t>
      </w:r>
    </w:p>
    <w:p>
      <w:pPr>
        <w:pStyle w:val="Heading2"/>
        <w:bidi/>
        <w:spacing w:after="160" w:before="240"/>
        <w:jc w:val="right"/>
      </w:pPr>
      <w:r>
        <w:rPr>
          <w:rFonts w:ascii="David" w:cs="David" w:eastAsia="David" w:hAnsi="David"/>
          <w:b/>
          <w:bCs/>
          <w:sz w:val="28"/>
          <w:szCs w:val="28"/>
          <w:rtl/>
        </w:rPr>
        <w:t xml:space="preserve">7.3 הפער בין מדדי פעילות, הפחתת עבריינות ואיכות האכיפה</w:t>
      </w:r>
    </w:p>
    <w:p>
      <w:pPr>
        <w:bidi/>
        <w:spacing w:after="120" w:line="360"/>
        <w:ind w:firstLine="0"/>
        <w:jc w:val="both"/>
      </w:pPr>
      <w:r>
        <w:rPr>
          <w:rFonts w:ascii="David" w:cs="David" w:eastAsia="David" w:hAnsi="David"/>
          <w:sz w:val="24"/>
          <w:szCs w:val="24"/>
          <w:rtl/>
        </w:rPr>
        <w:t xml:space="preserve">עלייה במעצרים אינה מעידה בהכרח על עלייה בעבריינות,</w:t>
      </w:r>
      <w:r>
        <w:rPr>
          <w:rStyle w:val="FootnoteReference"/>
        </w:rPr>
        <w:footnoteReference w:id="217"/>
      </w:r>
      <w:r>
        <w:rPr>
          <w:rFonts w:ascii="David" w:cs="David" w:eastAsia="David" w:hAnsi="David"/>
          <w:sz w:val="24"/>
          <w:szCs w:val="24"/>
          <w:rtl/>
        </w:rPr>
        <w:t xml:space="preserve"> וירידה בתלונות יכולה לשקף ירידה בפשיעה או ירידה בנכונות להתלונן. שיעור כתבי אישום של 3% עד 5% בעבירות ירי מעורר שאלה על ההגנה שקיבלה החברה הערבית,</w:t>
      </w:r>
      <w:r>
        <w:rPr>
          <w:rStyle w:val="FootnoteReference"/>
        </w:rPr>
        <w:footnoteReference w:id="218"/>
      </w:r>
      <w:r>
        <w:rPr>
          <w:rFonts w:ascii="David" w:cs="David" w:eastAsia="David" w:hAnsi="David"/>
          <w:sz w:val="24"/>
          <w:szCs w:val="24"/>
          <w:rtl/>
        </w:rPr>
        <w:t xml:space="preserve"> והכלי שהציע מסמך הכנסת, השוואה של שיעור ההמרה ממעצר ומתיק לכתב אישום בין קבוצות,</w:t>
      </w:r>
      <w:r>
        <w:rPr>
          <w:rStyle w:val="FootnoteReference"/>
        </w:rPr>
        <w:footnoteReference w:id="219"/>
      </w:r>
      <w:r>
        <w:rPr>
          <w:rFonts w:ascii="David" w:cs="David" w:eastAsia="David" w:hAnsi="David"/>
          <w:sz w:val="24"/>
          <w:szCs w:val="24"/>
          <w:rtl/>
        </w:rPr>
        <w:t xml:space="preserve"> מתאים גם להערכת אמו"ן: שיעור המרה נמוך מעיד על קשיים בחקירה, ופער בין קבוצות עשוי להעיד על סף שונה לפתיחת תיק.</w:t>
      </w:r>
    </w:p>
    <w:p>
      <w:pPr>
        <w:bidi/>
        <w:spacing w:after="120" w:line="360"/>
        <w:ind w:firstLine="0"/>
        <w:jc w:val="both"/>
      </w:pPr>
      <w:r>
        <w:rPr>
          <w:rFonts w:ascii="David" w:cs="David" w:eastAsia="David" w:hAnsi="David"/>
          <w:sz w:val="24"/>
          <w:szCs w:val="24"/>
          <w:rtl/>
        </w:rPr>
        <w:t xml:space="preserve">כל עוד תחנה נמדדת לפי היקף הפעילות ולא לפי התוצאה המשפטית, הרפורמה עלולה לתגמל את הדפוס שגולדשטיין הזהיר מפניו,</w:t>
      </w:r>
      <w:r>
        <w:rPr>
          <w:rStyle w:val="FootnoteReference"/>
        </w:rPr>
        <w:footnoteReference w:id="220"/>
      </w:r>
      <w:r>
        <w:rPr>
          <w:rFonts w:ascii="David" w:cs="David" w:eastAsia="David" w:hAnsi="David"/>
          <w:sz w:val="24"/>
          <w:szCs w:val="24"/>
          <w:rtl/>
        </w:rPr>
        <w:t xml:space="preserve"> ואכן הביקורת הפנימית על אמו"ן חזרה על אותה אזהרה.</w:t>
      </w:r>
      <w:r>
        <w:rPr>
          <w:rStyle w:val="FootnoteReference"/>
        </w:rPr>
        <w:footnoteReference w:id="221"/>
      </w:r>
      <w:r>
        <w:rPr>
          <w:rFonts w:ascii="David" w:cs="David" w:eastAsia="David" w:hAnsi="David"/>
          <w:sz w:val="24"/>
          <w:szCs w:val="24"/>
          <w:rtl/>
        </w:rPr>
        <w:t xml:space="preserve"> מדד מורכב, שיכלול את שיעור כתבי האישום, את שיעור הדיווח ואת התפלגות המפגשים, יאפשר לזהות מצב שבו מספר האירועים יורד בעוד ההגנה נחלשת.</w:t>
      </w:r>
      <w:r>
        <w:rPr>
          <w:rStyle w:val="FootnoteReference"/>
        </w:rPr>
        <w:footnoteReference w:id="222"/>
      </w:r>
      <w:r>
        <w:rPr>
          <w:rFonts w:ascii="David" w:cs="David" w:eastAsia="David" w:hAnsi="David"/>
          <w:sz w:val="24"/>
          <w:szCs w:val="24"/>
          <w:rtl/>
        </w:rPr>
        <w:t xml:space="preserve"> תיקי החשיפה, שבהם נרשמו לא יהודים ב-50% מן התיקים נגד צעירים בשנת 2023,</w:t>
      </w:r>
      <w:r>
        <w:rPr>
          <w:rStyle w:val="FootnoteReference"/>
        </w:rPr>
        <w:footnoteReference w:id="223"/>
      </w:r>
      <w:r>
        <w:rPr>
          <w:rFonts w:ascii="David" w:cs="David" w:eastAsia="David" w:hAnsi="David"/>
          <w:sz w:val="24"/>
          <w:szCs w:val="24"/>
          <w:rtl/>
        </w:rPr>
        <w:t xml:space="preserve"> משקפים החלטות של שוטרים, ולכן מעקב אחריהם לפי פוליגון ולפי קבוצה יכול לשמש מדד ישיר לממד הרביעי. הרדוף מציע להגביר את השקיפות באמצעות הנחיות מפורטות ודוחות תקופתיים,</w:t>
      </w:r>
      <w:r>
        <w:rPr>
          <w:rStyle w:val="FootnoteReference"/>
        </w:rPr>
        <w:footnoteReference w:id="224"/>
      </w:r>
      <w:r>
        <w:rPr>
          <w:rFonts w:ascii="David" w:cs="David" w:eastAsia="David" w:hAnsi="David"/>
          <w:sz w:val="24"/>
          <w:szCs w:val="24"/>
          <w:rtl/>
        </w:rPr>
        <w:t xml:space="preserve"> ומדד כזה יכול להיות חלק מהם.</w:t>
      </w:r>
    </w:p>
    <w:p>
      <w:pPr>
        <w:bidi/>
        <w:spacing w:after="120" w:line="360"/>
        <w:ind w:firstLine="0"/>
        <w:jc w:val="both"/>
      </w:pPr>
      <w:r>
        <w:rPr>
          <w:rFonts w:ascii="David" w:cs="David" w:eastAsia="David" w:hAnsi="David"/>
          <w:sz w:val="24"/>
          <w:szCs w:val="24"/>
          <w:rtl/>
        </w:rPr>
        <w:t xml:space="preserve">הבעיה אינה רק במדדים שנבחרו, אלא גם בנתונים שאינם נאספים כלל. נתוני פשיעה, נתוני אכיפה ונתוני עמדות נאספים בידי גופים שונים ובחלוקות שונות, ולכן קשה לשאול, למשל, אם באזור שבו ירד מספר האירועים ירדו גם הדיווח והאמון. חיבור של מקורות המידע, בכפוף לדיני הפרטיות, הוא תנאי להערכה אמיתית של הרפורמה ביחס לצעירים ערבים בני 18 עד 24, ולא רק ביחס לתחנה כיחידה ארגונית.</w:t>
      </w:r>
    </w:p>
    <w:p>
      <w:pPr>
        <w:pStyle w:val="Heading2"/>
        <w:bidi/>
        <w:spacing w:after="160" w:before="240"/>
        <w:jc w:val="right"/>
      </w:pPr>
      <w:r>
        <w:rPr>
          <w:rFonts w:ascii="David" w:cs="David" w:eastAsia="David" w:hAnsi="David"/>
          <w:b/>
          <w:bCs/>
          <w:sz w:val="28"/>
          <w:szCs w:val="28"/>
          <w:rtl/>
        </w:rPr>
        <w:t xml:space="preserve">7.4 הבניית שיקול הדעת כתנאי לאפקטיביות הרפורמה</w:t>
      </w:r>
    </w:p>
    <w:p>
      <w:pPr>
        <w:bidi/>
        <w:spacing w:after="120" w:line="360"/>
        <w:ind w:firstLine="0"/>
        <w:jc w:val="both"/>
      </w:pPr>
      <w:r>
        <w:rPr>
          <w:rFonts w:ascii="David" w:cs="David" w:eastAsia="David" w:hAnsi="David"/>
          <w:sz w:val="24"/>
          <w:szCs w:val="24"/>
          <w:rtl/>
        </w:rPr>
        <w:t xml:space="preserve">אמו"ן מודדת את הפחתת הבעיות שנבחרו, אך אמון והוגנות מחייבים מדידה נפרדת: הוגנות ההליכים קשורה לאמון יותר מהערכת הביצועים, ובקרב משיבים ערבים הקשר בין ביצועים לשיתוף פעולה חלש.</w:t>
      </w:r>
      <w:r>
        <w:rPr>
          <w:rStyle w:val="FootnoteReference"/>
        </w:rPr>
        <w:footnoteReference w:id="225"/>
      </w:r>
      <w:r>
        <w:rPr>
          <w:rFonts w:ascii="David" w:cs="David" w:eastAsia="David" w:hAnsi="David"/>
          <w:sz w:val="24"/>
          <w:szCs w:val="24"/>
          <w:rtl/>
        </w:rPr>
        <w:t xml:space="preserve"> מודל שמעריך הצלחה רק לפי נתוני פשיעה יציג תחנה שעמדה ביעדים כמצליחה, גם אם נשחקו בגזרתה האמון והדיווח. כפי שמציינת בל, לא די בשיפור המפגש הבודד, ויש לשנות את המבנה שיוצר את דפוס המפגשים.</w:t>
      </w:r>
      <w:r>
        <w:rPr>
          <w:rStyle w:val="FootnoteReference"/>
        </w:rPr>
        <w:footnoteReference w:id="226"/>
      </w:r>
    </w:p>
    <w:p>
      <w:pPr>
        <w:bidi/>
        <w:spacing w:after="120" w:line="360"/>
        <w:ind w:firstLine="0"/>
        <w:jc w:val="both"/>
      </w:pPr>
      <w:r>
        <w:rPr>
          <w:rFonts w:ascii="David" w:cs="David" w:eastAsia="David" w:hAnsi="David"/>
          <w:sz w:val="24"/>
          <w:szCs w:val="24"/>
          <w:rtl/>
        </w:rPr>
        <w:t xml:space="preserve">עניין </w:t>
      </w:r>
      <w:r>
        <w:rPr>
          <w:rFonts w:ascii="David" w:cs="David" w:eastAsia="David" w:hAnsi="David"/>
          <w:b/>
          <w:bCs/>
          <w:sz w:val="24"/>
          <w:szCs w:val="24"/>
          <w:rtl/>
        </w:rPr>
        <w:t xml:space="preserve">טבקה</w:t>
      </w:r>
      <w:r>
        <w:rPr>
          <w:rFonts w:ascii="David" w:cs="David" w:eastAsia="David" w:hAnsi="David"/>
          <w:sz w:val="24"/>
          <w:szCs w:val="24"/>
          <w:rtl/>
        </w:rPr>
        <w:t xml:space="preserve"> הראה מה קורה כשסמכות מופעלת בלי אמות מידה: שימוש סלקטיבי שמוביל להפליה גם בלי כוונה, ומנגד נקבע בו שתבחינים ברורים משפרים את היעילות ומצמצמים סטריאוטיפים.</w:t>
      </w:r>
      <w:r>
        <w:rPr>
          <w:rStyle w:val="FootnoteReference"/>
        </w:rPr>
        <w:footnoteReference w:id="227"/>
      </w:r>
      <w:r>
        <w:rPr>
          <w:rFonts w:ascii="David" w:cs="David" w:eastAsia="David" w:hAnsi="David"/>
          <w:sz w:val="24"/>
          <w:szCs w:val="24"/>
          <w:rtl/>
        </w:rPr>
        <w:t xml:space="preserve"> אמו"ן מחילה את ההיגיון הזה על בחירת היעדים, אך לא על הפעלת הסמכות מול האזרח. תוכנית שמחייבת פעילות יזומה בפוליגון יוצרת בדיוק את המפגשים שבהם שיקול הדעת עלול לפעול בלי מבנה.</w:t>
      </w:r>
    </w:p>
    <w:p>
      <w:pPr>
        <w:bidi/>
        <w:spacing w:after="120" w:line="360"/>
        <w:ind w:firstLine="0"/>
        <w:jc w:val="both"/>
      </w:pPr>
      <w:r>
        <w:rPr>
          <w:rFonts w:ascii="David" w:cs="David" w:eastAsia="David" w:hAnsi="David"/>
          <w:sz w:val="24"/>
          <w:szCs w:val="24"/>
          <w:rtl/>
        </w:rPr>
        <w:t xml:space="preserve">הצורך בהבניה גדול במיוחד משום שהמשטרה והתביעה הן בעלות שיקול הדעת הרחב ביותר במשפט הפלילי, והן מחליטות אילו איסורים לאכוף, מתי ונגד מי, ודווקא על שיקול דעת רחב כזה הביקורת השיפוטית מצומצמת.</w:t>
      </w:r>
      <w:r>
        <w:rPr>
          <w:rStyle w:val="FootnoteReference"/>
        </w:rPr>
        <w:footnoteReference w:id="228"/>
      </w:r>
      <w:r>
        <w:rPr>
          <w:rFonts w:ascii="David" w:cs="David" w:eastAsia="David" w:hAnsi="David"/>
          <w:sz w:val="24"/>
          <w:szCs w:val="24"/>
          <w:rtl/>
        </w:rPr>
        <w:t xml:space="preserve"> ההשוואה מספקת תבנית: איסור מפורש לבסס חשד על מאפיינים אישיים כהוראת עבודה,</w:t>
      </w:r>
      <w:r>
        <w:rPr>
          <w:rStyle w:val="FootnoteReference"/>
        </w:rPr>
        <w:footnoteReference w:id="229"/>
      </w:r>
      <w:r>
        <w:rPr>
          <w:rFonts w:ascii="David" w:cs="David" w:eastAsia="David" w:hAnsi="David"/>
          <w:sz w:val="24"/>
          <w:szCs w:val="24"/>
          <w:rtl/>
        </w:rPr>
        <w:t xml:space="preserve"> תיעוד של סיבת העיכוב, תוצאתו והזהות האתנית,</w:t>
      </w:r>
      <w:r>
        <w:rPr>
          <w:rStyle w:val="FootnoteReference"/>
        </w:rPr>
        <w:footnoteReference w:id="230"/>
      </w:r>
      <w:r>
        <w:rPr>
          <w:rFonts w:ascii="David" w:cs="David" w:eastAsia="David" w:hAnsi="David"/>
          <w:sz w:val="24"/>
          <w:szCs w:val="24"/>
          <w:rtl/>
        </w:rPr>
        <w:t xml:space="preserve"> ובדיקה של הרישומים לאיתור דפוסים.</w:t>
      </w:r>
      <w:r>
        <w:rPr>
          <w:rStyle w:val="FootnoteReference"/>
        </w:rPr>
        <w:footnoteReference w:id="231"/>
      </w:r>
      <w:r>
        <w:rPr>
          <w:rFonts w:ascii="David" w:cs="David" w:eastAsia="David" w:hAnsi="David"/>
          <w:sz w:val="24"/>
          <w:szCs w:val="24"/>
          <w:rtl/>
        </w:rPr>
        <w:t xml:space="preserve"> בעניין </w:t>
      </w:r>
      <w:r>
        <w:rPr>
          <w:rFonts w:ascii="David" w:cs="David" w:eastAsia="David" w:hAnsi="David"/>
          <w:i/>
          <w:iCs/>
          <w:sz w:val="24"/>
          <w:szCs w:val="24"/>
          <w:rtl w:val="false"/>
        </w:rPr>
        <w:t xml:space="preserve">Roberts‎</w:t>
      </w:r>
      <w:r>
        <w:rPr>
          <w:rFonts w:ascii="David" w:cs="David" w:eastAsia="David" w:hAnsi="David"/>
          <w:sz w:val="24"/>
          <w:szCs w:val="24"/>
          <w:rtl/>
        </w:rPr>
        <w:t xml:space="preserve"> ראה בית המשפט בבקרות כאלה את מה שמגן על סמכות רחבה מפני שרירות, אף שהן אינן מבטיחות שלא יהיו הפרות במקרים מסוימים.</w:t>
      </w:r>
      <w:r>
        <w:rPr>
          <w:rStyle w:val="FootnoteReference"/>
        </w:rPr>
        <w:footnoteReference w:id="232"/>
      </w:r>
      <w:r>
        <w:rPr>
          <w:rFonts w:ascii="David" w:cs="David" w:eastAsia="David" w:hAnsi="David"/>
          <w:sz w:val="24"/>
          <w:szCs w:val="24"/>
          <w:rtl/>
        </w:rPr>
        <w:t xml:space="preserve"> אפשר להוסיף למערכת הקיימת של אמו"ן שדות שמתעדים מפגשים יזומים, את עילתם ואת תוצאותיהם,</w:t>
      </w:r>
      <w:r>
        <w:rPr>
          <w:rStyle w:val="FootnoteReference"/>
        </w:rPr>
        <w:footnoteReference w:id="233"/>
      </w:r>
      <w:r>
        <w:rPr>
          <w:rFonts w:ascii="David" w:cs="David" w:eastAsia="David" w:hAnsi="David"/>
          <w:sz w:val="24"/>
          <w:szCs w:val="24"/>
          <w:rtl/>
        </w:rPr>
        <w:t xml:space="preserve"> ולשקול גם מצלמות גוף, שבמחקרים נמצאו מפחיתות הפעלת כוח ותלונות.</w:t>
      </w:r>
      <w:r>
        <w:rPr>
          <w:rStyle w:val="FootnoteReference"/>
        </w:rPr>
        <w:footnoteReference w:id="234"/>
      </w:r>
      <w:r>
        <w:rPr>
          <w:rFonts w:ascii="David" w:cs="David" w:eastAsia="David" w:hAnsi="David"/>
          <w:sz w:val="24"/>
          <w:szCs w:val="24"/>
          <w:rtl/>
        </w:rPr>
        <w:t xml:space="preserve"> הפורום מדגיש שמנגנוני בקרה ופיקוח נועדו להבטיח את זכויות האזרח, אך הם גם מייעלים את הפעלת הכוח, משום שהם עוזרים למפקד לוודא שפקודותיו ימולאו,</w:t>
      </w:r>
      <w:r>
        <w:rPr>
          <w:rStyle w:val="FootnoteReference"/>
        </w:rPr>
        <w:footnoteReference w:id="235"/>
      </w:r>
      <w:r>
        <w:rPr>
          <w:rFonts w:ascii="David" w:cs="David" w:eastAsia="David" w:hAnsi="David"/>
          <w:sz w:val="24"/>
          <w:szCs w:val="24"/>
          <w:rtl/>
        </w:rPr>
        <w:t xml:space="preserve"> ומביא את אזהרתו של רואץ': "</w:t>
      </w:r>
      <w:r>
        <w:rPr>
          <w:rFonts w:ascii="David" w:cs="David" w:eastAsia="David" w:hAnsi="David"/>
          <w:sz w:val="24"/>
          <w:szCs w:val="24"/>
          <w:rtl w:val="false"/>
        </w:rPr>
        <w:t xml:space="preserve">A democracy that does not hold its police accountable can become a police state‎</w:t>
      </w:r>
      <w:r>
        <w:rPr>
          <w:rFonts w:ascii="David" w:cs="David" w:eastAsia="David" w:hAnsi="David"/>
          <w:sz w:val="24"/>
          <w:szCs w:val="24"/>
          <w:rtl/>
        </w:rPr>
        <w:t xml:space="preserve">".</w:t>
      </w:r>
      <w:r>
        <w:rPr>
          <w:rStyle w:val="FootnoteReference"/>
        </w:rPr>
        <w:footnoteReference w:id="236"/>
      </w:r>
      <w:r>
        <w:rPr>
          <w:rFonts w:ascii="David" w:cs="David" w:eastAsia="David" w:hAnsi="David"/>
          <w:sz w:val="24"/>
          <w:szCs w:val="24"/>
          <w:rtl/>
        </w:rPr>
        <w:t xml:space="preserve"> מחקר על ארגוני שוטרים בשלוש ערים אמריקאיות, שלבנקרון מביאה, מצא שהם פעלו למניעת פיקוח יעיל על עבודת השוטרים, ושהדבר הגביר את ניכור הציבור כלפי המשטרה.</w:t>
      </w:r>
      <w:r>
        <w:rPr>
          <w:rStyle w:val="FootnoteReference"/>
        </w:rPr>
        <w:footnoteReference w:id="237"/>
      </w:r>
      <w:r>
        <w:rPr>
          <w:rFonts w:ascii="David" w:cs="David" w:eastAsia="David" w:hAnsi="David"/>
          <w:sz w:val="24"/>
          <w:szCs w:val="24"/>
          <w:rtl/>
        </w:rPr>
        <w:t xml:space="preserve"> לפני כן יש לבדוק מה כבר נאסף, מי רשאי לעיין במידע ואיך תוגן הפרטיות, ואם נדרשת הסדרה בחקיקה.</w:t>
      </w:r>
      <w:r>
        <w:rPr>
          <w:rStyle w:val="FootnoteReference"/>
        </w:rPr>
        <w:footnoteReference w:id="238"/>
      </w:r>
      <w:r>
        <w:rPr>
          <w:rFonts w:ascii="David" w:cs="David" w:eastAsia="David" w:hAnsi="David"/>
          <w:sz w:val="24"/>
          <w:szCs w:val="24"/>
          <w:rtl/>
        </w:rPr>
        <w:t xml:space="preserve"> את החשש מהכבדה על השוטרים ראוי לבחון ביישום מדורג. כדברי הרדוף, הבקרה "אינה מעלימה את הכוח, אלא אך מצמצמת את הסיכוי לשימוש לא ראוי ולא מוצלח בו".</w:t>
      </w:r>
      <w:r>
        <w:rPr>
          <w:rStyle w:val="FootnoteReference"/>
        </w:rPr>
        <w:footnoteReference w:id="239"/>
      </w:r>
    </w:p>
    <w:p>
      <w:pPr>
        <w:bidi/>
        <w:spacing w:after="120" w:line="360"/>
        <w:ind w:firstLine="0"/>
        <w:jc w:val="both"/>
      </w:pPr>
      <w:r>
        <w:rPr>
          <w:rFonts w:ascii="David" w:cs="David" w:eastAsia="David" w:hAnsi="David"/>
          <w:sz w:val="24"/>
          <w:szCs w:val="24"/>
          <w:rtl/>
        </w:rPr>
        <w:t xml:space="preserve">הבניית שיקול הדעת קשורה ישירות גם לשאלת האמון. אם הוגנות ההליכים היא המנבא החזק של הלגיטימיות,</w:t>
      </w:r>
      <w:r>
        <w:rPr>
          <w:rStyle w:val="FootnoteReference"/>
        </w:rPr>
        <w:footnoteReference w:id="240"/>
      </w:r>
      <w:r>
        <w:rPr>
          <w:rFonts w:ascii="David" w:cs="David" w:eastAsia="David" w:hAnsi="David"/>
          <w:sz w:val="24"/>
          <w:szCs w:val="24"/>
          <w:rtl/>
        </w:rPr>
        <w:t xml:space="preserve"> ואם מפגש שלילי אחד משפיע יותר ממפגשים חיוביים רבים,</w:t>
      </w:r>
      <w:r>
        <w:rPr>
          <w:rStyle w:val="FootnoteReference"/>
        </w:rPr>
        <w:footnoteReference w:id="241"/>
      </w:r>
      <w:r>
        <w:rPr>
          <w:rFonts w:ascii="David" w:cs="David" w:eastAsia="David" w:hAnsi="David"/>
          <w:sz w:val="24"/>
          <w:szCs w:val="24"/>
          <w:rtl/>
        </w:rPr>
        <w:t xml:space="preserve"> הרי שהאופן שבו השוטר פונה לצעיר בתוך הפוליגון משפיע על יכולתה של התחנה לקבל מידע, עדויות ושיתוף פעולה. תבחינים ברורים ותיעוד אינם רק דרישה משפטית אלא תנאי לאפקטיביות: הם מצמצמים מפגשים מיותרים, מאפשרים להסביר לאדם מדוע עוכב, ויוצרים נתונים שמאפשרים לתקן.</w:t>
      </w:r>
    </w:p>
    <w:p>
      <w:pPr>
        <w:pStyle w:val="Heading1"/>
        <w:bidi/>
        <w:spacing w:after="160" w:before="240"/>
        <w:jc w:val="center"/>
      </w:pPr>
      <w:r>
        <w:rPr>
          <w:rFonts w:ascii="David" w:cs="David" w:eastAsia="David" w:hAnsi="David"/>
          <w:b/>
          <w:bCs/>
          <w:sz w:val="32"/>
          <w:szCs w:val="32"/>
          <w:rtl/>
        </w:rPr>
        <w:t xml:space="preserve">8. סיכום ומסקנות</w:t>
      </w:r>
    </w:p>
    <w:p>
      <w:pPr>
        <w:bidi/>
        <w:spacing w:after="120" w:line="360"/>
        <w:ind w:firstLine="0"/>
        <w:jc w:val="both"/>
      </w:pPr>
      <w:r>
        <w:rPr>
          <w:rFonts w:ascii="David" w:cs="David" w:eastAsia="David" w:hAnsi="David"/>
          <w:sz w:val="24"/>
          <w:szCs w:val="24"/>
          <w:rtl/>
        </w:rPr>
        <w:t xml:space="preserve">העבודה בחנה באיזו מידה אמו"ן אפקטיבית בהפחתת עבריינות ובשיפור האכיפה בקרב צעירים ערבים בני 18 עד 24, ואם הקשיים נובעים מן המודל או מיישומו. התשובה שונה בכל אחד מארבעת הממדים. בהפחתת הפשיעה נמצאה תמיכה ברפורמה בסל הרכוש, בשתיים משלוש תחנות, ובסל הירי תועדה ירידה בתחנה אחת, אם כי מחקר הירי אינו מאפשר לייחס אותה לרפורמה. באיכות האכיפה, שיעור כתבי האישום בעבירות ירי נותר 3% עד 5%, ומערכת המדידה אינה כוללת מדד של תוצאה משפטית. באמון, ציוני התחנה נמצאו קשורים לאמון, אך בקרב המשיבים הערבים הקשר לשיתוף פעולה חלש, והאמון ירד בשנים 2019 עד 2023. בשוויון, אין מדידה של התפלגות המפגשים היזומים, ולכן אי אפשר לדעת אם המצב השתפר או הורע. מאחר שמיקוד בסיכון גבוה צפוי ליצור פערים, היעדר מדידה אינו עמדה ניטרלית.</w:t>
      </w:r>
    </w:p>
    <w:p>
      <w:pPr>
        <w:bidi/>
        <w:spacing w:after="120" w:line="360"/>
        <w:ind w:firstLine="0"/>
        <w:jc w:val="both"/>
      </w:pPr>
      <w:r>
        <w:rPr>
          <w:rFonts w:ascii="David" w:cs="David" w:eastAsia="David" w:hAnsi="David"/>
          <w:sz w:val="24"/>
          <w:szCs w:val="24"/>
          <w:rtl/>
        </w:rPr>
        <w:t xml:space="preserve">לשאלה המרכזית, הממצאים מצביעים על משקל רב לכשלי יישום ולעיצוב הכלים הארגוניים: הגדרת בעיות רחבה מדי כדי לעמוד ברף מספרי, מיקוד גיאוגרפי שנחסם בהיעדר תשתית מידע ביישובים ערביים, התערבות שיושמה רק בחלקה, ומדידה שתגמלה תפוקות, ומעל כולם מחסור בחוקרים ובמשאבים. לצידם עולה מגבלה בהיקף ההערכה: הפחתת הבעיה שנבחרה אינה מספיקה כדי להעריך את איכות השירות ואת הוגנות האכיפה, ונתוני המעצרים וכתבי האישום מעוררים יחד חשש לפער בין מגע עם המשטרה לבין הגנה מפני פשיעה.</w:t>
      </w:r>
    </w:p>
    <w:p>
      <w:pPr>
        <w:bidi/>
        <w:spacing w:after="120" w:line="360"/>
        <w:ind w:firstLine="0"/>
        <w:jc w:val="both"/>
      </w:pPr>
      <w:r>
        <w:rPr>
          <w:rFonts w:ascii="David" w:cs="David" w:eastAsia="David" w:hAnsi="David"/>
          <w:sz w:val="24"/>
          <w:szCs w:val="24"/>
          <w:rtl/>
        </w:rPr>
        <w:t xml:space="preserve">המשפט המשווה מלמד שלושה דברים: שכלל שאוסר לבסס חשד על מאפיינים אישיים צריך לקבל ביטוי בהוראות עבודה ובהכשרה; שתיעוד של עיכובים וחיפושים, כולל סיבתם ותוצאתם, הוא הבסיס לבדיקת פערים; ושנדרש מנגנון שמחייב את הארגון להסביר פערים או לתקנם. חלק מן ההצעות אפשר לקדם ברמה הארגונית, ושאלת הצורך בחקיקה דורשת בדיקה נפרדת.</w:t>
      </w:r>
    </w:p>
    <w:p>
      <w:pPr>
        <w:bidi/>
        <w:spacing w:after="120" w:line="360"/>
        <w:ind w:firstLine="0"/>
        <w:jc w:val="both"/>
      </w:pPr>
      <w:r>
        <w:rPr>
          <w:rFonts w:ascii="David" w:cs="David" w:eastAsia="David" w:hAnsi="David"/>
          <w:sz w:val="24"/>
          <w:szCs w:val="24"/>
          <w:rtl/>
        </w:rPr>
        <w:t xml:space="preserve">מכאן המסקנות המעשיות:</w:t>
      </w:r>
    </w:p>
    <w:p>
      <w:pPr>
        <w:pStyle w:val="ListParagraph"/>
        <w:numPr>
          <w:ilvl w:val="0"/>
          <w:numId w:val="2"/>
        </w:numPr>
        <w:bidi/>
        <w:spacing w:after="120" w:line="360"/>
        <w:ind w:firstLine="0"/>
        <w:jc w:val="both"/>
      </w:pPr>
      <w:r>
        <w:rPr>
          <w:rFonts w:ascii="David" w:cs="David" w:eastAsia="David" w:hAnsi="David"/>
          <w:sz w:val="24"/>
          <w:szCs w:val="24"/>
          <w:rtl/>
        </w:rPr>
        <w:t xml:space="preserve">לחדד את הגדרת הבעיות ולוותר על רף מספרי שמרחיב את הפוליגון.</w:t>
      </w:r>
    </w:p>
    <w:p>
      <w:pPr>
        <w:pStyle w:val="ListParagraph"/>
        <w:numPr>
          <w:ilvl w:val="0"/>
          <w:numId w:val="2"/>
        </w:numPr>
        <w:bidi/>
        <w:spacing w:after="120" w:line="360"/>
        <w:ind w:firstLine="0"/>
        <w:jc w:val="both"/>
      </w:pPr>
      <w:r>
        <w:rPr>
          <w:rFonts w:ascii="David" w:cs="David" w:eastAsia="David" w:hAnsi="David"/>
          <w:sz w:val="24"/>
          <w:szCs w:val="24"/>
          <w:rtl/>
        </w:rPr>
        <w:t xml:space="preserve">להשלים את תשתית המידע הגיאוגרפית ביישובים ערביים.</w:t>
      </w:r>
    </w:p>
    <w:p>
      <w:pPr>
        <w:pStyle w:val="ListParagraph"/>
        <w:numPr>
          <w:ilvl w:val="0"/>
          <w:numId w:val="2"/>
        </w:numPr>
        <w:bidi/>
        <w:spacing w:after="120" w:line="360"/>
        <w:ind w:firstLine="0"/>
        <w:jc w:val="both"/>
      </w:pPr>
      <w:r>
        <w:rPr>
          <w:rFonts w:ascii="David" w:cs="David" w:eastAsia="David" w:hAnsi="David"/>
          <w:sz w:val="24"/>
          <w:szCs w:val="24"/>
          <w:rtl/>
        </w:rPr>
        <w:t xml:space="preserve">ליישם את ההרתעה הממוקדת על כל רכיביה, כולל המפגש והשירותים השיקומיים.</w:t>
      </w:r>
    </w:p>
    <w:p>
      <w:pPr>
        <w:pStyle w:val="ListParagraph"/>
        <w:numPr>
          <w:ilvl w:val="0"/>
          <w:numId w:val="2"/>
        </w:numPr>
        <w:bidi/>
        <w:spacing w:after="120" w:line="360"/>
        <w:ind w:firstLine="0"/>
        <w:jc w:val="both"/>
      </w:pPr>
      <w:r>
        <w:rPr>
          <w:rFonts w:ascii="David" w:cs="David" w:eastAsia="David" w:hAnsi="David"/>
          <w:sz w:val="24"/>
          <w:szCs w:val="24"/>
          <w:rtl/>
        </w:rPr>
        <w:t xml:space="preserve">להוסיף למערכת המדידה מדד של תוצאה משפטית לצד מדד האירועים.</w:t>
      </w:r>
    </w:p>
    <w:p>
      <w:pPr>
        <w:pStyle w:val="ListParagraph"/>
        <w:numPr>
          <w:ilvl w:val="0"/>
          <w:numId w:val="2"/>
        </w:numPr>
        <w:bidi/>
        <w:spacing w:after="120" w:line="360"/>
        <w:ind w:firstLine="0"/>
        <w:jc w:val="both"/>
      </w:pPr>
      <w:r>
        <w:rPr>
          <w:rFonts w:ascii="David" w:cs="David" w:eastAsia="David" w:hAnsi="David"/>
          <w:sz w:val="24"/>
          <w:szCs w:val="24"/>
          <w:rtl/>
        </w:rPr>
        <w:t xml:space="preserve">לתעד את המפגשים היזומים ואת התפלגותם בין קבוצות, על בסיס עקרונות קוד </w:t>
      </w:r>
      <w:r>
        <w:rPr>
          <w:rFonts w:ascii="David" w:cs="David" w:eastAsia="David" w:hAnsi="David"/>
          <w:sz w:val="24"/>
          <w:szCs w:val="24"/>
          <w:rtl w:val="false"/>
        </w:rPr>
        <w:t xml:space="preserve">A‎</w:t>
      </w:r>
      <w:r>
        <w:rPr>
          <w:rFonts w:ascii="David" w:cs="David" w:eastAsia="David" w:hAnsi="David"/>
          <w:sz w:val="24"/>
          <w:szCs w:val="24"/>
          <w:rtl/>
        </w:rPr>
        <w:t xml:space="preserve"> והמלצת מקפרסון.</w:t>
      </w:r>
    </w:p>
    <w:p>
      <w:pPr>
        <w:bidi/>
        <w:spacing w:after="120" w:line="360"/>
        <w:ind w:firstLine="0"/>
        <w:jc w:val="both"/>
      </w:pPr>
      <w:r>
        <w:rPr>
          <w:rFonts w:ascii="David" w:cs="David" w:eastAsia="David" w:hAnsi="David"/>
          <w:sz w:val="24"/>
          <w:szCs w:val="24"/>
          <w:rtl/>
        </w:rPr>
        <w:t xml:space="preserve">המסקנה הכוללת היא שהבניית שיקול הדעת אינה מגבלה חיצונית על האפקטיביות אלא חלק ממנה. כל עוד תוכניות התקיפה ממקדות את הפעילות בשטח בלי לבחון את איכות המפגש בין השוטר לאזרח, יישאר פער בין הרפורמה שתוכננה לבין הרפורמה שפועלת בפועל. הנתונים על צעירים ערבים בני 18 עד 24 מצדיקים בדיקה ממוקדת של השפעתה עליהם.</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spacing w:after="40" w:line="240"/>
        <w:jc w:val="both"/>
      </w:pPr>
      <w:r>
        <w:rPr>
          <w:rStyle w:val="FootnoteReference"/>
        </w:rPr>
        <w:footnoteRef/>
      </w:r>
      <w:r>
        <w:rPr>
          <w:rFonts w:ascii="David" w:cs="David" w:eastAsia="David" w:hAnsi="David"/>
          <w:sz w:val="20"/>
          <w:szCs w:val="20"/>
          <w:rtl/>
        </w:rPr>
        <w:t xml:space="preserve"> מבקר המדינה </w:t>
      </w:r>
      <w:r>
        <w:rPr>
          <w:rFonts w:ascii="David" w:cs="David" w:eastAsia="David" w:hAnsi="David"/>
          <w:b/>
          <w:bCs/>
          <w:sz w:val="20"/>
          <w:szCs w:val="20"/>
          <w:rtl/>
        </w:rPr>
        <w:t xml:space="preserve">דוח ביקורת מיוחד: התמודדות משטרת ישראל עם החזקת אמצעי לחימה לא חוקיים ואירועי ירי ביישובי החברה הערבית וביישובים מעורבים</w:t>
      </w:r>
      <w:r>
        <w:rPr>
          <w:rFonts w:ascii="David" w:cs="David" w:eastAsia="David" w:hAnsi="David"/>
          <w:sz w:val="20"/>
          <w:szCs w:val="20"/>
          <w:rtl w:val="false"/>
        </w:rPr>
        <w:t xml:space="preserve"> 3 (2018).</w:t>
      </w:r>
    </w:p>
  </w:footnote>
  <w:footnote w:id="2">
    <w:p>
      <w:pPr>
        <w:bidi/>
        <w:spacing w:after="40" w:line="240"/>
        <w:jc w:val="both"/>
      </w:pPr>
      <w:r>
        <w:rPr>
          <w:rStyle w:val="FootnoteReference"/>
        </w:rPr>
        <w:footnoteRef/>
      </w:r>
      <w:r>
        <w:rPr>
          <w:rFonts w:ascii="David" w:cs="David" w:eastAsia="David" w:hAnsi="David"/>
          <w:sz w:val="20"/>
          <w:szCs w:val="20"/>
          <w:rtl/>
        </w:rPr>
        <w:t xml:space="preserve"> מבקר המדינה </w:t>
      </w:r>
      <w:r>
        <w:rPr>
          <w:rFonts w:ascii="David" w:cs="David" w:eastAsia="David" w:hAnsi="David"/>
          <w:b/>
          <w:bCs/>
          <w:sz w:val="20"/>
          <w:szCs w:val="20"/>
          <w:rtl/>
        </w:rPr>
        <w:t xml:space="preserve">ביקורת מעקב: התמודדות משטרת ישראל עם החזקת אמצעי לחימה לא חוקיים ואירועי ירי ביישובי החברה הערבית וביישובים מעורבים</w:t>
      </w:r>
      <w:r>
        <w:rPr>
          <w:rFonts w:ascii="David" w:cs="David" w:eastAsia="David" w:hAnsi="David"/>
          <w:sz w:val="20"/>
          <w:szCs w:val="20"/>
          <w:rtl w:val="false"/>
        </w:rPr>
        <w:t xml:space="preserve"> 4-3 (2021).</w:t>
      </w:r>
    </w:p>
  </w:footnote>
  <w:footnote w:id="3">
    <w:p>
      <w:pPr>
        <w:bidi/>
        <w:spacing w:after="40" w:line="240"/>
        <w:jc w:val="both"/>
      </w:pPr>
      <w:r>
        <w:rPr>
          <w:rStyle w:val="FootnoteReference"/>
        </w:rPr>
        <w:footnoteRef/>
      </w:r>
      <w:r>
        <w:rPr>
          <w:rFonts w:ascii="David" w:cs="David" w:eastAsia="David" w:hAnsi="David"/>
          <w:sz w:val="20"/>
          <w:szCs w:val="20"/>
          <w:rtl/>
        </w:rPr>
        <w:t xml:space="preserve"> נורית יכימוביץ-כהן </w:t>
      </w:r>
      <w:r>
        <w:rPr>
          <w:rFonts w:ascii="David" w:cs="David" w:eastAsia="David" w:hAnsi="David"/>
          <w:b/>
          <w:bCs/>
          <w:sz w:val="20"/>
          <w:szCs w:val="20"/>
          <w:rtl/>
        </w:rPr>
        <w:t xml:space="preserve">סוגיות הקשורות לשיטור יתר ושימוש משטרתי בכוח כלפי קבוצות אוכלוסייה מסוימות</w:t>
      </w:r>
      <w:r>
        <w:rPr>
          <w:rFonts w:ascii="David" w:cs="David" w:eastAsia="David" w:hAnsi="David"/>
          <w:sz w:val="20"/>
          <w:szCs w:val="20"/>
          <w:rtl/>
        </w:rPr>
        <w:t xml:space="preserve"> 3 (הכנסת, מרכז המחקר והמידע, 2025).</w:t>
      </w:r>
    </w:p>
  </w:footnote>
  <w:footnote w:id="4">
    <w:p>
      <w:pPr>
        <w:bidi/>
        <w:spacing w:after="40" w:line="240"/>
        <w:jc w:val="both"/>
      </w:pPr>
      <w:r>
        <w:rPr>
          <w:rStyle w:val="FootnoteReference"/>
        </w:rPr>
        <w:footnoteRef/>
      </w:r>
      <w:r>
        <w:rPr>
          <w:rFonts w:ascii="David" w:cs="David" w:eastAsia="David" w:hAnsi="David"/>
          <w:sz w:val="20"/>
          <w:szCs w:val="20"/>
          <w:rtl/>
        </w:rPr>
        <w:t xml:space="preserve"> יואב ספיר "שיח הזכויות, פופוליזם והתגובה לפשיעה בחברה הערבית: על הצורך בהגנה חוקתית משודרגת על זכויות בפלילים" </w:t>
      </w:r>
      <w:r>
        <w:rPr>
          <w:rFonts w:ascii="David" w:cs="David" w:eastAsia="David" w:hAnsi="David"/>
          <w:b/>
          <w:bCs/>
          <w:sz w:val="20"/>
          <w:szCs w:val="20"/>
          <w:rtl/>
        </w:rPr>
        <w:t xml:space="preserve">משפטים על אתר</w:t>
      </w:r>
      <w:r>
        <w:rPr>
          <w:rFonts w:ascii="David" w:cs="David" w:eastAsia="David" w:hAnsi="David"/>
          <w:sz w:val="20"/>
          <w:szCs w:val="20"/>
          <w:rtl/>
        </w:rPr>
        <w:t xml:space="preserve"> </w:t>
      </w:r>
      <w:r>
        <w:rPr>
          <w:rFonts w:ascii="David" w:cs="David" w:eastAsia="David" w:hAnsi="David"/>
          <w:sz w:val="20"/>
          <w:szCs w:val="20"/>
          <w:shd w:fill="FFF200" w:color="auto" w:val="clear"/>
          <w:rtl/>
        </w:rPr>
        <w:t xml:space="preserve">[כרך]</w:t>
      </w:r>
      <w:r>
        <w:rPr>
          <w:rFonts w:ascii="David" w:cs="David" w:eastAsia="David" w:hAnsi="David"/>
          <w:sz w:val="20"/>
          <w:szCs w:val="20"/>
          <w:rtl/>
        </w:rPr>
        <w:t xml:space="preserve"> </w:t>
      </w:r>
      <w:r>
        <w:rPr>
          <w:rFonts w:ascii="David" w:cs="David" w:eastAsia="David" w:hAnsi="David"/>
          <w:sz w:val="20"/>
          <w:szCs w:val="20"/>
          <w:shd w:fill="FFF200" w:color="auto" w:val="clear"/>
          <w:rtl/>
        </w:rPr>
        <w:t xml:space="preserve">[עמוד]</w:t>
      </w:r>
      <w:r>
        <w:rPr>
          <w:rFonts w:ascii="David" w:cs="David" w:eastAsia="David" w:hAnsi="David"/>
          <w:sz w:val="20"/>
          <w:szCs w:val="20"/>
          <w:rtl w:val="false"/>
        </w:rPr>
        <w:t xml:space="preserve"> (2022).</w:t>
      </w:r>
    </w:p>
  </w:footnote>
  <w:footnote w:id="5">
    <w:p>
      <w:pPr>
        <w:bidi/>
        <w:spacing w:after="40" w:line="240"/>
        <w:jc w:val="both"/>
      </w:pPr>
      <w:r>
        <w:rPr>
          <w:rStyle w:val="FootnoteReference"/>
        </w:rPr>
        <w:footnoteRef/>
      </w:r>
      <w:r>
        <w:rPr>
          <w:rFonts w:ascii="David" w:cs="David" w:eastAsia="David" w:hAnsi="David"/>
          <w:sz w:val="20"/>
          <w:szCs w:val="20"/>
          <w:rtl/>
        </w:rPr>
        <w:t xml:space="preserve"> דייוויד ויסבורד, באדי חסייסי, יעל ליטמנוביץ, תומר כרמל ושני תשובה "מיסוד שיטור מוכוון בעיות: הערכה של רפורמת אמו"ן בישראל, תקציר מנהלים" </w:t>
      </w:r>
      <w:r>
        <w:rPr>
          <w:rFonts w:ascii="David" w:cs="David" w:eastAsia="David" w:hAnsi="David"/>
          <w:b/>
          <w:bCs/>
          <w:sz w:val="20"/>
          <w:szCs w:val="20"/>
          <w:rtl/>
        </w:rPr>
        <w:t xml:space="preserve">העיקר במחקר</w:t>
      </w:r>
      <w:r>
        <w:rPr>
          <w:rFonts w:ascii="David" w:cs="David" w:eastAsia="David" w:hAnsi="David"/>
          <w:sz w:val="20"/>
          <w:szCs w:val="20"/>
          <w:rtl w:val="false"/>
        </w:rPr>
        <w:t xml:space="preserve"> 152, 153-152, 157-155 (2020).</w:t>
      </w:r>
    </w:p>
  </w:footnote>
  <w:footnote w:id="6">
    <w:p>
      <w:pPr>
        <w:bidi/>
        <w:spacing w:after="40" w:line="240"/>
        <w:jc w:val="both"/>
      </w:pPr>
      <w:r>
        <w:rPr>
          <w:rStyle w:val="FootnoteReference"/>
        </w:rPr>
        <w:footnoteRef/>
      </w:r>
      <w:r>
        <w:rPr>
          <w:rFonts w:ascii="David" w:cs="David" w:eastAsia="David" w:hAnsi="David"/>
          <w:sz w:val="20"/>
          <w:szCs w:val="20"/>
          <w:rtl/>
        </w:rPr>
        <w:t xml:space="preserve"> שם, בעמ' 154.</w:t>
      </w:r>
    </w:p>
  </w:footnote>
  <w:footnote w:id="7">
    <w:p>
      <w:pPr>
        <w:bidi/>
        <w:spacing w:after="40" w:line="240"/>
        <w:jc w:val="both"/>
      </w:pPr>
      <w:r>
        <w:rPr>
          <w:rStyle w:val="FootnoteReference"/>
        </w:rPr>
        <w:footnoteRef/>
      </w:r>
      <w:r>
        <w:rPr>
          <w:rFonts w:ascii="David" w:cs="David" w:eastAsia="David" w:hAnsi="David"/>
          <w:sz w:val="20"/>
          <w:szCs w:val="20"/>
          <w:rtl/>
        </w:rPr>
        <w:t xml:space="preserve"> נורית יכימוביץ-כהן </w:t>
      </w:r>
      <w:r>
        <w:rPr>
          <w:rFonts w:ascii="David" w:cs="David" w:eastAsia="David" w:hAnsi="David"/>
          <w:b/>
          <w:bCs/>
          <w:sz w:val="20"/>
          <w:szCs w:val="20"/>
          <w:rtl/>
        </w:rPr>
        <w:t xml:space="preserve">פשיעה ועבריינות של צעירים ערבים: נתוני אכיפה</w:t>
      </w:r>
      <w:r>
        <w:rPr>
          <w:rFonts w:ascii="David" w:cs="David" w:eastAsia="David" w:hAnsi="David"/>
          <w:sz w:val="20"/>
          <w:szCs w:val="20"/>
          <w:rtl/>
        </w:rPr>
        <w:t xml:space="preserve"> 5-4 (הכנסת, מרכז המחקר והמידע, 2025).</w:t>
      </w:r>
    </w:p>
  </w:footnote>
  <w:footnote w:id="8">
    <w:p>
      <w:pPr>
        <w:bidi/>
        <w:spacing w:after="40" w:line="240"/>
        <w:jc w:val="both"/>
      </w:pPr>
      <w:r>
        <w:rPr>
          <w:rStyle w:val="FootnoteReference"/>
        </w:rPr>
        <w:footnoteRef/>
      </w:r>
      <w:r>
        <w:rPr>
          <w:rFonts w:ascii="David" w:cs="David" w:eastAsia="David" w:hAnsi="David"/>
          <w:sz w:val="20"/>
          <w:szCs w:val="20"/>
          <w:rtl/>
        </w:rPr>
        <w:t xml:space="preserve"> ויסבורד ואחרים "מיסוד שיטור מוכוון בעיות", לעיל ה"ש 5, בעמ' 161-159.</w:t>
      </w:r>
    </w:p>
  </w:footnote>
  <w:footnote w:id="9">
    <w:p>
      <w:pPr>
        <w:bidi/>
        <w:spacing w:after="40" w:line="240"/>
        <w:jc w:val="both"/>
      </w:pPr>
      <w:r>
        <w:rPr>
          <w:rStyle w:val="FootnoteReference"/>
        </w:rPr>
        <w:footnoteRef/>
      </w:r>
      <w:r>
        <w:rPr>
          <w:rFonts w:ascii="David" w:cs="David" w:eastAsia="David" w:hAnsi="David"/>
          <w:sz w:val="20"/>
          <w:szCs w:val="20"/>
          <w:rtl w:val="false"/>
        </w:rPr>
        <w:t xml:space="preserve"> Herman Goldstein, ‎</w:t>
      </w:r>
      <w:r>
        <w:rPr>
          <w:rFonts w:ascii="David" w:cs="David" w:eastAsia="David" w:hAnsi="David"/>
          <w:i/>
          <w:iCs/>
          <w:sz w:val="20"/>
          <w:szCs w:val="20"/>
          <w:rtl w:val="false"/>
        </w:rPr>
        <w:t xml:space="preserve">Improving Policing: A Problem-Oriented Approach‎</w:t>
      </w:r>
      <w:r>
        <w:rPr>
          <w:rFonts w:ascii="David" w:cs="David" w:eastAsia="David" w:hAnsi="David"/>
          <w:sz w:val="20"/>
          <w:szCs w:val="20"/>
          <w:rtl w:val="false"/>
        </w:rPr>
        <w:t xml:space="preserve">, 25 CRIME &amp; DELINQ. 236, 236 (1979).‎</w:t>
      </w:r>
    </w:p>
  </w:footnote>
  <w:footnote w:id="10">
    <w:p>
      <w:pPr>
        <w:bidi/>
        <w:spacing w:after="40" w:line="240"/>
        <w:jc w:val="both"/>
      </w:pPr>
      <w:r>
        <w:rPr>
          <w:rStyle w:val="FootnoteReference"/>
        </w:rPr>
        <w:footnoteRef/>
      </w:r>
      <w:r>
        <w:rPr>
          <w:rFonts w:ascii="David" w:cs="David" w:eastAsia="David" w:hAnsi="David"/>
          <w:sz w:val="20"/>
          <w:szCs w:val="20"/>
          <w:rtl/>
        </w:rPr>
        <w:t xml:space="preserve"> מבקר המדינה </w:t>
      </w:r>
      <w:r>
        <w:rPr>
          <w:rFonts w:ascii="David" w:cs="David" w:eastAsia="David" w:hAnsi="David"/>
          <w:b/>
          <w:bCs/>
          <w:sz w:val="20"/>
          <w:szCs w:val="20"/>
          <w:rtl/>
        </w:rPr>
        <w:t xml:space="preserve">דוח 2018</w:t>
      </w:r>
      <w:r>
        <w:rPr>
          <w:rFonts w:ascii="David" w:cs="David" w:eastAsia="David" w:hAnsi="David"/>
          <w:sz w:val="20"/>
          <w:szCs w:val="20"/>
          <w:rtl/>
        </w:rPr>
        <w:t xml:space="preserve">, לעיל ה"ש 1, בעמ' 6.</w:t>
      </w:r>
    </w:p>
  </w:footnote>
  <w:footnote w:id="11">
    <w:p>
      <w:pPr>
        <w:bidi/>
        <w:spacing w:after="40" w:line="240"/>
        <w:jc w:val="both"/>
      </w:pPr>
      <w:r>
        <w:rPr>
          <w:rStyle w:val="FootnoteReference"/>
        </w:rPr>
        <w:footnoteRef/>
      </w:r>
      <w:r>
        <w:rPr>
          <w:rFonts w:ascii="David" w:cs="David" w:eastAsia="David" w:hAnsi="David"/>
          <w:sz w:val="20"/>
          <w:szCs w:val="20"/>
          <w:rtl w:val="false"/>
        </w:rPr>
        <w:t xml:space="preserve"> Jason Sunshine &amp; Tom R. Tyler, ‎</w:t>
      </w:r>
      <w:r>
        <w:rPr>
          <w:rFonts w:ascii="David" w:cs="David" w:eastAsia="David" w:hAnsi="David"/>
          <w:i/>
          <w:iCs/>
          <w:sz w:val="20"/>
          <w:szCs w:val="20"/>
          <w:rtl w:val="false"/>
        </w:rPr>
        <w:t xml:space="preserve">The Role of Procedural Justice and Legitimacy in Shaping Public Support for Policing‎</w:t>
      </w:r>
      <w:r>
        <w:rPr>
          <w:rFonts w:ascii="David" w:cs="David" w:eastAsia="David" w:hAnsi="David"/>
          <w:sz w:val="20"/>
          <w:szCs w:val="20"/>
          <w:rtl w:val="false"/>
        </w:rPr>
        <w:t xml:space="preserve">, 37 LAW &amp; SOC'Y REV. 513, 513-514 (2003).‎</w:t>
      </w:r>
    </w:p>
  </w:footnote>
  <w:footnote w:id="12">
    <w:p>
      <w:pPr>
        <w:bidi/>
        <w:spacing w:after="40" w:line="240"/>
        <w:jc w:val="both"/>
      </w:pPr>
      <w:r>
        <w:rPr>
          <w:rStyle w:val="FootnoteReference"/>
        </w:rPr>
        <w:footnoteRef/>
      </w:r>
      <w:r>
        <w:rPr>
          <w:rFonts w:ascii="David" w:cs="David" w:eastAsia="David" w:hAnsi="David"/>
          <w:sz w:val="20"/>
          <w:szCs w:val="20"/>
          <w:rtl/>
        </w:rPr>
        <w:t xml:space="preserve"> בג"ץ 7074/93 </w:t>
      </w:r>
      <w:r>
        <w:rPr>
          <w:rFonts w:ascii="David" w:cs="David" w:eastAsia="David" w:hAnsi="David"/>
          <w:b/>
          <w:bCs/>
          <w:sz w:val="20"/>
          <w:szCs w:val="20"/>
          <w:rtl/>
        </w:rPr>
        <w:t xml:space="preserve">סויסא נ' היועץ המשפטי לממשלה</w:t>
      </w:r>
      <w:r>
        <w:rPr>
          <w:rFonts w:ascii="David" w:cs="David" w:eastAsia="David" w:hAnsi="David"/>
          <w:sz w:val="20"/>
          <w:szCs w:val="20"/>
          <w:rtl/>
        </w:rPr>
        <w:t xml:space="preserve">, פ"ד מח(2) 749, 784 (1994).</w:t>
      </w:r>
    </w:p>
  </w:footnote>
  <w:footnote w:id="13">
    <w:p>
      <w:pPr>
        <w:bidi/>
        <w:spacing w:after="40" w:line="240"/>
        <w:jc w:val="both"/>
      </w:pPr>
      <w:r>
        <w:rPr>
          <w:rStyle w:val="FootnoteReference"/>
        </w:rPr>
        <w:footnoteRef/>
      </w:r>
      <w:r>
        <w:rPr>
          <w:rFonts w:ascii="David" w:cs="David" w:eastAsia="David" w:hAnsi="David"/>
          <w:sz w:val="20"/>
          <w:szCs w:val="20"/>
          <w:rtl/>
        </w:rPr>
        <w:t xml:space="preserve"> בג"ץ 8634/08 </w:t>
      </w:r>
      <w:r>
        <w:rPr>
          <w:rFonts w:ascii="David" w:cs="David" w:eastAsia="David" w:hAnsi="David"/>
          <w:b/>
          <w:bCs/>
          <w:sz w:val="20"/>
          <w:szCs w:val="20"/>
          <w:rtl/>
        </w:rPr>
        <w:t xml:space="preserve">אלחננוב נ' משטרת ישראל – אגף משאבי אנוש</w:t>
      </w:r>
      <w:r>
        <w:rPr>
          <w:rFonts w:ascii="David" w:cs="David" w:eastAsia="David" w:hAnsi="David"/>
          <w:sz w:val="20"/>
          <w:szCs w:val="20"/>
          <w:rtl/>
        </w:rPr>
        <w:t xml:space="preserve">, פס' 43 (נבו 16.11.2010).</w:t>
      </w:r>
    </w:p>
  </w:footnote>
  <w:footnote w:id="14">
    <w:p>
      <w:pPr>
        <w:bidi/>
        <w:spacing w:after="40" w:line="240"/>
        <w:jc w:val="both"/>
      </w:pPr>
      <w:r>
        <w:rPr>
          <w:rStyle w:val="FootnoteReference"/>
        </w:rPr>
        <w:footnoteRef/>
      </w:r>
      <w:r>
        <w:rPr>
          <w:rFonts w:ascii="David" w:cs="David" w:eastAsia="David" w:hAnsi="David"/>
          <w:sz w:val="20"/>
          <w:szCs w:val="20"/>
          <w:rtl/>
        </w:rPr>
        <w:t xml:space="preserve"> בג"ץ 4455/19 </w:t>
      </w:r>
      <w:r>
        <w:rPr>
          <w:rFonts w:ascii="David" w:cs="David" w:eastAsia="David" w:hAnsi="David"/>
          <w:b/>
          <w:bCs/>
          <w:sz w:val="20"/>
          <w:szCs w:val="20"/>
          <w:rtl/>
        </w:rPr>
        <w:t xml:space="preserve">עמותת טבקה – צדק ושוויון ליוצאי אתיופיה נ' משטרת ישראל</w:t>
      </w:r>
      <w:r>
        <w:rPr>
          <w:rFonts w:ascii="David" w:cs="David" w:eastAsia="David" w:hAnsi="David"/>
          <w:sz w:val="20"/>
          <w:szCs w:val="20"/>
          <w:rtl/>
        </w:rPr>
        <w:t xml:space="preserve">, פס' 41 לפסק דינה של הנשיאה חיות (נבו 25.1.2021).</w:t>
      </w:r>
    </w:p>
  </w:footnote>
  <w:footnote w:id="15">
    <w:p>
      <w:pPr>
        <w:bidi/>
        <w:spacing w:after="40" w:line="240"/>
        <w:jc w:val="both"/>
      </w:pPr>
      <w:r>
        <w:rPr>
          <w:rStyle w:val="FootnoteReference"/>
        </w:rPr>
        <w:footnoteRef/>
      </w:r>
      <w:r>
        <w:rPr>
          <w:rFonts w:ascii="David" w:cs="David" w:eastAsia="David" w:hAnsi="David"/>
          <w:sz w:val="20"/>
          <w:szCs w:val="20"/>
          <w:rtl w:val="false"/>
        </w:rPr>
        <w:t xml:space="preserve"> Proactive Policing: Effects on Crime and Communities 173, 210 (David Weisburd &amp; Malay K. Majmundar eds., 2018).‎</w:t>
      </w:r>
    </w:p>
  </w:footnote>
  <w:footnote w:id="16">
    <w:p>
      <w:pPr>
        <w:bidi/>
        <w:spacing w:after="40" w:line="240"/>
        <w:jc w:val="both"/>
      </w:pPr>
      <w:r>
        <w:rPr>
          <w:rStyle w:val="FootnoteReference"/>
        </w:rPr>
        <w:footnoteRef/>
      </w:r>
      <w:r>
        <w:rPr>
          <w:rFonts w:ascii="David" w:cs="David" w:eastAsia="David" w:hAnsi="David"/>
          <w:sz w:val="20"/>
          <w:szCs w:val="20"/>
          <w:rtl/>
        </w:rPr>
        <w:t xml:space="preserve"> שם, בעמ' 118.</w:t>
      </w:r>
    </w:p>
  </w:footnote>
  <w:footnote w:id="17">
    <w:p>
      <w:pPr>
        <w:bidi/>
        <w:spacing w:after="40" w:line="240"/>
        <w:jc w:val="both"/>
      </w:pPr>
      <w:r>
        <w:rPr>
          <w:rStyle w:val="FootnoteReference"/>
        </w:rPr>
        <w:footnoteRef/>
      </w:r>
      <w:r>
        <w:rPr>
          <w:rFonts w:ascii="David" w:cs="David" w:eastAsia="David" w:hAnsi="David"/>
          <w:sz w:val="20"/>
          <w:szCs w:val="20"/>
          <w:rtl w:val="false"/>
        </w:rPr>
        <w:t xml:space="preserve"> Tom R. Tyler, Phillip Atiba Goff &amp; Robert J. MacCoun, ‎</w:t>
      </w:r>
      <w:r>
        <w:rPr>
          <w:rFonts w:ascii="David" w:cs="David" w:eastAsia="David" w:hAnsi="David"/>
          <w:i/>
          <w:iCs/>
          <w:sz w:val="20"/>
          <w:szCs w:val="20"/>
          <w:rtl w:val="false"/>
        </w:rPr>
        <w:t xml:space="preserve">The Impact of Psychological Science on Policing in the United States: Procedural Justice, Legitimacy, and Effective Law Enforcement‎</w:t>
      </w:r>
      <w:r>
        <w:rPr>
          <w:rFonts w:ascii="David" w:cs="David" w:eastAsia="David" w:hAnsi="David"/>
          <w:sz w:val="20"/>
          <w:szCs w:val="20"/>
          <w:rtl w:val="false"/>
        </w:rPr>
        <w:t xml:space="preserve">, 16 PSYCHOL. SCI. PUB. INT. 75, 76 (2015).‎</w:t>
      </w:r>
    </w:p>
  </w:footnote>
  <w:footnote w:id="18">
    <w:p>
      <w:pPr>
        <w:bidi/>
        <w:spacing w:after="40" w:line="240"/>
        <w:jc w:val="both"/>
      </w:pPr>
      <w:r>
        <w:rPr>
          <w:rStyle w:val="FootnoteReference"/>
        </w:rPr>
        <w:footnoteRef/>
      </w:r>
      <w:r>
        <w:rPr>
          <w:rFonts w:ascii="David" w:cs="David" w:eastAsia="David" w:hAnsi="David"/>
          <w:sz w:val="20"/>
          <w:szCs w:val="20"/>
          <w:rtl w:val="false"/>
        </w:rPr>
        <w:t xml:space="preserve"> President's Task Force on 21st Century Policing, Final Report 1 (2015).‎</w:t>
      </w:r>
    </w:p>
  </w:footnote>
  <w:footnote w:id="19">
    <w:p>
      <w:pPr>
        <w:bidi/>
        <w:spacing w:after="40" w:line="240"/>
        <w:jc w:val="both"/>
      </w:pPr>
      <w:r>
        <w:rPr>
          <w:rStyle w:val="FootnoteReference"/>
        </w:rPr>
        <w:footnoteRef/>
      </w:r>
      <w:r>
        <w:rPr>
          <w:rFonts w:ascii="David" w:cs="David" w:eastAsia="David" w:hAnsi="David"/>
          <w:sz w:val="20"/>
          <w:szCs w:val="20"/>
          <w:rtl/>
        </w:rPr>
        <w:t xml:space="preserve"> פורום המרצות והמרצים למשפטים למען הדמוקרטיה </w:t>
      </w:r>
      <w:r>
        <w:rPr>
          <w:rFonts w:ascii="David" w:cs="David" w:eastAsia="David" w:hAnsi="David"/>
          <w:b/>
          <w:bCs/>
          <w:sz w:val="20"/>
          <w:szCs w:val="20"/>
          <w:rtl/>
        </w:rPr>
        <w:t xml:space="preserve">שינויי המשטר בישראל 2023: אסופת ניירות עמדה</w:t>
      </w:r>
      <w:r>
        <w:rPr>
          <w:rFonts w:ascii="David" w:cs="David" w:eastAsia="David" w:hAnsi="David"/>
          <w:sz w:val="20"/>
          <w:szCs w:val="20"/>
          <w:rtl w:val="false"/>
        </w:rPr>
        <w:t xml:space="preserve"> 591-590 (2026).</w:t>
      </w:r>
    </w:p>
  </w:footnote>
  <w:footnote w:id="20">
    <w:p>
      <w:pPr>
        <w:bidi/>
        <w:spacing w:after="40" w:line="240"/>
        <w:jc w:val="both"/>
      </w:pPr>
      <w:r>
        <w:rPr>
          <w:rStyle w:val="FootnoteReference"/>
        </w:rPr>
        <w:footnoteRef/>
      </w:r>
      <w:r>
        <w:rPr>
          <w:rFonts w:ascii="David" w:cs="David" w:eastAsia="David" w:hAnsi="David"/>
          <w:sz w:val="20"/>
          <w:szCs w:val="20"/>
          <w:rtl/>
        </w:rPr>
        <w:t xml:space="preserve"> גילה אמיתי וענבל וילמובסקי "קרימינולוגיה ביקורתית: עוגנים תיאורטיים ויישום" </w:t>
      </w:r>
      <w:r>
        <w:rPr>
          <w:rFonts w:ascii="David" w:cs="David" w:eastAsia="David" w:hAnsi="David"/>
          <w:b/>
          <w:bCs/>
          <w:sz w:val="20"/>
          <w:szCs w:val="20"/>
          <w:rtl/>
        </w:rPr>
        <w:t xml:space="preserve">קרימינולוגיה ישראלית</w:t>
      </w:r>
      <w:r>
        <w:rPr>
          <w:rFonts w:ascii="David" w:cs="David" w:eastAsia="David" w:hAnsi="David"/>
          <w:sz w:val="20"/>
          <w:szCs w:val="20"/>
          <w:rtl/>
        </w:rPr>
        <w:t xml:space="preserve"> </w:t>
      </w:r>
      <w:r>
        <w:rPr>
          <w:rFonts w:ascii="David" w:cs="David" w:eastAsia="David" w:hAnsi="David"/>
          <w:sz w:val="20"/>
          <w:szCs w:val="20"/>
          <w:shd w:fill="FFF200" w:color="auto" w:val="clear"/>
          <w:rtl/>
        </w:rPr>
        <w:t xml:space="preserve">[כרך]</w:t>
      </w:r>
      <w:r>
        <w:rPr>
          <w:rFonts w:ascii="David" w:cs="David" w:eastAsia="David" w:hAnsi="David"/>
          <w:sz w:val="20"/>
          <w:szCs w:val="20"/>
          <w:rtl/>
        </w:rPr>
        <w:t xml:space="preserve"> </w:t>
      </w:r>
      <w:r>
        <w:rPr>
          <w:rFonts w:ascii="David" w:cs="David" w:eastAsia="David" w:hAnsi="David"/>
          <w:sz w:val="20"/>
          <w:szCs w:val="20"/>
          <w:shd w:fill="FFF200" w:color="auto" w:val="clear"/>
          <w:rtl/>
        </w:rPr>
        <w:t xml:space="preserve">[עמוד]</w:t>
      </w:r>
      <w:r>
        <w:rPr>
          <w:rFonts w:ascii="David" w:cs="David" w:eastAsia="David" w:hAnsi="David"/>
          <w:sz w:val="20"/>
          <w:szCs w:val="20"/>
          <w:rtl w:val="false"/>
        </w:rPr>
        <w:t xml:space="preserve"> (2022).</w:t>
      </w:r>
    </w:p>
  </w:footnote>
  <w:footnote w:id="21">
    <w:p>
      <w:pPr>
        <w:bidi/>
        <w:spacing w:after="40" w:line="240"/>
        <w:jc w:val="both"/>
      </w:pPr>
      <w:r>
        <w:rPr>
          <w:rStyle w:val="FootnoteReference"/>
        </w:rPr>
        <w:footnoteRef/>
      </w:r>
      <w:r>
        <w:rPr>
          <w:rFonts w:ascii="David" w:cs="David" w:eastAsia="David" w:hAnsi="David"/>
          <w:sz w:val="20"/>
          <w:szCs w:val="20"/>
          <w:rtl/>
        </w:rPr>
        <w:t xml:space="preserve"> דיוויד וייסבורד וג'ון א' אק "מה יכולה המשטרה לעשות כדי להפחית פשיעה, אי-סדר ופחד מפשיעה?" </w:t>
      </w:r>
      <w:r>
        <w:rPr>
          <w:rFonts w:ascii="David" w:cs="David" w:eastAsia="David" w:hAnsi="David"/>
          <w:b/>
          <w:bCs/>
          <w:sz w:val="20"/>
          <w:szCs w:val="20"/>
          <w:rtl/>
        </w:rPr>
        <w:t xml:space="preserve">עבריינות וסטייה חברתית: תאוריה ויישום</w:t>
      </w:r>
      <w:r>
        <w:rPr>
          <w:rFonts w:ascii="David" w:cs="David" w:eastAsia="David" w:hAnsi="David"/>
          <w:sz w:val="20"/>
          <w:szCs w:val="20"/>
          <w:rtl/>
        </w:rPr>
        <w:t xml:space="preserve"> </w:t>
      </w:r>
      <w:r>
        <w:rPr>
          <w:rFonts w:ascii="David" w:cs="David" w:eastAsia="David" w:hAnsi="David"/>
          <w:sz w:val="20"/>
          <w:szCs w:val="20"/>
          <w:shd w:fill="FFF200" w:color="auto" w:val="clear"/>
          <w:rtl/>
        </w:rPr>
        <w:t xml:space="preserve">[עמוד]</w:t>
      </w:r>
      <w:r>
        <w:rPr>
          <w:rFonts w:ascii="David" w:cs="David" w:eastAsia="David" w:hAnsi="David"/>
          <w:sz w:val="20"/>
          <w:szCs w:val="20"/>
          <w:rtl/>
        </w:rPr>
        <w:t xml:space="preserve"> (</w:t>
      </w:r>
      <w:r>
        <w:rPr>
          <w:rFonts w:ascii="David" w:cs="David" w:eastAsia="David" w:hAnsi="David"/>
          <w:sz w:val="20"/>
          <w:szCs w:val="20"/>
          <w:shd w:fill="FFF200" w:color="auto" w:val="clear"/>
          <w:rtl/>
        </w:rPr>
        <w:t xml:space="preserve">[עורכים]</w:t>
      </w:r>
      <w:r>
        <w:rPr>
          <w:rFonts w:ascii="David" w:cs="David" w:eastAsia="David" w:hAnsi="David"/>
          <w:sz w:val="20"/>
          <w:szCs w:val="20"/>
          <w:rtl w:val="false"/>
        </w:rPr>
        <w:t xml:space="preserve">, 2022).</w:t>
      </w:r>
    </w:p>
  </w:footnote>
  <w:footnote w:id="22">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sz w:val="20"/>
          <w:szCs w:val="20"/>
          <w:rtl w:val="false"/>
        </w:rPr>
        <w:t xml:space="preserve">Goldstein‎</w:t>
      </w:r>
      <w:r>
        <w:rPr>
          <w:rFonts w:ascii="David" w:cs="David" w:eastAsia="David" w:hAnsi="David"/>
          <w:sz w:val="20"/>
          <w:szCs w:val="20"/>
          <w:rtl/>
        </w:rPr>
        <w:t xml:space="preserve">, לעיל ה"ש 9, בעמ' 242.</w:t>
      </w:r>
    </w:p>
  </w:footnote>
  <w:footnote w:id="23">
    <w:p>
      <w:pPr>
        <w:bidi/>
        <w:spacing w:after="40" w:line="240"/>
        <w:jc w:val="both"/>
      </w:pPr>
      <w:r>
        <w:rPr>
          <w:rStyle w:val="FootnoteReference"/>
        </w:rPr>
        <w:footnoteRef/>
      </w:r>
      <w:r>
        <w:rPr>
          <w:rFonts w:ascii="David" w:cs="David" w:eastAsia="David" w:hAnsi="David"/>
          <w:sz w:val="20"/>
          <w:szCs w:val="20"/>
          <w:rtl w:val="false"/>
        </w:rPr>
        <w:t xml:space="preserve"> John E. Eck &amp; William Spelman, Problem-Solving: Problem-Oriented Policing in Newport News xix (1987).‎</w:t>
      </w:r>
    </w:p>
  </w:footnote>
  <w:footnote w:id="24">
    <w:p>
      <w:pPr>
        <w:bidi/>
        <w:spacing w:after="40" w:line="240"/>
        <w:jc w:val="both"/>
      </w:pPr>
      <w:r>
        <w:rPr>
          <w:rStyle w:val="FootnoteReference"/>
        </w:rPr>
        <w:footnoteRef/>
      </w:r>
      <w:r>
        <w:rPr>
          <w:rFonts w:ascii="David" w:cs="David" w:eastAsia="David" w:hAnsi="David"/>
          <w:sz w:val="20"/>
          <w:szCs w:val="20"/>
          <w:rtl w:val="false"/>
        </w:rPr>
        <w:t xml:space="preserve"> Joshua C. Hinkle, David Weisburd, Cody W. Telep &amp; Kevin Petersen, ‎</w:t>
      </w:r>
      <w:r>
        <w:rPr>
          <w:rFonts w:ascii="David" w:cs="David" w:eastAsia="David" w:hAnsi="David"/>
          <w:i/>
          <w:iCs/>
          <w:sz w:val="20"/>
          <w:szCs w:val="20"/>
          <w:rtl w:val="false"/>
        </w:rPr>
        <w:t xml:space="preserve">Problem-Oriented Policing for Reducing Crime and Disorder: An Updated Systematic Review and Meta-Analysis‎</w:t>
      </w:r>
      <w:r>
        <w:rPr>
          <w:rFonts w:ascii="David" w:cs="David" w:eastAsia="David" w:hAnsi="David"/>
          <w:sz w:val="20"/>
          <w:szCs w:val="20"/>
          <w:rtl w:val="false"/>
        </w:rPr>
        <w:t xml:space="preserve">, 16 CAMPBELL SYSTEMATIC REVS. e1089, §§ 5.3, 5.5, 6.1 (2020).‎</w:t>
      </w:r>
    </w:p>
  </w:footnote>
  <w:footnote w:id="25">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sz w:val="20"/>
          <w:szCs w:val="20"/>
          <w:rtl w:val="false"/>
        </w:rPr>
        <w:t xml:space="preserve">Proactive Policing‎</w:t>
      </w:r>
      <w:r>
        <w:rPr>
          <w:rFonts w:ascii="David" w:cs="David" w:eastAsia="David" w:hAnsi="David"/>
          <w:sz w:val="20"/>
          <w:szCs w:val="20"/>
          <w:rtl/>
        </w:rPr>
        <w:t xml:space="preserve">, לעיל ה"ש 15, בעמ' 42-44.</w:t>
      </w:r>
    </w:p>
  </w:footnote>
  <w:footnote w:id="26">
    <w:p>
      <w:pPr>
        <w:bidi/>
        <w:spacing w:after="40" w:line="240"/>
        <w:jc w:val="both"/>
      </w:pPr>
      <w:r>
        <w:rPr>
          <w:rStyle w:val="FootnoteReference"/>
        </w:rPr>
        <w:footnoteRef/>
      </w:r>
      <w:r>
        <w:rPr>
          <w:rFonts w:ascii="David" w:cs="David" w:eastAsia="David" w:hAnsi="David"/>
          <w:sz w:val="20"/>
          <w:szCs w:val="20"/>
          <w:rtl w:val="false"/>
        </w:rPr>
        <w:t xml:space="preserve"> Anthony A. Braga, Andrew V. Papachristos &amp; David M. Hureau, ‎</w:t>
      </w:r>
      <w:r>
        <w:rPr>
          <w:rFonts w:ascii="David" w:cs="David" w:eastAsia="David" w:hAnsi="David"/>
          <w:i/>
          <w:iCs/>
          <w:sz w:val="20"/>
          <w:szCs w:val="20"/>
          <w:rtl w:val="false"/>
        </w:rPr>
        <w:t xml:space="preserve">Hot Spots Policing Effects on Crime‎</w:t>
      </w:r>
      <w:r>
        <w:rPr>
          <w:rFonts w:ascii="David" w:cs="David" w:eastAsia="David" w:hAnsi="David"/>
          <w:sz w:val="20"/>
          <w:szCs w:val="20"/>
          <w:rtl w:val="false"/>
        </w:rPr>
        <w:t xml:space="preserve">, 8 CAMPBELL SYSTEMATIC REVS. 1, 8, 24-26 (2012).‎</w:t>
      </w:r>
    </w:p>
  </w:footnote>
  <w:footnote w:id="27">
    <w:p>
      <w:pPr>
        <w:bidi/>
        <w:spacing w:after="40" w:line="240"/>
        <w:jc w:val="both"/>
      </w:pPr>
      <w:r>
        <w:rPr>
          <w:rStyle w:val="FootnoteReference"/>
        </w:rPr>
        <w:footnoteRef/>
      </w:r>
      <w:r>
        <w:rPr>
          <w:rFonts w:ascii="David" w:cs="David" w:eastAsia="David" w:hAnsi="David"/>
          <w:sz w:val="20"/>
          <w:szCs w:val="20"/>
          <w:rtl w:val="false"/>
        </w:rPr>
        <w:t xml:space="preserve"> Anthony A. Braga, David Weisburd &amp; Brandon Turchan, ‎</w:t>
      </w:r>
      <w:r>
        <w:rPr>
          <w:rFonts w:ascii="David" w:cs="David" w:eastAsia="David" w:hAnsi="David"/>
          <w:i/>
          <w:iCs/>
          <w:sz w:val="20"/>
          <w:szCs w:val="20"/>
          <w:rtl w:val="false"/>
        </w:rPr>
        <w:t xml:space="preserve">Focused Deterrence Strategies Effects on Crime: A Systematic Review‎</w:t>
      </w:r>
      <w:r>
        <w:rPr>
          <w:rFonts w:ascii="David" w:cs="David" w:eastAsia="David" w:hAnsi="David"/>
          <w:sz w:val="20"/>
          <w:szCs w:val="20"/>
          <w:rtl w:val="false"/>
        </w:rPr>
        <w:t xml:space="preserve">, 15 CAMPBELL SYSTEMATIC REVS. e1051, §§ 1.2, 1.4, 2.6 (2019).‎</w:t>
      </w:r>
    </w:p>
  </w:footnote>
  <w:footnote w:id="28">
    <w:p>
      <w:pPr>
        <w:bidi/>
        <w:spacing w:after="40" w:line="240"/>
        <w:jc w:val="both"/>
      </w:pPr>
      <w:r>
        <w:rPr>
          <w:rStyle w:val="FootnoteReference"/>
        </w:rPr>
        <w:footnoteRef/>
      </w:r>
      <w:r>
        <w:rPr>
          <w:rFonts w:ascii="David" w:cs="David" w:eastAsia="David" w:hAnsi="David"/>
          <w:sz w:val="20"/>
          <w:szCs w:val="20"/>
          <w:rtl w:val="false"/>
        </w:rPr>
        <w:t xml:space="preserve"> Michael S. Scott, Focused Deterrence of High-Risk Individuals 8 (Problem-Oriented Guides for Police, Response Guide Series No. 13, 2017).‎</w:t>
      </w:r>
    </w:p>
  </w:footnote>
  <w:footnote w:id="29">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sz w:val="20"/>
          <w:szCs w:val="20"/>
          <w:rtl w:val="false"/>
        </w:rPr>
        <w:t xml:space="preserve">Proactive Policing‎</w:t>
      </w:r>
      <w:r>
        <w:rPr>
          <w:rFonts w:ascii="David" w:cs="David" w:eastAsia="David" w:hAnsi="David"/>
          <w:sz w:val="20"/>
          <w:szCs w:val="20"/>
          <w:rtl/>
        </w:rPr>
        <w:t xml:space="preserve">, לעיל ה"ש 15, בעמ' 301.</w:t>
      </w:r>
    </w:p>
  </w:footnote>
  <w:footnote w:id="30">
    <w:p>
      <w:pPr>
        <w:bidi/>
        <w:spacing w:after="40" w:line="240"/>
        <w:jc w:val="both"/>
      </w:pPr>
      <w:r>
        <w:rPr>
          <w:rStyle w:val="FootnoteReference"/>
        </w:rPr>
        <w:footnoteRef/>
      </w:r>
      <w:r>
        <w:rPr>
          <w:rFonts w:ascii="David" w:cs="David" w:eastAsia="David" w:hAnsi="David"/>
          <w:sz w:val="20"/>
          <w:szCs w:val="20"/>
          <w:rtl/>
        </w:rPr>
        <w:t xml:space="preserve"> שם, בעמ' 209.</w:t>
      </w:r>
    </w:p>
  </w:footnote>
  <w:footnote w:id="31">
    <w:p>
      <w:pPr>
        <w:bidi/>
        <w:spacing w:after="40" w:line="240"/>
        <w:jc w:val="both"/>
      </w:pPr>
      <w:r>
        <w:rPr>
          <w:rStyle w:val="FootnoteReference"/>
        </w:rPr>
        <w:footnoteRef/>
      </w:r>
      <w:r>
        <w:rPr>
          <w:rFonts w:ascii="David" w:cs="David" w:eastAsia="David" w:hAnsi="David"/>
          <w:sz w:val="20"/>
          <w:szCs w:val="20"/>
          <w:rtl/>
        </w:rPr>
        <w:t xml:space="preserve"> שם, בעמ' 210.</w:t>
      </w:r>
    </w:p>
  </w:footnote>
  <w:footnote w:id="32">
    <w:p>
      <w:pPr>
        <w:bidi/>
        <w:spacing w:after="40" w:line="240"/>
        <w:jc w:val="both"/>
      </w:pPr>
      <w:r>
        <w:rPr>
          <w:rStyle w:val="FootnoteReference"/>
        </w:rPr>
        <w:footnoteRef/>
      </w:r>
      <w:r>
        <w:rPr>
          <w:rFonts w:ascii="David" w:cs="David" w:eastAsia="David" w:hAnsi="David"/>
          <w:sz w:val="20"/>
          <w:szCs w:val="20"/>
          <w:rtl w:val="false"/>
        </w:rPr>
        <w:t xml:space="preserve"> Alexandra Natapoff, ‎</w:t>
      </w:r>
      <w:r>
        <w:rPr>
          <w:rFonts w:ascii="David" w:cs="David" w:eastAsia="David" w:hAnsi="David"/>
          <w:i/>
          <w:iCs/>
          <w:sz w:val="20"/>
          <w:szCs w:val="20"/>
          <w:rtl w:val="false"/>
        </w:rPr>
        <w:t xml:space="preserve">Underenforcement‎</w:t>
      </w:r>
      <w:r>
        <w:rPr>
          <w:rFonts w:ascii="David" w:cs="David" w:eastAsia="David" w:hAnsi="David"/>
          <w:sz w:val="20"/>
          <w:szCs w:val="20"/>
          <w:rtl w:val="false"/>
        </w:rPr>
        <w:t xml:space="preserve">, 75 FORDHAM L. REV. 1715, 1715-1719 (2006).‎</w:t>
      </w:r>
    </w:p>
  </w:footnote>
  <w:footnote w:id="33">
    <w:p>
      <w:pPr>
        <w:bidi/>
        <w:spacing w:after="40" w:line="240"/>
        <w:jc w:val="both"/>
      </w:pPr>
      <w:r>
        <w:rPr>
          <w:rStyle w:val="FootnoteReference"/>
        </w:rPr>
        <w:footnoteRef/>
      </w:r>
      <w:r>
        <w:rPr>
          <w:rFonts w:ascii="David" w:cs="David" w:eastAsia="David" w:hAnsi="David"/>
          <w:sz w:val="20"/>
          <w:szCs w:val="20"/>
          <w:rtl/>
        </w:rPr>
        <w:t xml:space="preserve"> באדי חסייסי ויעל ליטמנוביץ "חתירה למגע אחר: שיטור החברה הערבית בישראל, נקודת המבט של מפקדי תחנות" </w:t>
      </w:r>
      <w:r>
        <w:rPr>
          <w:rFonts w:ascii="David" w:cs="David" w:eastAsia="David" w:hAnsi="David"/>
          <w:b/>
          <w:bCs/>
          <w:sz w:val="20"/>
          <w:szCs w:val="20"/>
          <w:rtl/>
        </w:rPr>
        <w:t xml:space="preserve">העיקר במחקר</w:t>
      </w:r>
      <w:r>
        <w:rPr>
          <w:rFonts w:ascii="David" w:cs="David" w:eastAsia="David" w:hAnsi="David"/>
          <w:sz w:val="20"/>
          <w:szCs w:val="20"/>
          <w:rtl w:val="false"/>
        </w:rPr>
        <w:t xml:space="preserve"> 119, 121 (2017).</w:t>
      </w:r>
    </w:p>
  </w:footnote>
  <w:footnote w:id="34">
    <w:p>
      <w:pPr>
        <w:bidi/>
        <w:spacing w:after="40" w:line="240"/>
        <w:jc w:val="both"/>
      </w:pPr>
      <w:r>
        <w:rPr>
          <w:rStyle w:val="FootnoteReference"/>
        </w:rPr>
        <w:footnoteRef/>
      </w:r>
      <w:r>
        <w:rPr>
          <w:rFonts w:ascii="David" w:cs="David" w:eastAsia="David" w:hAnsi="David"/>
          <w:sz w:val="20"/>
          <w:szCs w:val="20"/>
          <w:rtl/>
        </w:rPr>
        <w:t xml:space="preserve"> יעל ליטמנוביץ, באדי חסייסי, דיויד וייסבורד ושני תשובה "מחקר הערכת תכנית אמו"ן: טיפול משטרת ישראל בעבירות ירי בחברה הערבית" </w:t>
      </w:r>
      <w:r>
        <w:rPr>
          <w:rFonts w:ascii="David" w:cs="David" w:eastAsia="David" w:hAnsi="David"/>
          <w:b/>
          <w:bCs/>
          <w:sz w:val="20"/>
          <w:szCs w:val="20"/>
          <w:rtl/>
        </w:rPr>
        <w:t xml:space="preserve">העיקר במחקר</w:t>
      </w:r>
      <w:r>
        <w:rPr>
          <w:rFonts w:ascii="David" w:cs="David" w:eastAsia="David" w:hAnsi="David"/>
          <w:sz w:val="20"/>
          <w:szCs w:val="20"/>
          <w:rtl w:val="false"/>
        </w:rPr>
        <w:t xml:space="preserve"> 226, 231 (2020).</w:t>
      </w:r>
    </w:p>
  </w:footnote>
  <w:footnote w:id="35">
    <w:p>
      <w:pPr>
        <w:bidi/>
        <w:spacing w:after="40" w:line="240"/>
        <w:jc w:val="both"/>
      </w:pPr>
      <w:r>
        <w:rPr>
          <w:rStyle w:val="FootnoteReference"/>
        </w:rPr>
        <w:footnoteRef/>
      </w:r>
      <w:r>
        <w:rPr>
          <w:rFonts w:ascii="David" w:cs="David" w:eastAsia="David" w:hAnsi="David"/>
          <w:sz w:val="20"/>
          <w:szCs w:val="20"/>
          <w:rtl/>
        </w:rPr>
        <w:t xml:space="preserve"> אסף הרדוף </w:t>
      </w:r>
      <w:r>
        <w:rPr>
          <w:rFonts w:ascii="David" w:cs="David" w:eastAsia="David" w:hAnsi="David"/>
          <w:b/>
          <w:bCs/>
          <w:sz w:val="20"/>
          <w:szCs w:val="20"/>
          <w:rtl/>
        </w:rPr>
        <w:t xml:space="preserve">סדר הדין הפלילי</w:t>
      </w:r>
      <w:r>
        <w:rPr>
          <w:rFonts w:ascii="David" w:cs="David" w:eastAsia="David" w:hAnsi="David"/>
          <w:sz w:val="20"/>
          <w:szCs w:val="20"/>
          <w:rtl/>
        </w:rPr>
        <w:t xml:space="preserve"> חלק א (</w:t>
      </w:r>
      <w:r>
        <w:rPr>
          <w:rFonts w:ascii="David" w:cs="David" w:eastAsia="David" w:hAnsi="David"/>
          <w:sz w:val="20"/>
          <w:szCs w:val="20"/>
          <w:shd w:fill="FFF200" w:color="auto" w:val="clear"/>
          <w:rtl/>
        </w:rPr>
        <w:t xml:space="preserve">[שנה]</w:t>
      </w:r>
      <w:r>
        <w:rPr>
          <w:rFonts w:ascii="David" w:cs="David" w:eastAsia="David" w:hAnsi="David"/>
          <w:sz w:val="20"/>
          <w:szCs w:val="20"/>
          <w:rtl/>
        </w:rPr>
        <w:t xml:space="preserve">).</w:t>
      </w:r>
    </w:p>
  </w:footnote>
  <w:footnote w:id="36">
    <w:p>
      <w:pPr>
        <w:bidi/>
        <w:spacing w:after="40" w:line="240"/>
        <w:jc w:val="both"/>
      </w:pPr>
      <w:r>
        <w:rPr>
          <w:rStyle w:val="FootnoteReference"/>
        </w:rPr>
        <w:footnoteRef/>
      </w:r>
      <w:r>
        <w:rPr>
          <w:rFonts w:ascii="David" w:cs="David" w:eastAsia="David" w:hAnsi="David"/>
          <w:sz w:val="20"/>
          <w:szCs w:val="20"/>
          <w:rtl w:val="false"/>
        </w:rPr>
        <w:t xml:space="preserve"> Monica C. Bell, ‎</w:t>
      </w:r>
      <w:r>
        <w:rPr>
          <w:rFonts w:ascii="David" w:cs="David" w:eastAsia="David" w:hAnsi="David"/>
          <w:i/>
          <w:iCs/>
          <w:sz w:val="20"/>
          <w:szCs w:val="20"/>
          <w:rtl w:val="false"/>
        </w:rPr>
        <w:t xml:space="preserve">Police Reform and the Dismantling of Legal Estrangement‎</w:t>
      </w:r>
      <w:r>
        <w:rPr>
          <w:rFonts w:ascii="David" w:cs="David" w:eastAsia="David" w:hAnsi="David"/>
          <w:sz w:val="20"/>
          <w:szCs w:val="20"/>
          <w:rtl w:val="false"/>
        </w:rPr>
        <w:t xml:space="preserve">, 126 YALE L.J. 2054, 2054 (2017).‎</w:t>
      </w:r>
    </w:p>
  </w:footnote>
  <w:footnote w:id="37">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sz w:val="20"/>
          <w:szCs w:val="20"/>
          <w:rtl w:val="false"/>
        </w:rPr>
        <w:t xml:space="preserve">Sunshine &amp; Tyler‎</w:t>
      </w:r>
      <w:r>
        <w:rPr>
          <w:rFonts w:ascii="David" w:cs="David" w:eastAsia="David" w:hAnsi="David"/>
          <w:sz w:val="20"/>
          <w:szCs w:val="20"/>
          <w:rtl/>
        </w:rPr>
        <w:t xml:space="preserve">, לעיל ה"ש 11, בעמ' 513.</w:t>
      </w:r>
    </w:p>
  </w:footnote>
  <w:footnote w:id="38">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sz w:val="20"/>
          <w:szCs w:val="20"/>
          <w:rtl w:val="false"/>
        </w:rPr>
        <w:t xml:space="preserve">Tyler, Goff &amp; MacCoun‎</w:t>
      </w:r>
      <w:r>
        <w:rPr>
          <w:rFonts w:ascii="David" w:cs="David" w:eastAsia="David" w:hAnsi="David"/>
          <w:sz w:val="20"/>
          <w:szCs w:val="20"/>
          <w:rtl/>
        </w:rPr>
        <w:t xml:space="preserve">, לעיל ה"ש 17, בעמ' 75.</w:t>
      </w:r>
    </w:p>
  </w:footnote>
  <w:footnote w:id="39">
    <w:p>
      <w:pPr>
        <w:bidi/>
        <w:spacing w:after="40" w:line="240"/>
        <w:jc w:val="both"/>
      </w:pPr>
      <w:r>
        <w:rPr>
          <w:rStyle w:val="FootnoteReference"/>
        </w:rPr>
        <w:footnoteRef/>
      </w:r>
      <w:r>
        <w:rPr>
          <w:rFonts w:ascii="David" w:cs="David" w:eastAsia="David" w:hAnsi="David"/>
          <w:sz w:val="20"/>
          <w:szCs w:val="20"/>
          <w:rtl/>
        </w:rPr>
        <w:t xml:space="preserve"> פורום המרצות והמרצים, לעיל ה"ש 19, בעמ' 592.</w:t>
      </w:r>
    </w:p>
  </w:footnote>
  <w:footnote w:id="40">
    <w:p>
      <w:pPr>
        <w:bidi/>
        <w:spacing w:after="40" w:line="240"/>
        <w:jc w:val="both"/>
      </w:pPr>
      <w:r>
        <w:rPr>
          <w:rStyle w:val="FootnoteReference"/>
        </w:rPr>
        <w:footnoteRef/>
      </w:r>
      <w:r>
        <w:rPr>
          <w:rFonts w:ascii="David" w:cs="David" w:eastAsia="David" w:hAnsi="David"/>
          <w:sz w:val="20"/>
          <w:szCs w:val="20"/>
          <w:rtl w:val="false"/>
        </w:rPr>
        <w:t xml:space="preserve"> Wesley G. Skogan, ‎</w:t>
      </w:r>
      <w:r>
        <w:rPr>
          <w:rFonts w:ascii="David" w:cs="David" w:eastAsia="David" w:hAnsi="David"/>
          <w:i/>
          <w:iCs/>
          <w:sz w:val="20"/>
          <w:szCs w:val="20"/>
          <w:rtl w:val="false"/>
        </w:rPr>
        <w:t xml:space="preserve">Asymmetry in the Impact of Encounters with Police‎</w:t>
      </w:r>
      <w:r>
        <w:rPr>
          <w:rFonts w:ascii="David" w:cs="David" w:eastAsia="David" w:hAnsi="David"/>
          <w:sz w:val="20"/>
          <w:szCs w:val="20"/>
          <w:rtl w:val="false"/>
        </w:rPr>
        <w:t xml:space="preserve">, 16 POLICING &amp; SOC'Y 99, 112-113, 117-118 (2006).‎</w:t>
      </w:r>
    </w:p>
  </w:footnote>
  <w:footnote w:id="41">
    <w:p>
      <w:pPr>
        <w:bidi/>
        <w:spacing w:after="40" w:line="240"/>
        <w:jc w:val="both"/>
      </w:pPr>
      <w:r>
        <w:rPr>
          <w:rStyle w:val="FootnoteReference"/>
        </w:rPr>
        <w:footnoteRef/>
      </w:r>
      <w:r>
        <w:rPr>
          <w:rFonts w:ascii="David" w:cs="David" w:eastAsia="David" w:hAnsi="David"/>
          <w:sz w:val="20"/>
          <w:szCs w:val="20"/>
          <w:rtl w:val="false"/>
        </w:rPr>
        <w:t xml:space="preserve"> Matthew Desmond, Andrew V. Papachristos &amp; David S. Kirk, ‎</w:t>
      </w:r>
      <w:r>
        <w:rPr>
          <w:rFonts w:ascii="David" w:cs="David" w:eastAsia="David" w:hAnsi="David"/>
          <w:i/>
          <w:iCs/>
          <w:sz w:val="20"/>
          <w:szCs w:val="20"/>
          <w:rtl w:val="false"/>
        </w:rPr>
        <w:t xml:space="preserve">Police Violence and Citizen Crime Reporting in the Black Community‎</w:t>
      </w:r>
      <w:r>
        <w:rPr>
          <w:rFonts w:ascii="David" w:cs="David" w:eastAsia="David" w:hAnsi="David"/>
          <w:sz w:val="20"/>
          <w:szCs w:val="20"/>
          <w:rtl w:val="false"/>
        </w:rPr>
        <w:t xml:space="preserve">, 81 AM. SOCIO. REV. 857, 865-868 (2016).‎</w:t>
      </w:r>
    </w:p>
  </w:footnote>
  <w:footnote w:id="42">
    <w:p>
      <w:pPr>
        <w:bidi/>
        <w:spacing w:after="40" w:line="240"/>
        <w:jc w:val="both"/>
      </w:pPr>
      <w:r>
        <w:rPr>
          <w:rStyle w:val="FootnoteReference"/>
        </w:rPr>
        <w:footnoteRef/>
      </w:r>
      <w:r>
        <w:rPr>
          <w:rFonts w:ascii="David" w:cs="David" w:eastAsia="David" w:hAnsi="David"/>
          <w:sz w:val="20"/>
          <w:szCs w:val="20"/>
          <w:rtl/>
        </w:rPr>
        <w:t xml:space="preserve"> ע"פ 9878/09 </w:t>
      </w:r>
      <w:r>
        <w:rPr>
          <w:rFonts w:ascii="David" w:cs="David" w:eastAsia="David" w:hAnsi="David"/>
          <w:b/>
          <w:bCs/>
          <w:sz w:val="20"/>
          <w:szCs w:val="20"/>
          <w:rtl/>
        </w:rPr>
        <w:t xml:space="preserve">מדינת ישראל נ' מוסא</w:t>
      </w:r>
      <w:r>
        <w:rPr>
          <w:rFonts w:ascii="David" w:cs="David" w:eastAsia="David" w:hAnsi="David"/>
          <w:sz w:val="20"/>
          <w:szCs w:val="20"/>
          <w:rtl/>
        </w:rPr>
        <w:t xml:space="preserve">, פס' 29 (נבו 20.9.2010).</w:t>
      </w:r>
    </w:p>
  </w:footnote>
  <w:footnote w:id="43">
    <w:p>
      <w:pPr>
        <w:bidi/>
        <w:spacing w:after="40" w:line="240"/>
        <w:jc w:val="both"/>
      </w:pPr>
      <w:r>
        <w:rPr>
          <w:rStyle w:val="FootnoteReference"/>
        </w:rPr>
        <w:footnoteRef/>
      </w:r>
      <w:r>
        <w:rPr>
          <w:rFonts w:ascii="David" w:cs="David" w:eastAsia="David" w:hAnsi="David"/>
          <w:sz w:val="20"/>
          <w:szCs w:val="20"/>
          <w:rtl/>
        </w:rPr>
        <w:t xml:space="preserve"> בג"ץ 2605/05 </w:t>
      </w:r>
      <w:r>
        <w:rPr>
          <w:rFonts w:ascii="David" w:cs="David" w:eastAsia="David" w:hAnsi="David"/>
          <w:b/>
          <w:bCs/>
          <w:sz w:val="20"/>
          <w:szCs w:val="20"/>
          <w:rtl/>
        </w:rPr>
        <w:t xml:space="preserve">המרכז האקדמי למשפט ולעסקים, חטיבת זכויות האדם נ' שר האוצר</w:t>
      </w:r>
      <w:r>
        <w:rPr>
          <w:rFonts w:ascii="David" w:cs="David" w:eastAsia="David" w:hAnsi="David"/>
          <w:sz w:val="20"/>
          <w:szCs w:val="20"/>
          <w:rtl/>
        </w:rPr>
        <w:t xml:space="preserve">, פ"ד סג(2) 545, 630-629, פס' 9-10 לפסק דינה של השופטת פרוקצ'יה (2009).</w:t>
      </w:r>
    </w:p>
  </w:footnote>
  <w:footnote w:id="44">
    <w:p>
      <w:pPr>
        <w:bidi/>
        <w:spacing w:after="40" w:line="240"/>
        <w:jc w:val="both"/>
      </w:pPr>
      <w:r>
        <w:rPr>
          <w:rStyle w:val="FootnoteReference"/>
        </w:rPr>
        <w:footnoteRef/>
      </w:r>
      <w:r>
        <w:rPr>
          <w:rFonts w:ascii="David" w:cs="David" w:eastAsia="David" w:hAnsi="David"/>
          <w:sz w:val="20"/>
          <w:szCs w:val="20"/>
          <w:rtl/>
        </w:rPr>
        <w:t xml:space="preserve"> ס' 2 לחוק החזקת תעודת זהות והצגתה, התשמ"ג–1982; עניין </w:t>
      </w:r>
      <w:r>
        <w:rPr>
          <w:rFonts w:ascii="David" w:cs="David" w:eastAsia="David" w:hAnsi="David"/>
          <w:b/>
          <w:bCs/>
          <w:sz w:val="20"/>
          <w:szCs w:val="20"/>
          <w:rtl/>
        </w:rPr>
        <w:t xml:space="preserve">טבקה</w:t>
      </w:r>
      <w:r>
        <w:rPr>
          <w:rFonts w:ascii="David" w:cs="David" w:eastAsia="David" w:hAnsi="David"/>
          <w:sz w:val="20"/>
          <w:szCs w:val="20"/>
          <w:rtl/>
        </w:rPr>
        <w:t xml:space="preserve">, לעיל ה"ש 14, בפס' 22, 36-35 לפסק דינה של הנשיאה חיות.</w:t>
      </w:r>
    </w:p>
  </w:footnote>
  <w:footnote w:id="45">
    <w:p>
      <w:pPr>
        <w:bidi/>
        <w:spacing w:after="40" w:line="240"/>
        <w:jc w:val="both"/>
      </w:pPr>
      <w:r>
        <w:rPr>
          <w:rStyle w:val="FootnoteReference"/>
        </w:rPr>
        <w:footnoteRef/>
      </w:r>
      <w:r>
        <w:rPr>
          <w:rFonts w:ascii="David" w:cs="David" w:eastAsia="David" w:hAnsi="David"/>
          <w:sz w:val="20"/>
          <w:szCs w:val="20"/>
          <w:rtl/>
        </w:rPr>
        <w:t xml:space="preserve"> עניין </w:t>
      </w:r>
      <w:r>
        <w:rPr>
          <w:rFonts w:ascii="David" w:cs="David" w:eastAsia="David" w:hAnsi="David"/>
          <w:b/>
          <w:bCs/>
          <w:sz w:val="20"/>
          <w:szCs w:val="20"/>
          <w:rtl/>
        </w:rPr>
        <w:t xml:space="preserve">טבקה</w:t>
      </w:r>
      <w:r>
        <w:rPr>
          <w:rFonts w:ascii="David" w:cs="David" w:eastAsia="David" w:hAnsi="David"/>
          <w:sz w:val="20"/>
          <w:szCs w:val="20"/>
          <w:rtl/>
        </w:rPr>
        <w:t xml:space="preserve">, לעיל ה"ש 14, בפס' 41 לפסק דינה של הנשיאה חיות.</w:t>
      </w:r>
    </w:p>
  </w:footnote>
  <w:footnote w:id="46">
    <w:p>
      <w:pPr>
        <w:bidi/>
        <w:spacing w:after="40" w:line="240"/>
        <w:jc w:val="both"/>
      </w:pPr>
      <w:r>
        <w:rPr>
          <w:rStyle w:val="FootnoteReference"/>
        </w:rPr>
        <w:footnoteRef/>
      </w:r>
      <w:r>
        <w:rPr>
          <w:rFonts w:ascii="David" w:cs="David" w:eastAsia="David" w:hAnsi="David"/>
          <w:sz w:val="20"/>
          <w:szCs w:val="20"/>
          <w:rtl/>
        </w:rPr>
        <w:t xml:space="preserve"> ס' 3 לפקודת המשטרה [נוסח חדש], התשל"א–1971.</w:t>
      </w:r>
    </w:p>
  </w:footnote>
  <w:footnote w:id="47">
    <w:p>
      <w:pPr>
        <w:bidi/>
        <w:spacing w:after="40" w:line="240"/>
        <w:jc w:val="both"/>
      </w:pPr>
      <w:r>
        <w:rPr>
          <w:rStyle w:val="FootnoteReference"/>
        </w:rPr>
        <w:footnoteRef/>
      </w:r>
      <w:r>
        <w:rPr>
          <w:rFonts w:ascii="David" w:cs="David" w:eastAsia="David" w:hAnsi="David"/>
          <w:sz w:val="20"/>
          <w:szCs w:val="20"/>
          <w:rtl/>
        </w:rPr>
        <w:t xml:space="preserve"> בג"ץ 2557/05 </w:t>
      </w:r>
      <w:r>
        <w:rPr>
          <w:rFonts w:ascii="David" w:cs="David" w:eastAsia="David" w:hAnsi="David"/>
          <w:b/>
          <w:bCs/>
          <w:sz w:val="20"/>
          <w:szCs w:val="20"/>
          <w:rtl/>
        </w:rPr>
        <w:t xml:space="preserve">מטה הרוב נ' משטרת ישראל</w:t>
      </w:r>
      <w:r>
        <w:rPr>
          <w:rFonts w:ascii="David" w:cs="David" w:eastAsia="David" w:hAnsi="David"/>
          <w:sz w:val="20"/>
          <w:szCs w:val="20"/>
          <w:rtl/>
        </w:rPr>
        <w:t xml:space="preserve">, פ"ד סב(1) 200 (2006).</w:t>
      </w:r>
    </w:p>
  </w:footnote>
  <w:footnote w:id="48">
    <w:p>
      <w:pPr>
        <w:bidi/>
        <w:spacing w:after="40" w:line="240"/>
        <w:jc w:val="both"/>
      </w:pPr>
      <w:r>
        <w:rPr>
          <w:rStyle w:val="FootnoteReference"/>
        </w:rPr>
        <w:footnoteRef/>
      </w:r>
      <w:r>
        <w:rPr>
          <w:rFonts w:ascii="David" w:cs="David" w:eastAsia="David" w:hAnsi="David"/>
          <w:sz w:val="20"/>
          <w:szCs w:val="20"/>
          <w:rtl/>
        </w:rPr>
        <w:t xml:space="preserve"> בג"ץ 6824/07 </w:t>
      </w:r>
      <w:r>
        <w:rPr>
          <w:rFonts w:ascii="David" w:cs="David" w:eastAsia="David" w:hAnsi="David"/>
          <w:b/>
          <w:bCs/>
          <w:sz w:val="20"/>
          <w:szCs w:val="20"/>
          <w:rtl/>
        </w:rPr>
        <w:t xml:space="preserve">מנאע נ' רשות המסים</w:t>
      </w:r>
      <w:r>
        <w:rPr>
          <w:rFonts w:ascii="David" w:cs="David" w:eastAsia="David" w:hAnsi="David"/>
          <w:sz w:val="20"/>
          <w:szCs w:val="20"/>
          <w:rtl/>
        </w:rPr>
        <w:t xml:space="preserve">, פ"ד סד(2) 479, 525-524 (2010); בג"ץ 5887/17 </w:t>
      </w:r>
      <w:r>
        <w:rPr>
          <w:rFonts w:ascii="David" w:cs="David" w:eastAsia="David" w:hAnsi="David"/>
          <w:b/>
          <w:bCs/>
          <w:sz w:val="20"/>
          <w:szCs w:val="20"/>
          <w:rtl/>
        </w:rPr>
        <w:t xml:space="preserve">ג'בארין נ' משטרת ישראל</w:t>
      </w:r>
      <w:r>
        <w:rPr>
          <w:rFonts w:ascii="David" w:cs="David" w:eastAsia="David" w:hAnsi="David"/>
          <w:sz w:val="20"/>
          <w:szCs w:val="20"/>
          <w:rtl/>
        </w:rPr>
        <w:t xml:space="preserve"> (נבו 25.7.2017).</w:t>
      </w:r>
    </w:p>
  </w:footnote>
  <w:footnote w:id="49">
    <w:p>
      <w:pPr>
        <w:bidi/>
        <w:spacing w:after="40" w:line="240"/>
        <w:jc w:val="both"/>
      </w:pPr>
      <w:r>
        <w:rPr>
          <w:rStyle w:val="FootnoteReference"/>
        </w:rPr>
        <w:footnoteRef/>
      </w:r>
      <w:r>
        <w:rPr>
          <w:rFonts w:ascii="David" w:cs="David" w:eastAsia="David" w:hAnsi="David"/>
          <w:sz w:val="20"/>
          <w:szCs w:val="20"/>
          <w:rtl/>
        </w:rPr>
        <w:t xml:space="preserve"> עניין </w:t>
      </w:r>
      <w:r>
        <w:rPr>
          <w:rFonts w:ascii="David" w:cs="David" w:eastAsia="David" w:hAnsi="David"/>
          <w:b/>
          <w:bCs/>
          <w:sz w:val="20"/>
          <w:szCs w:val="20"/>
          <w:rtl/>
        </w:rPr>
        <w:t xml:space="preserve">טבקה</w:t>
      </w:r>
      <w:r>
        <w:rPr>
          <w:rFonts w:ascii="David" w:cs="David" w:eastAsia="David" w:hAnsi="David"/>
          <w:sz w:val="20"/>
          <w:szCs w:val="20"/>
          <w:rtl/>
        </w:rPr>
        <w:t xml:space="preserve">, לעיל ה"ש 14, בפס' 7 לפסק דינו של השופט שטיין.</w:t>
      </w:r>
    </w:p>
  </w:footnote>
  <w:footnote w:id="50">
    <w:p>
      <w:pPr>
        <w:bidi/>
        <w:spacing w:after="40" w:line="240"/>
        <w:jc w:val="both"/>
      </w:pPr>
      <w:r>
        <w:rPr>
          <w:rStyle w:val="FootnoteReference"/>
        </w:rPr>
        <w:footnoteRef/>
      </w:r>
      <w:r>
        <w:rPr>
          <w:rFonts w:ascii="David" w:cs="David" w:eastAsia="David" w:hAnsi="David"/>
          <w:sz w:val="20"/>
          <w:szCs w:val="20"/>
          <w:rtl/>
        </w:rPr>
        <w:t xml:space="preserve"> ס' 74-67 לחוק סדר הדין הפלילי (סמכויות אכיפה – מעצרים), התשנ"ו–1996.</w:t>
      </w:r>
    </w:p>
  </w:footnote>
  <w:footnote w:id="51">
    <w:p>
      <w:pPr>
        <w:bidi/>
        <w:spacing w:after="40" w:line="240"/>
        <w:jc w:val="both"/>
      </w:pPr>
      <w:r>
        <w:rPr>
          <w:rStyle w:val="FootnoteReference"/>
        </w:rPr>
        <w:footnoteRef/>
      </w:r>
      <w:r>
        <w:rPr>
          <w:rFonts w:ascii="David" w:cs="David" w:eastAsia="David" w:hAnsi="David"/>
          <w:sz w:val="20"/>
          <w:szCs w:val="20"/>
          <w:rtl/>
        </w:rPr>
        <w:t xml:space="preserve"> עניין </w:t>
      </w:r>
      <w:r>
        <w:rPr>
          <w:rFonts w:ascii="David" w:cs="David" w:eastAsia="David" w:hAnsi="David"/>
          <w:b/>
          <w:bCs/>
          <w:sz w:val="20"/>
          <w:szCs w:val="20"/>
          <w:rtl/>
        </w:rPr>
        <w:t xml:space="preserve">טבקה</w:t>
      </w:r>
      <w:r>
        <w:rPr>
          <w:rFonts w:ascii="David" w:cs="David" w:eastAsia="David" w:hAnsi="David"/>
          <w:sz w:val="20"/>
          <w:szCs w:val="20"/>
          <w:rtl/>
        </w:rPr>
        <w:t xml:space="preserve">, לעיל ה"ש 14, בפס' 36 לפסק דינה של הנשיאה חיות.</w:t>
      </w:r>
    </w:p>
  </w:footnote>
  <w:footnote w:id="52">
    <w:p>
      <w:pPr>
        <w:bidi/>
        <w:spacing w:after="40" w:line="240"/>
        <w:jc w:val="both"/>
      </w:pPr>
      <w:r>
        <w:rPr>
          <w:rStyle w:val="FootnoteReference"/>
        </w:rPr>
        <w:footnoteRef/>
      </w:r>
      <w:r>
        <w:rPr>
          <w:rFonts w:ascii="David" w:cs="David" w:eastAsia="David" w:hAnsi="David"/>
          <w:sz w:val="20"/>
          <w:szCs w:val="20"/>
          <w:rtl/>
        </w:rPr>
        <w:t xml:space="preserve"> רע"פ 2161/21 </w:t>
      </w:r>
      <w:r>
        <w:rPr>
          <w:rFonts w:ascii="David" w:cs="David" w:eastAsia="David" w:hAnsi="David"/>
          <w:b/>
          <w:bCs/>
          <w:sz w:val="20"/>
          <w:szCs w:val="20"/>
          <w:rtl/>
        </w:rPr>
        <w:t xml:space="preserve">משאיך נ' מדינת ישראל</w:t>
      </w:r>
      <w:r>
        <w:rPr>
          <w:rFonts w:ascii="David" w:cs="David" w:eastAsia="David" w:hAnsi="David"/>
          <w:sz w:val="20"/>
          <w:szCs w:val="20"/>
          <w:rtl/>
        </w:rPr>
        <w:t xml:space="preserve">, פס' 16 להחלטתו של השופט קרא (נבו 18.7.2021).</w:t>
      </w:r>
    </w:p>
  </w:footnote>
  <w:footnote w:id="53">
    <w:p>
      <w:pPr>
        <w:bidi/>
        <w:spacing w:after="40" w:line="240"/>
        <w:jc w:val="both"/>
      </w:pPr>
      <w:r>
        <w:rPr>
          <w:rStyle w:val="FootnoteReference"/>
        </w:rPr>
        <w:footnoteRef/>
      </w:r>
      <w:r>
        <w:rPr>
          <w:rFonts w:ascii="David" w:cs="David" w:eastAsia="David" w:hAnsi="David"/>
          <w:sz w:val="20"/>
          <w:szCs w:val="20"/>
          <w:rtl/>
        </w:rPr>
        <w:t xml:space="preserve"> רע"פ 3829/15 </w:t>
      </w:r>
      <w:r>
        <w:rPr>
          <w:rFonts w:ascii="David" w:cs="David" w:eastAsia="David" w:hAnsi="David"/>
          <w:b/>
          <w:bCs/>
          <w:sz w:val="20"/>
          <w:szCs w:val="20"/>
          <w:rtl/>
        </w:rPr>
        <w:t xml:space="preserve">קסאי נ' מדינת ישראל</w:t>
      </w:r>
      <w:r>
        <w:rPr>
          <w:rFonts w:ascii="David" w:cs="David" w:eastAsia="David" w:hAnsi="David"/>
          <w:sz w:val="20"/>
          <w:szCs w:val="20"/>
          <w:rtl/>
        </w:rPr>
        <w:t xml:space="preserve"> (נבו 20.12.2018).</w:t>
      </w:r>
    </w:p>
  </w:footnote>
  <w:footnote w:id="54">
    <w:p>
      <w:pPr>
        <w:bidi/>
        <w:spacing w:after="40" w:line="240"/>
        <w:jc w:val="both"/>
      </w:pPr>
      <w:r>
        <w:rPr>
          <w:rStyle w:val="FootnoteReference"/>
        </w:rPr>
        <w:footnoteRef/>
      </w:r>
      <w:r>
        <w:rPr>
          <w:rFonts w:ascii="David" w:cs="David" w:eastAsia="David" w:hAnsi="David"/>
          <w:sz w:val="20"/>
          <w:szCs w:val="20"/>
          <w:rtl/>
        </w:rPr>
        <w:t xml:space="preserve"> רע"פ 3199/20 </w:t>
      </w:r>
      <w:r>
        <w:rPr>
          <w:rFonts w:ascii="David" w:cs="David" w:eastAsia="David" w:hAnsi="David"/>
          <w:b/>
          <w:bCs/>
          <w:sz w:val="20"/>
          <w:szCs w:val="20"/>
          <w:rtl/>
        </w:rPr>
        <w:t xml:space="preserve">זייצב נ' מדינת ישראל</w:t>
      </w:r>
      <w:r>
        <w:rPr>
          <w:rFonts w:ascii="David" w:cs="David" w:eastAsia="David" w:hAnsi="David"/>
          <w:sz w:val="20"/>
          <w:szCs w:val="20"/>
          <w:rtl/>
        </w:rPr>
        <w:t xml:space="preserve">, פס' 16 לפסק דינו של השופט אלרון (נבו 12.8.2021).</w:t>
      </w:r>
    </w:p>
  </w:footnote>
  <w:footnote w:id="55">
    <w:p>
      <w:pPr>
        <w:bidi/>
        <w:spacing w:after="40" w:line="240"/>
        <w:jc w:val="both"/>
      </w:pPr>
      <w:r>
        <w:rPr>
          <w:rStyle w:val="FootnoteReference"/>
        </w:rPr>
        <w:footnoteRef/>
      </w:r>
      <w:r>
        <w:rPr>
          <w:rFonts w:ascii="David" w:cs="David" w:eastAsia="David" w:hAnsi="David"/>
          <w:sz w:val="20"/>
          <w:szCs w:val="20"/>
          <w:rtl/>
        </w:rPr>
        <w:t xml:space="preserve"> ס' 3 לחוק סמכויות לשם שמירה על ביטחון הציבור, התשס"ה–2005.</w:t>
      </w:r>
    </w:p>
  </w:footnote>
  <w:footnote w:id="56">
    <w:p>
      <w:pPr>
        <w:bidi/>
        <w:spacing w:after="40" w:line="240"/>
        <w:jc w:val="both"/>
      </w:pPr>
      <w:r>
        <w:rPr>
          <w:rStyle w:val="FootnoteReference"/>
        </w:rPr>
        <w:footnoteRef/>
      </w:r>
      <w:r>
        <w:rPr>
          <w:rFonts w:ascii="David" w:cs="David" w:eastAsia="David" w:hAnsi="David"/>
          <w:sz w:val="20"/>
          <w:szCs w:val="20"/>
          <w:rtl/>
        </w:rPr>
        <w:t xml:space="preserve"> רע"פ 10141/09 </w:t>
      </w:r>
      <w:r>
        <w:rPr>
          <w:rFonts w:ascii="David" w:cs="David" w:eastAsia="David" w:hAnsi="David"/>
          <w:b/>
          <w:bCs/>
          <w:sz w:val="20"/>
          <w:szCs w:val="20"/>
          <w:rtl/>
        </w:rPr>
        <w:t xml:space="preserve">בן חיים נ' מדינת ישראל</w:t>
      </w:r>
      <w:r>
        <w:rPr>
          <w:rFonts w:ascii="David" w:cs="David" w:eastAsia="David" w:hAnsi="David"/>
          <w:sz w:val="20"/>
          <w:szCs w:val="20"/>
          <w:rtl/>
        </w:rPr>
        <w:t xml:space="preserve">, פ"ד סה(3) 305, 330 (2012).</w:t>
      </w:r>
    </w:p>
  </w:footnote>
  <w:footnote w:id="57">
    <w:p>
      <w:pPr>
        <w:bidi/>
        <w:spacing w:after="40" w:line="240"/>
        <w:jc w:val="both"/>
      </w:pPr>
      <w:r>
        <w:rPr>
          <w:rStyle w:val="FootnoteReference"/>
        </w:rPr>
        <w:footnoteRef/>
      </w:r>
      <w:r>
        <w:rPr>
          <w:rFonts w:ascii="David" w:cs="David" w:eastAsia="David" w:hAnsi="David"/>
          <w:sz w:val="20"/>
          <w:szCs w:val="20"/>
          <w:rtl/>
        </w:rPr>
        <w:t xml:space="preserve"> איתי הרמלין "אומרים הסכמה (לחיפוש) יש בעולם. מה זאת הסכמה?" </w:t>
      </w:r>
      <w:r>
        <w:rPr>
          <w:rFonts w:ascii="David" w:cs="David" w:eastAsia="David" w:hAnsi="David"/>
          <w:b/>
          <w:bCs/>
          <w:sz w:val="20"/>
          <w:szCs w:val="20"/>
          <w:rtl/>
        </w:rPr>
        <w:t xml:space="preserve">75 שנות עצמאות במשפט: שופטים מספרים על פסקי דין משבעים וחמש שנות שפיטה</w:t>
      </w:r>
      <w:r>
        <w:rPr>
          <w:rFonts w:ascii="David" w:cs="David" w:eastAsia="David" w:hAnsi="David"/>
          <w:sz w:val="20"/>
          <w:szCs w:val="20"/>
          <w:rtl/>
        </w:rPr>
        <w:t xml:space="preserve"> </w:t>
      </w:r>
      <w:r>
        <w:rPr>
          <w:rFonts w:ascii="David" w:cs="David" w:eastAsia="David" w:hAnsi="David"/>
          <w:sz w:val="20"/>
          <w:szCs w:val="20"/>
          <w:shd w:fill="FFF200" w:color="auto" w:val="clear"/>
          <w:rtl/>
        </w:rPr>
        <w:t xml:space="preserve">[עמוד]</w:t>
      </w:r>
      <w:r>
        <w:rPr>
          <w:rFonts w:ascii="David" w:cs="David" w:eastAsia="David" w:hAnsi="David"/>
          <w:sz w:val="20"/>
          <w:szCs w:val="20"/>
          <w:rtl/>
        </w:rPr>
        <w:t xml:space="preserve"> (דפנה ברק-ארז עורכת ראשית, 2023).</w:t>
      </w:r>
    </w:p>
  </w:footnote>
  <w:footnote w:id="58">
    <w:p>
      <w:pPr>
        <w:bidi/>
        <w:spacing w:after="40" w:line="240"/>
        <w:jc w:val="both"/>
      </w:pPr>
      <w:r>
        <w:rPr>
          <w:rStyle w:val="FootnoteReference"/>
        </w:rPr>
        <w:footnoteRef/>
      </w:r>
      <w:r>
        <w:rPr>
          <w:rFonts w:ascii="David" w:cs="David" w:eastAsia="David" w:hAnsi="David"/>
          <w:sz w:val="20"/>
          <w:szCs w:val="20"/>
          <w:rtl/>
        </w:rPr>
        <w:t xml:space="preserve"> הרדוף </w:t>
      </w:r>
      <w:r>
        <w:rPr>
          <w:rFonts w:ascii="David" w:cs="David" w:eastAsia="David" w:hAnsi="David"/>
          <w:b/>
          <w:bCs/>
          <w:sz w:val="20"/>
          <w:szCs w:val="20"/>
          <w:rtl/>
        </w:rPr>
        <w:t xml:space="preserve">סדר הדין הפלילי</w:t>
      </w:r>
      <w:r>
        <w:rPr>
          <w:rFonts w:ascii="David" w:cs="David" w:eastAsia="David" w:hAnsi="David"/>
          <w:sz w:val="20"/>
          <w:szCs w:val="20"/>
          <w:rtl/>
        </w:rPr>
        <w:t xml:space="preserve">, לעיל ה"ש 35.</w:t>
      </w:r>
    </w:p>
  </w:footnote>
  <w:footnote w:id="59">
    <w:p>
      <w:pPr>
        <w:bidi/>
        <w:spacing w:after="40" w:line="240"/>
        <w:jc w:val="both"/>
      </w:pPr>
      <w:r>
        <w:rPr>
          <w:rStyle w:val="FootnoteReference"/>
        </w:rPr>
        <w:footnoteRef/>
      </w:r>
      <w:r>
        <w:rPr>
          <w:rFonts w:ascii="David" w:cs="David" w:eastAsia="David" w:hAnsi="David"/>
          <w:sz w:val="20"/>
          <w:szCs w:val="20"/>
          <w:rtl/>
        </w:rPr>
        <w:t xml:space="preserve"> דנג"ץ 2707/21 </w:t>
      </w:r>
      <w:r>
        <w:rPr>
          <w:rFonts w:ascii="David" w:cs="David" w:eastAsia="David" w:hAnsi="David"/>
          <w:b/>
          <w:bCs/>
          <w:sz w:val="20"/>
          <w:szCs w:val="20"/>
          <w:rtl/>
        </w:rPr>
        <w:t xml:space="preserve">משטרת ישראל נ' עמותת טבקה – צדק ושוויון ליוצאי אתיופיה</w:t>
      </w:r>
      <w:r>
        <w:rPr>
          <w:rFonts w:ascii="David" w:cs="David" w:eastAsia="David" w:hAnsi="David"/>
          <w:sz w:val="20"/>
          <w:szCs w:val="20"/>
          <w:rtl/>
        </w:rPr>
        <w:t xml:space="preserve">, פס' 14-11 (נבו 29.12.2021).</w:t>
      </w:r>
    </w:p>
  </w:footnote>
  <w:footnote w:id="60">
    <w:p>
      <w:pPr>
        <w:bidi/>
        <w:spacing w:after="40" w:line="240"/>
        <w:jc w:val="both"/>
      </w:pPr>
      <w:r>
        <w:rPr>
          <w:rStyle w:val="FootnoteReference"/>
        </w:rPr>
        <w:footnoteRef/>
      </w:r>
      <w:r>
        <w:rPr>
          <w:rFonts w:ascii="David" w:cs="David" w:eastAsia="David" w:hAnsi="David"/>
          <w:sz w:val="20"/>
          <w:szCs w:val="20"/>
          <w:rtl/>
        </w:rPr>
        <w:t xml:space="preserve"> בג"ץ 244/23 </w:t>
      </w:r>
      <w:r>
        <w:rPr>
          <w:rFonts w:ascii="David" w:cs="David" w:eastAsia="David" w:hAnsi="David"/>
          <w:b/>
          <w:bCs/>
          <w:sz w:val="20"/>
          <w:szCs w:val="20"/>
          <w:rtl/>
        </w:rPr>
        <w:t xml:space="preserve">האגודה לזכויות האזרח בישראל נ' משטרת ישראל</w:t>
      </w:r>
      <w:r>
        <w:rPr>
          <w:rFonts w:ascii="David" w:cs="David" w:eastAsia="David" w:hAnsi="David"/>
          <w:sz w:val="20"/>
          <w:szCs w:val="20"/>
          <w:rtl/>
        </w:rPr>
        <w:t xml:space="preserve"> (נבו 14.12.2025).</w:t>
      </w:r>
    </w:p>
  </w:footnote>
  <w:footnote w:id="61">
    <w:p>
      <w:pPr>
        <w:bidi/>
        <w:spacing w:after="40" w:line="240"/>
        <w:jc w:val="both"/>
      </w:pPr>
      <w:r>
        <w:rPr>
          <w:rStyle w:val="FootnoteReference"/>
        </w:rPr>
        <w:footnoteRef/>
      </w:r>
      <w:r>
        <w:rPr>
          <w:rFonts w:ascii="David" w:cs="David" w:eastAsia="David" w:hAnsi="David"/>
          <w:sz w:val="20"/>
          <w:szCs w:val="20"/>
          <w:rtl/>
        </w:rPr>
        <w:t xml:space="preserve"> בג"ץ 6396/96 </w:t>
      </w:r>
      <w:r>
        <w:rPr>
          <w:rFonts w:ascii="David" w:cs="David" w:eastAsia="David" w:hAnsi="David"/>
          <w:b/>
          <w:bCs/>
          <w:sz w:val="20"/>
          <w:szCs w:val="20"/>
          <w:rtl/>
        </w:rPr>
        <w:t xml:space="preserve">זקין נ' ראש עיריית באר-שבע</w:t>
      </w:r>
      <w:r>
        <w:rPr>
          <w:rFonts w:ascii="David" w:cs="David" w:eastAsia="David" w:hAnsi="David"/>
          <w:sz w:val="20"/>
          <w:szCs w:val="20"/>
          <w:rtl/>
        </w:rPr>
        <w:t xml:space="preserve">, פ"ד נג(3) 289 (1999).</w:t>
      </w:r>
    </w:p>
  </w:footnote>
  <w:footnote w:id="62">
    <w:p>
      <w:pPr>
        <w:bidi/>
        <w:spacing w:after="40" w:line="240"/>
        <w:jc w:val="both"/>
      </w:pPr>
      <w:r>
        <w:rPr>
          <w:rStyle w:val="FootnoteReference"/>
        </w:rPr>
        <w:footnoteRef/>
      </w:r>
      <w:r>
        <w:rPr>
          <w:rFonts w:ascii="David" w:cs="David" w:eastAsia="David" w:hAnsi="David"/>
          <w:sz w:val="20"/>
          <w:szCs w:val="20"/>
          <w:rtl/>
        </w:rPr>
        <w:t xml:space="preserve"> ע"פ 4855/02 </w:t>
      </w:r>
      <w:r>
        <w:rPr>
          <w:rFonts w:ascii="David" w:cs="David" w:eastAsia="David" w:hAnsi="David"/>
          <w:b/>
          <w:bCs/>
          <w:sz w:val="20"/>
          <w:szCs w:val="20"/>
          <w:rtl/>
        </w:rPr>
        <w:t xml:space="preserve">מדינת ישראל נ' בורוביץ</w:t>
      </w:r>
      <w:r>
        <w:rPr>
          <w:rFonts w:ascii="David" w:cs="David" w:eastAsia="David" w:hAnsi="David"/>
          <w:sz w:val="20"/>
          <w:szCs w:val="20"/>
          <w:rtl/>
        </w:rPr>
        <w:t xml:space="preserve">, פ"ד נט(6) 776 (2005).</w:t>
      </w:r>
    </w:p>
  </w:footnote>
  <w:footnote w:id="63">
    <w:p>
      <w:pPr>
        <w:bidi/>
        <w:spacing w:after="40" w:line="240"/>
        <w:jc w:val="both"/>
      </w:pPr>
      <w:r>
        <w:rPr>
          <w:rStyle w:val="FootnoteReference"/>
        </w:rPr>
        <w:footnoteRef/>
      </w:r>
      <w:r>
        <w:rPr>
          <w:rFonts w:ascii="David" w:cs="David" w:eastAsia="David" w:hAnsi="David"/>
          <w:sz w:val="20"/>
          <w:szCs w:val="20"/>
          <w:rtl/>
        </w:rPr>
        <w:t xml:space="preserve"> ע"פ 6328/12 </w:t>
      </w:r>
      <w:r>
        <w:rPr>
          <w:rFonts w:ascii="David" w:cs="David" w:eastAsia="David" w:hAnsi="David"/>
          <w:b/>
          <w:bCs/>
          <w:sz w:val="20"/>
          <w:szCs w:val="20"/>
          <w:rtl/>
        </w:rPr>
        <w:t xml:space="preserve">מדינת ישראל נ' פרץ</w:t>
      </w:r>
      <w:r>
        <w:rPr>
          <w:rFonts w:ascii="David" w:cs="David" w:eastAsia="David" w:hAnsi="David"/>
          <w:sz w:val="20"/>
          <w:szCs w:val="20"/>
          <w:rtl/>
        </w:rPr>
        <w:t xml:space="preserve"> (נבו 10.9.2013).</w:t>
      </w:r>
    </w:p>
  </w:footnote>
  <w:footnote w:id="64">
    <w:p>
      <w:pPr>
        <w:bidi/>
        <w:spacing w:after="40" w:line="240"/>
        <w:jc w:val="both"/>
      </w:pPr>
      <w:r>
        <w:rPr>
          <w:rStyle w:val="FootnoteReference"/>
        </w:rPr>
        <w:footnoteRef/>
      </w:r>
      <w:r>
        <w:rPr>
          <w:rFonts w:ascii="David" w:cs="David" w:eastAsia="David" w:hAnsi="David"/>
          <w:sz w:val="20"/>
          <w:szCs w:val="20"/>
          <w:rtl/>
        </w:rPr>
        <w:t xml:space="preserve"> בג"ץ 7839/19 </w:t>
      </w:r>
      <w:r>
        <w:rPr>
          <w:rFonts w:ascii="David" w:cs="David" w:eastAsia="David" w:hAnsi="David"/>
          <w:b/>
          <w:bCs/>
          <w:sz w:val="20"/>
          <w:szCs w:val="20"/>
          <w:rtl/>
        </w:rPr>
        <w:t xml:space="preserve">פלוני נ' משטרת ישראל</w:t>
      </w:r>
      <w:r>
        <w:rPr>
          <w:rFonts w:ascii="David" w:cs="David" w:eastAsia="David" w:hAnsi="David"/>
          <w:sz w:val="20"/>
          <w:szCs w:val="20"/>
          <w:rtl/>
        </w:rPr>
        <w:t xml:space="preserve"> (נבו 19.10.2020).</w:t>
      </w:r>
    </w:p>
  </w:footnote>
  <w:footnote w:id="65">
    <w:p>
      <w:pPr>
        <w:bidi/>
        <w:spacing w:after="40" w:line="240"/>
        <w:jc w:val="both"/>
      </w:pPr>
      <w:r>
        <w:rPr>
          <w:rStyle w:val="FootnoteReference"/>
        </w:rPr>
        <w:footnoteRef/>
      </w:r>
      <w:r>
        <w:rPr>
          <w:rFonts w:ascii="David" w:cs="David" w:eastAsia="David" w:hAnsi="David"/>
          <w:sz w:val="20"/>
          <w:szCs w:val="20"/>
          <w:rtl/>
        </w:rPr>
        <w:t xml:space="preserve"> בג"ץ 4475/17 </w:t>
      </w:r>
      <w:r>
        <w:rPr>
          <w:rFonts w:ascii="David" w:cs="David" w:eastAsia="David" w:hAnsi="David"/>
          <w:b/>
          <w:bCs/>
          <w:sz w:val="20"/>
          <w:szCs w:val="20"/>
          <w:rtl/>
        </w:rPr>
        <w:t xml:space="preserve">פרידמן נ' משטרת ישראל</w:t>
      </w:r>
      <w:r>
        <w:rPr>
          <w:rFonts w:ascii="David" w:cs="David" w:eastAsia="David" w:hAnsi="David"/>
          <w:sz w:val="20"/>
          <w:szCs w:val="20"/>
          <w:rtl/>
        </w:rPr>
        <w:t xml:space="preserve"> (נבו 17.2.2019).</w:t>
      </w:r>
    </w:p>
  </w:footnote>
  <w:footnote w:id="66">
    <w:p>
      <w:pPr>
        <w:bidi/>
        <w:spacing w:after="40" w:line="240"/>
        <w:jc w:val="both"/>
      </w:pPr>
      <w:r>
        <w:rPr>
          <w:rStyle w:val="FootnoteReference"/>
        </w:rPr>
        <w:footnoteRef/>
      </w:r>
      <w:r>
        <w:rPr>
          <w:rFonts w:ascii="David" w:cs="David" w:eastAsia="David" w:hAnsi="David"/>
          <w:sz w:val="20"/>
          <w:szCs w:val="20"/>
          <w:rtl w:val="false"/>
        </w:rPr>
        <w:t xml:space="preserve"> Tal Jonathan-Zamir &amp; Gali Perry, ‎</w:t>
      </w:r>
      <w:r>
        <w:rPr>
          <w:rFonts w:ascii="David" w:cs="David" w:eastAsia="David" w:hAnsi="David"/>
          <w:i/>
          <w:iCs/>
          <w:sz w:val="20"/>
          <w:szCs w:val="20"/>
          <w:rtl w:val="false"/>
        </w:rPr>
        <w:t xml:space="preserve">A Landmark in the Study of Proactive Policing: Commentary on Proactive Policing: Effects on Crime and Communities‎</w:t>
      </w:r>
      <w:r>
        <w:rPr>
          <w:rFonts w:ascii="David" w:cs="David" w:eastAsia="David" w:hAnsi="David"/>
          <w:sz w:val="20"/>
          <w:szCs w:val="20"/>
          <w:rtl w:val="false"/>
        </w:rPr>
        <w:t xml:space="preserve">, 24 JERUSALEM REV. LEGAL STUD. 1, 1 (2021).‎</w:t>
      </w:r>
    </w:p>
  </w:footnote>
  <w:footnote w:id="67">
    <w:p>
      <w:pPr>
        <w:bidi/>
        <w:spacing w:after="40" w:line="240"/>
        <w:jc w:val="both"/>
      </w:pPr>
      <w:r>
        <w:rPr>
          <w:rStyle w:val="FootnoteReference"/>
        </w:rPr>
        <w:footnoteRef/>
      </w:r>
      <w:r>
        <w:rPr>
          <w:rFonts w:ascii="David" w:cs="David" w:eastAsia="David" w:hAnsi="David"/>
          <w:sz w:val="20"/>
          <w:szCs w:val="20"/>
          <w:rtl/>
        </w:rPr>
        <w:t xml:space="preserve"> ארז פדן "פרקליטות 3.0: הפרקליטות כפי שהייתה, כפי שהינה וכפי שצריכה להיות" </w:t>
      </w:r>
      <w:r>
        <w:rPr>
          <w:rFonts w:ascii="David" w:cs="David" w:eastAsia="David" w:hAnsi="David"/>
          <w:b/>
          <w:bCs/>
          <w:sz w:val="20"/>
          <w:szCs w:val="20"/>
          <w:rtl/>
        </w:rPr>
        <w:t xml:space="preserve">מעשי משפט</w:t>
      </w:r>
      <w:r>
        <w:rPr>
          <w:rFonts w:ascii="David" w:cs="David" w:eastAsia="David" w:hAnsi="David"/>
          <w:sz w:val="20"/>
          <w:szCs w:val="20"/>
          <w:rtl/>
        </w:rPr>
        <w:t xml:space="preserve"> יג 411, 430 (2022).</w:t>
      </w:r>
    </w:p>
  </w:footnote>
  <w:footnote w:id="68">
    <w:p>
      <w:pPr>
        <w:bidi/>
        <w:spacing w:after="40" w:line="240"/>
        <w:jc w:val="both"/>
      </w:pPr>
      <w:r>
        <w:rPr>
          <w:rStyle w:val="FootnoteReference"/>
        </w:rPr>
        <w:footnoteRef/>
      </w:r>
      <w:r>
        <w:rPr>
          <w:rFonts w:ascii="David" w:cs="David" w:eastAsia="David" w:hAnsi="David"/>
          <w:sz w:val="20"/>
          <w:szCs w:val="20"/>
          <w:rtl/>
        </w:rPr>
        <w:t xml:space="preserve"> משטרת ישראל, אגף התכנון והארגון "רפורמת אמו"ן במשטרת ישראל: מרעיון מסדר לשינוי עומק" </w:t>
      </w:r>
      <w:r>
        <w:rPr>
          <w:rFonts w:ascii="David" w:cs="David" w:eastAsia="David" w:hAnsi="David"/>
          <w:b/>
          <w:bCs/>
          <w:sz w:val="20"/>
          <w:szCs w:val="20"/>
          <w:rtl/>
        </w:rPr>
        <w:t xml:space="preserve">העיקר במחקר</w:t>
      </w:r>
      <w:r>
        <w:rPr>
          <w:rFonts w:ascii="David" w:cs="David" w:eastAsia="David" w:hAnsi="David"/>
          <w:sz w:val="20"/>
          <w:szCs w:val="20"/>
          <w:rtl w:val="false"/>
        </w:rPr>
        <w:t xml:space="preserve"> 11, 11 (2017).</w:t>
      </w:r>
    </w:p>
  </w:footnote>
  <w:footnote w:id="69">
    <w:p>
      <w:pPr>
        <w:bidi/>
        <w:spacing w:after="40" w:line="240"/>
        <w:jc w:val="both"/>
      </w:pPr>
      <w:r>
        <w:rPr>
          <w:rStyle w:val="FootnoteReference"/>
        </w:rPr>
        <w:footnoteRef/>
      </w:r>
      <w:r>
        <w:rPr>
          <w:rFonts w:ascii="David" w:cs="David" w:eastAsia="David" w:hAnsi="David"/>
          <w:sz w:val="20"/>
          <w:szCs w:val="20"/>
          <w:rtl/>
        </w:rPr>
        <w:t xml:space="preserve"> שם, בעמ' 12.</w:t>
      </w:r>
    </w:p>
  </w:footnote>
  <w:footnote w:id="70">
    <w:p>
      <w:pPr>
        <w:bidi/>
        <w:spacing w:after="40" w:line="240"/>
        <w:jc w:val="both"/>
      </w:pPr>
      <w:r>
        <w:rPr>
          <w:rStyle w:val="FootnoteReference"/>
        </w:rPr>
        <w:footnoteRef/>
      </w:r>
      <w:r>
        <w:rPr>
          <w:rFonts w:ascii="David" w:cs="David" w:eastAsia="David" w:hAnsi="David"/>
          <w:sz w:val="20"/>
          <w:szCs w:val="20"/>
          <w:rtl/>
        </w:rPr>
        <w:t xml:space="preserve"> דיויד וייסבורד, באדי חסייסי, יעל לטמנוביץ, תומר כרמל ושני תשובה "מחקר הערכת תכנית אמו"ן: דו"ח מספר 1, סל עבירות פע"ר" </w:t>
      </w:r>
      <w:r>
        <w:rPr>
          <w:rFonts w:ascii="David" w:cs="David" w:eastAsia="David" w:hAnsi="David"/>
          <w:b/>
          <w:bCs/>
          <w:sz w:val="20"/>
          <w:szCs w:val="20"/>
          <w:rtl/>
        </w:rPr>
        <w:t xml:space="preserve">העיקר במחקר</w:t>
      </w:r>
      <w:r>
        <w:rPr>
          <w:rFonts w:ascii="David" w:cs="David" w:eastAsia="David" w:hAnsi="David"/>
          <w:sz w:val="20"/>
          <w:szCs w:val="20"/>
          <w:rtl w:val="false"/>
        </w:rPr>
        <w:t xml:space="preserve"> 75, 77 (2018).</w:t>
      </w:r>
    </w:p>
  </w:footnote>
  <w:footnote w:id="71">
    <w:p>
      <w:pPr>
        <w:bidi/>
        <w:spacing w:after="40" w:line="240"/>
        <w:jc w:val="both"/>
      </w:pPr>
      <w:r>
        <w:rPr>
          <w:rStyle w:val="FootnoteReference"/>
        </w:rPr>
        <w:footnoteRef/>
      </w:r>
      <w:r>
        <w:rPr>
          <w:rFonts w:ascii="David" w:cs="David" w:eastAsia="David" w:hAnsi="David"/>
          <w:sz w:val="20"/>
          <w:szCs w:val="20"/>
          <w:rtl/>
        </w:rPr>
        <w:t xml:space="preserve"> ויסבורד ואחרים "מיסוד שיטור מוכוון בעיות", לעיל ה"ש 5, בעמ' 154.</w:t>
      </w:r>
    </w:p>
  </w:footnote>
  <w:footnote w:id="72">
    <w:p>
      <w:pPr>
        <w:bidi/>
        <w:spacing w:after="40" w:line="240"/>
        <w:jc w:val="both"/>
      </w:pPr>
      <w:r>
        <w:rPr>
          <w:rStyle w:val="FootnoteReference"/>
        </w:rPr>
        <w:footnoteRef/>
      </w:r>
      <w:r>
        <w:rPr>
          <w:rFonts w:ascii="David" w:cs="David" w:eastAsia="David" w:hAnsi="David"/>
          <w:sz w:val="20"/>
          <w:szCs w:val="20"/>
          <w:rtl/>
        </w:rPr>
        <w:t xml:space="preserve"> יהודה קייסי "השיטור הקלאסי: הבסיס המחקרי לרפורמת אמו"ן במשטרת ישראל" </w:t>
      </w:r>
      <w:r>
        <w:rPr>
          <w:rFonts w:ascii="David" w:cs="David" w:eastAsia="David" w:hAnsi="David"/>
          <w:b/>
          <w:bCs/>
          <w:sz w:val="20"/>
          <w:szCs w:val="20"/>
          <w:rtl/>
        </w:rPr>
        <w:t xml:space="preserve">העיקר במחקר</w:t>
      </w:r>
      <w:r>
        <w:rPr>
          <w:rFonts w:ascii="David" w:cs="David" w:eastAsia="David" w:hAnsi="David"/>
          <w:sz w:val="20"/>
          <w:szCs w:val="20"/>
          <w:rtl w:val="false"/>
        </w:rPr>
        <w:t xml:space="preserve"> 13, 13 (2017).</w:t>
      </w:r>
    </w:p>
  </w:footnote>
  <w:footnote w:id="73">
    <w:p>
      <w:pPr>
        <w:bidi/>
        <w:spacing w:after="40" w:line="240"/>
        <w:jc w:val="both"/>
      </w:pPr>
      <w:r>
        <w:rPr>
          <w:rStyle w:val="FootnoteReference"/>
        </w:rPr>
        <w:footnoteRef/>
      </w:r>
      <w:r>
        <w:rPr>
          <w:rFonts w:ascii="David" w:cs="David" w:eastAsia="David" w:hAnsi="David"/>
          <w:sz w:val="20"/>
          <w:szCs w:val="20"/>
          <w:rtl/>
        </w:rPr>
        <w:t xml:space="preserve"> ויסבורד ואחרים "מיסוד שיטור מוכוון בעיות", לעיל ה"ש 5, בעמ' 156-155.</w:t>
      </w:r>
    </w:p>
  </w:footnote>
  <w:footnote w:id="74">
    <w:p>
      <w:pPr>
        <w:bidi/>
        <w:spacing w:after="40" w:line="240"/>
        <w:jc w:val="both"/>
      </w:pPr>
      <w:r>
        <w:rPr>
          <w:rStyle w:val="FootnoteReference"/>
        </w:rPr>
        <w:footnoteRef/>
      </w:r>
      <w:r>
        <w:rPr>
          <w:rFonts w:ascii="David" w:cs="David" w:eastAsia="David" w:hAnsi="David"/>
          <w:sz w:val="20"/>
          <w:szCs w:val="20"/>
          <w:rtl/>
        </w:rPr>
        <w:t xml:space="preserve"> שם, בעמ' 156.</w:t>
      </w:r>
    </w:p>
  </w:footnote>
  <w:footnote w:id="75">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sz w:val="20"/>
          <w:szCs w:val="20"/>
          <w:rtl w:val="false"/>
        </w:rPr>
        <w:t xml:space="preserve">Eck &amp; Spelman‎</w:t>
      </w:r>
      <w:r>
        <w:rPr>
          <w:rFonts w:ascii="David" w:cs="David" w:eastAsia="David" w:hAnsi="David"/>
          <w:sz w:val="20"/>
          <w:szCs w:val="20"/>
          <w:rtl/>
        </w:rPr>
        <w:t xml:space="preserve">, לעיל ה"ש 23, בעמ' </w:t>
      </w:r>
      <w:r>
        <w:rPr>
          <w:rFonts w:ascii="David" w:cs="David" w:eastAsia="David" w:hAnsi="David"/>
          <w:sz w:val="20"/>
          <w:szCs w:val="20"/>
          <w:rtl w:val="false"/>
        </w:rPr>
        <w:t xml:space="preserve">xix.‎</w:t>
      </w:r>
    </w:p>
  </w:footnote>
  <w:footnote w:id="76">
    <w:p>
      <w:pPr>
        <w:bidi/>
        <w:spacing w:after="40" w:line="240"/>
        <w:jc w:val="both"/>
      </w:pPr>
      <w:r>
        <w:rPr>
          <w:rStyle w:val="FootnoteReference"/>
        </w:rPr>
        <w:footnoteRef/>
      </w:r>
      <w:r>
        <w:rPr>
          <w:rFonts w:ascii="David" w:cs="David" w:eastAsia="David" w:hAnsi="David"/>
          <w:sz w:val="20"/>
          <w:szCs w:val="20"/>
          <w:rtl/>
        </w:rPr>
        <w:t xml:space="preserve"> ויסבורד ואחרים "מיסוד שיטור מוכוון בעיות", לעיל ה"ש 5, בעמ' 157.</w:t>
      </w:r>
    </w:p>
  </w:footnote>
  <w:footnote w:id="77">
    <w:p>
      <w:pPr>
        <w:bidi/>
        <w:spacing w:after="40" w:line="240"/>
        <w:jc w:val="both"/>
      </w:pPr>
      <w:r>
        <w:rPr>
          <w:rStyle w:val="FootnoteReference"/>
        </w:rPr>
        <w:footnoteRef/>
      </w:r>
      <w:r>
        <w:rPr>
          <w:rFonts w:ascii="David" w:cs="David" w:eastAsia="David" w:hAnsi="David"/>
          <w:sz w:val="20"/>
          <w:szCs w:val="20"/>
          <w:rtl/>
        </w:rPr>
        <w:t xml:space="preserve"> מאיר אלרן, אפרים לביא, מני יצחקי ומוחמד ותד </w:t>
      </w:r>
      <w:r>
        <w:rPr>
          <w:rFonts w:ascii="David" w:cs="David" w:eastAsia="David" w:hAnsi="David"/>
          <w:b/>
          <w:bCs/>
          <w:sz w:val="20"/>
          <w:szCs w:val="20"/>
          <w:rtl/>
        </w:rPr>
        <w:t xml:space="preserve">המלצות למדיניות התמודדות לאומית עם האלימות והפשיעה בחברה הערבית בישראל</w:t>
      </w:r>
      <w:r>
        <w:rPr>
          <w:rFonts w:ascii="David" w:cs="David" w:eastAsia="David" w:hAnsi="David"/>
          <w:sz w:val="20"/>
          <w:szCs w:val="20"/>
          <w:rtl/>
        </w:rPr>
        <w:t xml:space="preserve"> 4-3 (המכון למחקרי ביטחון לאומי, 2021).</w:t>
      </w:r>
    </w:p>
  </w:footnote>
  <w:footnote w:id="78">
    <w:p>
      <w:pPr>
        <w:bidi/>
        <w:spacing w:after="40" w:line="240"/>
        <w:jc w:val="both"/>
      </w:pPr>
      <w:r>
        <w:rPr>
          <w:rStyle w:val="FootnoteReference"/>
        </w:rPr>
        <w:footnoteRef/>
      </w:r>
      <w:r>
        <w:rPr>
          <w:rFonts w:ascii="David" w:cs="David" w:eastAsia="David" w:hAnsi="David"/>
          <w:sz w:val="20"/>
          <w:szCs w:val="20"/>
          <w:rtl/>
        </w:rPr>
        <w:t xml:space="preserve"> מיכאל בירנהק </w:t>
      </w:r>
      <w:r>
        <w:rPr>
          <w:rFonts w:ascii="David" w:cs="David" w:eastAsia="David" w:hAnsi="David"/>
          <w:b/>
          <w:bCs/>
          <w:sz w:val="20"/>
          <w:szCs w:val="20"/>
          <w:rtl/>
        </w:rPr>
        <w:t xml:space="preserve">פרטיות חוקתית</w:t>
      </w:r>
      <w:r>
        <w:rPr>
          <w:rFonts w:ascii="David" w:cs="David" w:eastAsia="David" w:hAnsi="David"/>
          <w:sz w:val="20"/>
          <w:szCs w:val="20"/>
          <w:rtl w:val="false"/>
        </w:rPr>
        <w:t xml:space="preserve"> 400 (2023).</w:t>
      </w:r>
    </w:p>
  </w:footnote>
  <w:footnote w:id="79">
    <w:p>
      <w:pPr>
        <w:bidi/>
        <w:spacing w:after="40" w:line="240"/>
        <w:jc w:val="both"/>
      </w:pPr>
      <w:r>
        <w:rPr>
          <w:rStyle w:val="FootnoteReference"/>
        </w:rPr>
        <w:footnoteRef/>
      </w:r>
      <w:r>
        <w:rPr>
          <w:rFonts w:ascii="David" w:cs="David" w:eastAsia="David" w:hAnsi="David"/>
          <w:sz w:val="20"/>
          <w:szCs w:val="20"/>
          <w:rtl/>
        </w:rPr>
        <w:t xml:space="preserve"> ויסבורד ואחרים "מיסוד שיטור מוכוון בעיות", לעיל ה"ש 5, בעמ' 157.</w:t>
      </w:r>
    </w:p>
  </w:footnote>
  <w:footnote w:id="80">
    <w:p>
      <w:pPr>
        <w:bidi/>
        <w:spacing w:after="40" w:line="240"/>
        <w:jc w:val="both"/>
      </w:pPr>
      <w:r>
        <w:rPr>
          <w:rStyle w:val="FootnoteReference"/>
        </w:rPr>
        <w:footnoteRef/>
      </w:r>
      <w:r>
        <w:rPr>
          <w:rFonts w:ascii="David" w:cs="David" w:eastAsia="David" w:hAnsi="David"/>
          <w:sz w:val="20"/>
          <w:szCs w:val="20"/>
          <w:rtl/>
        </w:rPr>
        <w:t xml:space="preserve"> שם, בעמ' 158.</w:t>
      </w:r>
    </w:p>
  </w:footnote>
  <w:footnote w:id="81">
    <w:p>
      <w:pPr>
        <w:bidi/>
        <w:spacing w:after="40" w:line="240"/>
        <w:jc w:val="both"/>
      </w:pPr>
      <w:r>
        <w:rPr>
          <w:rStyle w:val="FootnoteReference"/>
        </w:rPr>
        <w:footnoteRef/>
      </w:r>
      <w:r>
        <w:rPr>
          <w:rFonts w:ascii="David" w:cs="David" w:eastAsia="David" w:hAnsi="David"/>
          <w:sz w:val="20"/>
          <w:szCs w:val="20"/>
          <w:rtl/>
        </w:rPr>
        <w:t xml:space="preserve"> ליטמנוביץ ואחרים, לעיל ה"ש 34, בעמ' 242.</w:t>
      </w:r>
    </w:p>
  </w:footnote>
  <w:footnote w:id="82">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sz w:val="20"/>
          <w:szCs w:val="20"/>
          <w:rtl w:val="false"/>
        </w:rPr>
        <w:t xml:space="preserve">Proactive Policing‎</w:t>
      </w:r>
      <w:r>
        <w:rPr>
          <w:rFonts w:ascii="David" w:cs="David" w:eastAsia="David" w:hAnsi="David"/>
          <w:sz w:val="20"/>
          <w:szCs w:val="20"/>
          <w:rtl/>
        </w:rPr>
        <w:t xml:space="preserve">, לעיל ה"ש 15, בעמ' 301.</w:t>
      </w:r>
    </w:p>
  </w:footnote>
  <w:footnote w:id="83">
    <w:p>
      <w:pPr>
        <w:bidi/>
        <w:spacing w:after="40" w:line="240"/>
        <w:jc w:val="both"/>
      </w:pPr>
      <w:r>
        <w:rPr>
          <w:rStyle w:val="FootnoteReference"/>
        </w:rPr>
        <w:footnoteRef/>
      </w:r>
      <w:r>
        <w:rPr>
          <w:rFonts w:ascii="David" w:cs="David" w:eastAsia="David" w:hAnsi="David"/>
          <w:sz w:val="20"/>
          <w:szCs w:val="20"/>
          <w:rtl/>
        </w:rPr>
        <w:t xml:space="preserve"> ויסבורד ואחרים "מיסוד שיטור מוכוון בעיות", לעיל ה"ש 5, בעמ' 158-156.</w:t>
      </w:r>
    </w:p>
  </w:footnote>
  <w:footnote w:id="84">
    <w:p>
      <w:pPr>
        <w:bidi/>
        <w:spacing w:after="40" w:line="240"/>
        <w:jc w:val="both"/>
      </w:pPr>
      <w:r>
        <w:rPr>
          <w:rStyle w:val="FootnoteReference"/>
        </w:rPr>
        <w:footnoteRef/>
      </w:r>
      <w:r>
        <w:rPr>
          <w:rFonts w:ascii="David" w:cs="David" w:eastAsia="David" w:hAnsi="David"/>
          <w:sz w:val="20"/>
          <w:szCs w:val="20"/>
          <w:rtl/>
        </w:rPr>
        <w:t xml:space="preserve"> בג"ץ 8987/22 </w:t>
      </w:r>
      <w:r>
        <w:rPr>
          <w:rFonts w:ascii="David" w:cs="David" w:eastAsia="David" w:hAnsi="David"/>
          <w:b/>
          <w:bCs/>
          <w:sz w:val="20"/>
          <w:szCs w:val="20"/>
          <w:rtl/>
        </w:rPr>
        <w:t xml:space="preserve">התנועה למען איכות השלטון בישראל נ' הכנסת</w:t>
      </w:r>
      <w:r>
        <w:rPr>
          <w:rFonts w:ascii="David" w:cs="David" w:eastAsia="David" w:hAnsi="David"/>
          <w:sz w:val="20"/>
          <w:szCs w:val="20"/>
          <w:rtl/>
        </w:rPr>
        <w:t xml:space="preserve"> (נבו 2.1.2025).</w:t>
      </w:r>
    </w:p>
  </w:footnote>
  <w:footnote w:id="85">
    <w:p>
      <w:pPr>
        <w:bidi/>
        <w:spacing w:after="40" w:line="240"/>
        <w:jc w:val="both"/>
      </w:pPr>
      <w:r>
        <w:rPr>
          <w:rStyle w:val="FootnoteReference"/>
        </w:rPr>
        <w:footnoteRef/>
      </w:r>
      <w:r>
        <w:rPr>
          <w:rFonts w:ascii="David" w:cs="David" w:eastAsia="David" w:hAnsi="David"/>
          <w:sz w:val="20"/>
          <w:szCs w:val="20"/>
          <w:rtl/>
        </w:rPr>
        <w:t xml:space="preserve"> יכימוביץ-כהן </w:t>
      </w:r>
      <w:r>
        <w:rPr>
          <w:rFonts w:ascii="David" w:cs="David" w:eastAsia="David" w:hAnsi="David"/>
          <w:b/>
          <w:bCs/>
          <w:sz w:val="20"/>
          <w:szCs w:val="20"/>
          <w:rtl/>
        </w:rPr>
        <w:t xml:space="preserve">שיטור יתר</w:t>
      </w:r>
      <w:r>
        <w:rPr>
          <w:rFonts w:ascii="David" w:cs="David" w:eastAsia="David" w:hAnsi="David"/>
          <w:sz w:val="20"/>
          <w:szCs w:val="20"/>
          <w:rtl/>
        </w:rPr>
        <w:t xml:space="preserve">, לעיל ה"ש 3, בעמ' 6-3.</w:t>
      </w:r>
    </w:p>
  </w:footnote>
  <w:footnote w:id="86">
    <w:p>
      <w:pPr>
        <w:bidi/>
        <w:spacing w:after="40" w:line="240"/>
        <w:jc w:val="both"/>
      </w:pPr>
      <w:r>
        <w:rPr>
          <w:rStyle w:val="FootnoteReference"/>
        </w:rPr>
        <w:footnoteRef/>
      </w:r>
      <w:r>
        <w:rPr>
          <w:rFonts w:ascii="David" w:cs="David" w:eastAsia="David" w:hAnsi="David"/>
          <w:sz w:val="20"/>
          <w:szCs w:val="20"/>
          <w:rtl/>
        </w:rPr>
        <w:t xml:space="preserve"> יכימוביץ-כהן </w:t>
      </w:r>
      <w:r>
        <w:rPr>
          <w:rFonts w:ascii="David" w:cs="David" w:eastAsia="David" w:hAnsi="David"/>
          <w:b/>
          <w:bCs/>
          <w:sz w:val="20"/>
          <w:szCs w:val="20"/>
          <w:rtl/>
        </w:rPr>
        <w:t xml:space="preserve">צעירים ערבים</w:t>
      </w:r>
      <w:r>
        <w:rPr>
          <w:rFonts w:ascii="David" w:cs="David" w:eastAsia="David" w:hAnsi="David"/>
          <w:sz w:val="20"/>
          <w:szCs w:val="20"/>
          <w:rtl/>
        </w:rPr>
        <w:t xml:space="preserve">, לעיל ה"ש 7, בעמ' 9, 5-3.</w:t>
      </w:r>
    </w:p>
  </w:footnote>
  <w:footnote w:id="87">
    <w:p>
      <w:pPr>
        <w:bidi/>
        <w:spacing w:after="40" w:line="240"/>
        <w:jc w:val="both"/>
      </w:pPr>
      <w:r>
        <w:rPr>
          <w:rStyle w:val="FootnoteReference"/>
        </w:rPr>
        <w:footnoteRef/>
      </w:r>
      <w:r>
        <w:rPr>
          <w:rFonts w:ascii="David" w:cs="David" w:eastAsia="David" w:hAnsi="David"/>
          <w:sz w:val="20"/>
          <w:szCs w:val="20"/>
          <w:rtl/>
        </w:rPr>
        <w:t xml:space="preserve"> אלרן ואחרים, לעיל ה"ש 77, בעמ' 4-3.</w:t>
      </w:r>
    </w:p>
  </w:footnote>
  <w:footnote w:id="88">
    <w:p>
      <w:pPr>
        <w:bidi/>
        <w:spacing w:after="40" w:line="240"/>
        <w:jc w:val="both"/>
      </w:pPr>
      <w:r>
        <w:rPr>
          <w:rStyle w:val="FootnoteReference"/>
        </w:rPr>
        <w:footnoteRef/>
      </w:r>
      <w:r>
        <w:rPr>
          <w:rFonts w:ascii="David" w:cs="David" w:eastAsia="David" w:hAnsi="David"/>
          <w:sz w:val="20"/>
          <w:szCs w:val="20"/>
          <w:rtl/>
        </w:rPr>
        <w:t xml:space="preserve"> שי שטרן </w:t>
      </w:r>
      <w:r>
        <w:rPr>
          <w:rFonts w:ascii="David" w:cs="David" w:eastAsia="David" w:hAnsi="David"/>
          <w:b/>
          <w:bCs/>
          <w:sz w:val="20"/>
          <w:szCs w:val="20"/>
          <w:rtl/>
        </w:rPr>
        <w:t xml:space="preserve">קהילות במשפט</w:t>
      </w:r>
      <w:r>
        <w:rPr>
          <w:rFonts w:ascii="David" w:cs="David" w:eastAsia="David" w:hAnsi="David"/>
          <w:sz w:val="20"/>
          <w:szCs w:val="20"/>
          <w:rtl/>
        </w:rPr>
        <w:t xml:space="preserve"> </w:t>
      </w:r>
      <w:r>
        <w:rPr>
          <w:rFonts w:ascii="David" w:cs="David" w:eastAsia="David" w:hAnsi="David"/>
          <w:sz w:val="20"/>
          <w:szCs w:val="20"/>
          <w:shd w:fill="FFF200" w:color="auto" w:val="clear"/>
          <w:rtl/>
        </w:rPr>
        <w:t xml:space="preserve">[עמוד]</w:t>
      </w:r>
      <w:r>
        <w:rPr>
          <w:rFonts w:ascii="David" w:cs="David" w:eastAsia="David" w:hAnsi="David"/>
          <w:sz w:val="20"/>
          <w:szCs w:val="20"/>
          <w:rtl w:val="false"/>
        </w:rPr>
        <w:t xml:space="preserve"> (2026).</w:t>
      </w:r>
    </w:p>
  </w:footnote>
  <w:footnote w:id="89">
    <w:p>
      <w:pPr>
        <w:bidi/>
        <w:spacing w:after="40" w:line="240"/>
        <w:jc w:val="both"/>
      </w:pPr>
      <w:r>
        <w:rPr>
          <w:rStyle w:val="FootnoteReference"/>
        </w:rPr>
        <w:footnoteRef/>
      </w:r>
      <w:r>
        <w:rPr>
          <w:rFonts w:ascii="David" w:cs="David" w:eastAsia="David" w:hAnsi="David"/>
          <w:sz w:val="20"/>
          <w:szCs w:val="20"/>
          <w:rtl/>
        </w:rPr>
        <w:t xml:space="preserve"> בג"ץ 1386/22 </w:t>
      </w:r>
      <w:r>
        <w:rPr>
          <w:rFonts w:ascii="David" w:cs="David" w:eastAsia="David" w:hAnsi="David"/>
          <w:b/>
          <w:bCs/>
          <w:sz w:val="20"/>
          <w:szCs w:val="20"/>
          <w:rtl/>
        </w:rPr>
        <w:t xml:space="preserve">דיאב נ' מפכ"ל משטרת ישראל</w:t>
      </w:r>
      <w:r>
        <w:rPr>
          <w:rFonts w:ascii="David" w:cs="David" w:eastAsia="David" w:hAnsi="David"/>
          <w:sz w:val="20"/>
          <w:szCs w:val="20"/>
          <w:rtl/>
        </w:rPr>
        <w:t xml:space="preserve"> (נבו 7.11.2022); בג"ץ 5442/23 </w:t>
      </w:r>
      <w:r>
        <w:rPr>
          <w:rFonts w:ascii="David" w:cs="David" w:eastAsia="David" w:hAnsi="David"/>
          <w:b/>
          <w:bCs/>
          <w:sz w:val="20"/>
          <w:szCs w:val="20"/>
          <w:rtl/>
        </w:rPr>
        <w:t xml:space="preserve">עבאס נ' מפכ"ל משטרת ישראל</w:t>
      </w:r>
      <w:r>
        <w:rPr>
          <w:rFonts w:ascii="David" w:cs="David" w:eastAsia="David" w:hAnsi="David"/>
          <w:sz w:val="20"/>
          <w:szCs w:val="20"/>
          <w:rtl/>
        </w:rPr>
        <w:t xml:space="preserve"> (נבו 20.7.2023).</w:t>
      </w:r>
    </w:p>
  </w:footnote>
  <w:footnote w:id="90">
    <w:p>
      <w:pPr>
        <w:bidi/>
        <w:spacing w:after="40" w:line="240"/>
        <w:jc w:val="both"/>
      </w:pPr>
      <w:r>
        <w:rPr>
          <w:rStyle w:val="FootnoteReference"/>
        </w:rPr>
        <w:footnoteRef/>
      </w:r>
      <w:r>
        <w:rPr>
          <w:rFonts w:ascii="David" w:cs="David" w:eastAsia="David" w:hAnsi="David"/>
          <w:sz w:val="20"/>
          <w:szCs w:val="20"/>
          <w:rtl/>
        </w:rPr>
        <w:t xml:space="preserve"> ליטמנוביץ ואחרים, לעיל ה"ש 34, בעמ' 226.</w:t>
      </w:r>
    </w:p>
  </w:footnote>
  <w:footnote w:id="91">
    <w:p>
      <w:pPr>
        <w:bidi/>
        <w:spacing w:after="40" w:line="240"/>
        <w:jc w:val="both"/>
      </w:pPr>
      <w:r>
        <w:rPr>
          <w:rStyle w:val="FootnoteReference"/>
        </w:rPr>
        <w:footnoteRef/>
      </w:r>
      <w:r>
        <w:rPr>
          <w:rFonts w:ascii="David" w:cs="David" w:eastAsia="David" w:hAnsi="David"/>
          <w:sz w:val="20"/>
          <w:szCs w:val="20"/>
          <w:rtl/>
        </w:rPr>
        <w:t xml:space="preserve"> מבקר המדינה </w:t>
      </w:r>
      <w:r>
        <w:rPr>
          <w:rFonts w:ascii="David" w:cs="David" w:eastAsia="David" w:hAnsi="David"/>
          <w:b/>
          <w:bCs/>
          <w:sz w:val="20"/>
          <w:szCs w:val="20"/>
          <w:rtl/>
        </w:rPr>
        <w:t xml:space="preserve">דוח 2018</w:t>
      </w:r>
      <w:r>
        <w:rPr>
          <w:rFonts w:ascii="David" w:cs="David" w:eastAsia="David" w:hAnsi="David"/>
          <w:sz w:val="20"/>
          <w:szCs w:val="20"/>
          <w:rtl/>
        </w:rPr>
        <w:t xml:space="preserve">, לעיל ה"ש 1, בעמ' 4.</w:t>
      </w:r>
    </w:p>
  </w:footnote>
  <w:footnote w:id="92">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sz w:val="20"/>
          <w:szCs w:val="20"/>
          <w:rtl w:val="false"/>
        </w:rPr>
        <w:t xml:space="preserve">Braga, Weisburd &amp; Turchan‎</w:t>
      </w:r>
      <w:r>
        <w:rPr>
          <w:rFonts w:ascii="David" w:cs="David" w:eastAsia="David" w:hAnsi="David"/>
          <w:sz w:val="20"/>
          <w:szCs w:val="20"/>
          <w:rtl/>
        </w:rPr>
        <w:t xml:space="preserve">, לעיל ה"ש 27, בס' 1.4.1-1.4.2.</w:t>
      </w:r>
    </w:p>
  </w:footnote>
  <w:footnote w:id="93">
    <w:p>
      <w:pPr>
        <w:bidi/>
        <w:spacing w:after="40" w:line="240"/>
        <w:jc w:val="both"/>
      </w:pPr>
      <w:r>
        <w:rPr>
          <w:rStyle w:val="FootnoteReference"/>
        </w:rPr>
        <w:footnoteRef/>
      </w:r>
      <w:r>
        <w:rPr>
          <w:rFonts w:ascii="David" w:cs="David" w:eastAsia="David" w:hAnsi="David"/>
          <w:sz w:val="20"/>
          <w:szCs w:val="20"/>
          <w:rtl/>
        </w:rPr>
        <w:t xml:space="preserve"> מבקר המדינה </w:t>
      </w:r>
      <w:r>
        <w:rPr>
          <w:rFonts w:ascii="David" w:cs="David" w:eastAsia="David" w:hAnsi="David"/>
          <w:b/>
          <w:bCs/>
          <w:sz w:val="20"/>
          <w:szCs w:val="20"/>
          <w:rtl/>
        </w:rPr>
        <w:t xml:space="preserve">דוח 2018</w:t>
      </w:r>
      <w:r>
        <w:rPr>
          <w:rFonts w:ascii="David" w:cs="David" w:eastAsia="David" w:hAnsi="David"/>
          <w:sz w:val="20"/>
          <w:szCs w:val="20"/>
          <w:rtl/>
        </w:rPr>
        <w:t xml:space="preserve">, לעיל ה"ש 1, בעמ' 5.</w:t>
      </w:r>
    </w:p>
  </w:footnote>
  <w:footnote w:id="94">
    <w:p>
      <w:pPr>
        <w:bidi/>
        <w:spacing w:after="40" w:line="240"/>
        <w:jc w:val="both"/>
      </w:pPr>
      <w:r>
        <w:rPr>
          <w:rStyle w:val="FootnoteReference"/>
        </w:rPr>
        <w:footnoteRef/>
      </w:r>
      <w:r>
        <w:rPr>
          <w:rFonts w:ascii="David" w:cs="David" w:eastAsia="David" w:hAnsi="David"/>
          <w:sz w:val="20"/>
          <w:szCs w:val="20"/>
          <w:rtl/>
        </w:rPr>
        <w:t xml:space="preserve"> שם, בעמ' 6.</w:t>
      </w:r>
    </w:p>
  </w:footnote>
  <w:footnote w:id="95">
    <w:p>
      <w:pPr>
        <w:bidi/>
        <w:spacing w:after="40" w:line="240"/>
        <w:jc w:val="both"/>
      </w:pPr>
      <w:r>
        <w:rPr>
          <w:rStyle w:val="FootnoteReference"/>
        </w:rPr>
        <w:footnoteRef/>
      </w:r>
      <w:r>
        <w:rPr>
          <w:rFonts w:ascii="David" w:cs="David" w:eastAsia="David" w:hAnsi="David"/>
          <w:sz w:val="20"/>
          <w:szCs w:val="20"/>
          <w:rtl/>
        </w:rPr>
        <w:t xml:space="preserve"> ס' 144, 144(ז) לחוק העונשין, התשל"ז–1977.</w:t>
      </w:r>
    </w:p>
  </w:footnote>
  <w:footnote w:id="96">
    <w:p>
      <w:pPr>
        <w:bidi/>
        <w:spacing w:after="40" w:line="240"/>
        <w:jc w:val="both"/>
      </w:pPr>
      <w:r>
        <w:rPr>
          <w:rStyle w:val="FootnoteReference"/>
        </w:rPr>
        <w:footnoteRef/>
      </w:r>
      <w:r>
        <w:rPr>
          <w:rFonts w:ascii="David" w:cs="David" w:eastAsia="David" w:hAnsi="David"/>
          <w:sz w:val="20"/>
          <w:szCs w:val="20"/>
          <w:rtl/>
        </w:rPr>
        <w:t xml:space="preserve"> ס' 340א לחוק העונשין, התשל"ז–1977.</w:t>
      </w:r>
    </w:p>
  </w:footnote>
  <w:footnote w:id="97">
    <w:p>
      <w:pPr>
        <w:bidi/>
        <w:spacing w:after="40" w:line="240"/>
        <w:jc w:val="both"/>
      </w:pPr>
      <w:r>
        <w:rPr>
          <w:rStyle w:val="FootnoteReference"/>
        </w:rPr>
        <w:footnoteRef/>
      </w:r>
      <w:r>
        <w:rPr>
          <w:rFonts w:ascii="David" w:cs="David" w:eastAsia="David" w:hAnsi="David"/>
          <w:sz w:val="20"/>
          <w:szCs w:val="20"/>
          <w:rtl/>
        </w:rPr>
        <w:t xml:space="preserve"> רון שפירא, איתי ברסלר-גונן ואילנית הלל </w:t>
      </w:r>
      <w:r>
        <w:rPr>
          <w:rFonts w:ascii="David" w:cs="David" w:eastAsia="David" w:hAnsi="David"/>
          <w:b/>
          <w:bCs/>
          <w:sz w:val="20"/>
          <w:szCs w:val="20"/>
          <w:rtl/>
        </w:rPr>
        <w:t xml:space="preserve">הליכי מעצר: מורה נבוכים</w:t>
      </w:r>
      <w:r>
        <w:rPr>
          <w:rFonts w:ascii="David" w:cs="David" w:eastAsia="David" w:hAnsi="David"/>
          <w:sz w:val="20"/>
          <w:szCs w:val="20"/>
          <w:rtl/>
        </w:rPr>
        <w:t xml:space="preserve"> </w:t>
      </w:r>
      <w:r>
        <w:rPr>
          <w:rFonts w:ascii="David" w:cs="David" w:eastAsia="David" w:hAnsi="David"/>
          <w:sz w:val="20"/>
          <w:szCs w:val="20"/>
          <w:shd w:fill="FFF200" w:color="auto" w:val="clear"/>
          <w:rtl/>
        </w:rPr>
        <w:t xml:space="preserve">[עמוד]</w:t>
      </w:r>
      <w:r>
        <w:rPr>
          <w:rFonts w:ascii="David" w:cs="David" w:eastAsia="David" w:hAnsi="David"/>
          <w:sz w:val="20"/>
          <w:szCs w:val="20"/>
          <w:rtl w:val="false"/>
        </w:rPr>
        <w:t xml:space="preserve"> (2025).</w:t>
      </w:r>
    </w:p>
  </w:footnote>
  <w:footnote w:id="98">
    <w:p>
      <w:pPr>
        <w:bidi/>
        <w:spacing w:after="40" w:line="240"/>
        <w:jc w:val="both"/>
      </w:pPr>
      <w:r>
        <w:rPr>
          <w:rStyle w:val="FootnoteReference"/>
        </w:rPr>
        <w:footnoteRef/>
      </w:r>
      <w:r>
        <w:rPr>
          <w:rFonts w:ascii="David" w:cs="David" w:eastAsia="David" w:hAnsi="David"/>
          <w:sz w:val="20"/>
          <w:szCs w:val="20"/>
          <w:rtl/>
        </w:rPr>
        <w:t xml:space="preserve"> ע"פ 2482/22 </w:t>
      </w:r>
      <w:r>
        <w:rPr>
          <w:rFonts w:ascii="David" w:cs="David" w:eastAsia="David" w:hAnsi="David"/>
          <w:b/>
          <w:bCs/>
          <w:sz w:val="20"/>
          <w:szCs w:val="20"/>
          <w:rtl/>
        </w:rPr>
        <w:t xml:space="preserve">מדינת ישראל נ' קדורה</w:t>
      </w:r>
      <w:r>
        <w:rPr>
          <w:rFonts w:ascii="David" w:cs="David" w:eastAsia="David" w:hAnsi="David"/>
          <w:sz w:val="20"/>
          <w:szCs w:val="20"/>
          <w:rtl/>
        </w:rPr>
        <w:t xml:space="preserve"> (נבו 14.4.2022); ע"פ 2165/23 </w:t>
      </w:r>
      <w:r>
        <w:rPr>
          <w:rFonts w:ascii="David" w:cs="David" w:eastAsia="David" w:hAnsi="David"/>
          <w:b/>
          <w:bCs/>
          <w:sz w:val="20"/>
          <w:szCs w:val="20"/>
          <w:rtl/>
        </w:rPr>
        <w:t xml:space="preserve">מדינת ישראל נ' בלאל</w:t>
      </w:r>
      <w:r>
        <w:rPr>
          <w:rFonts w:ascii="David" w:cs="David" w:eastAsia="David" w:hAnsi="David"/>
          <w:sz w:val="20"/>
          <w:szCs w:val="20"/>
          <w:rtl/>
        </w:rPr>
        <w:t xml:space="preserve"> (נבו 4.5.2023); ע"פ 4406/19 </w:t>
      </w:r>
      <w:r>
        <w:rPr>
          <w:rFonts w:ascii="David" w:cs="David" w:eastAsia="David" w:hAnsi="David"/>
          <w:b/>
          <w:bCs/>
          <w:sz w:val="20"/>
          <w:szCs w:val="20"/>
          <w:rtl/>
        </w:rPr>
        <w:t xml:space="preserve">מדינת ישראל נ' סובח</w:t>
      </w:r>
      <w:r>
        <w:rPr>
          <w:rFonts w:ascii="David" w:cs="David" w:eastAsia="David" w:hAnsi="David"/>
          <w:sz w:val="20"/>
          <w:szCs w:val="20"/>
          <w:rtl/>
        </w:rPr>
        <w:t xml:space="preserve"> (נבו 5.11.2019).</w:t>
      </w:r>
    </w:p>
  </w:footnote>
  <w:footnote w:id="99">
    <w:p>
      <w:pPr>
        <w:bidi/>
        <w:spacing w:after="40" w:line="240"/>
        <w:jc w:val="both"/>
      </w:pPr>
      <w:r>
        <w:rPr>
          <w:rStyle w:val="FootnoteReference"/>
        </w:rPr>
        <w:footnoteRef/>
      </w:r>
      <w:r>
        <w:rPr>
          <w:rFonts w:ascii="David" w:cs="David" w:eastAsia="David" w:hAnsi="David"/>
          <w:sz w:val="20"/>
          <w:szCs w:val="20"/>
          <w:rtl/>
        </w:rPr>
        <w:t xml:space="preserve"> ת"פ (שלום חד') 34366-04-24 </w:t>
      </w:r>
      <w:r>
        <w:rPr>
          <w:rFonts w:ascii="David" w:cs="David" w:eastAsia="David" w:hAnsi="David"/>
          <w:b/>
          <w:bCs/>
          <w:sz w:val="20"/>
          <w:szCs w:val="20"/>
          <w:rtl/>
        </w:rPr>
        <w:t xml:space="preserve">מדינת ישראל נ' אוסיפוב</w:t>
      </w:r>
      <w:r>
        <w:rPr>
          <w:rFonts w:ascii="David" w:cs="David" w:eastAsia="David" w:hAnsi="David"/>
          <w:sz w:val="20"/>
          <w:szCs w:val="20"/>
          <w:rtl/>
        </w:rPr>
        <w:t xml:space="preserve"> (נבו 6.3.2025).</w:t>
      </w:r>
    </w:p>
  </w:footnote>
  <w:footnote w:id="100">
    <w:p>
      <w:pPr>
        <w:bidi/>
        <w:spacing w:after="40" w:line="240"/>
        <w:jc w:val="both"/>
      </w:pPr>
      <w:r>
        <w:rPr>
          <w:rStyle w:val="FootnoteReference"/>
        </w:rPr>
        <w:footnoteRef/>
      </w:r>
      <w:r>
        <w:rPr>
          <w:rFonts w:ascii="David" w:cs="David" w:eastAsia="David" w:hAnsi="David"/>
          <w:sz w:val="20"/>
          <w:szCs w:val="20"/>
          <w:rtl/>
        </w:rPr>
        <w:t xml:space="preserve"> מבקר המדינה </w:t>
      </w:r>
      <w:r>
        <w:rPr>
          <w:rFonts w:ascii="David" w:cs="David" w:eastAsia="David" w:hAnsi="David"/>
          <w:b/>
          <w:bCs/>
          <w:sz w:val="20"/>
          <w:szCs w:val="20"/>
          <w:rtl/>
        </w:rPr>
        <w:t xml:space="preserve">דוח 2018</w:t>
      </w:r>
      <w:r>
        <w:rPr>
          <w:rFonts w:ascii="David" w:cs="David" w:eastAsia="David" w:hAnsi="David"/>
          <w:sz w:val="20"/>
          <w:szCs w:val="20"/>
          <w:rtl/>
        </w:rPr>
        <w:t xml:space="preserve">, לעיל ה"ש 1, בעמ' 7.</w:t>
      </w:r>
    </w:p>
  </w:footnote>
  <w:footnote w:id="101">
    <w:p>
      <w:pPr>
        <w:bidi/>
        <w:spacing w:after="40" w:line="240"/>
        <w:jc w:val="both"/>
      </w:pPr>
      <w:r>
        <w:rPr>
          <w:rStyle w:val="FootnoteReference"/>
        </w:rPr>
        <w:footnoteRef/>
      </w:r>
      <w:r>
        <w:rPr>
          <w:rFonts w:ascii="David" w:cs="David" w:eastAsia="David" w:hAnsi="David"/>
          <w:sz w:val="20"/>
          <w:szCs w:val="20"/>
          <w:rtl/>
        </w:rPr>
        <w:t xml:space="preserve"> יכימוביץ-כהן </w:t>
      </w:r>
      <w:r>
        <w:rPr>
          <w:rFonts w:ascii="David" w:cs="David" w:eastAsia="David" w:hAnsi="David"/>
          <w:b/>
          <w:bCs/>
          <w:sz w:val="20"/>
          <w:szCs w:val="20"/>
          <w:rtl/>
        </w:rPr>
        <w:t xml:space="preserve">צעירים ערבים</w:t>
      </w:r>
      <w:r>
        <w:rPr>
          <w:rFonts w:ascii="David" w:cs="David" w:eastAsia="David" w:hAnsi="David"/>
          <w:sz w:val="20"/>
          <w:szCs w:val="20"/>
          <w:rtl/>
        </w:rPr>
        <w:t xml:space="preserve">, לעיל ה"ש 7, בעמ' 2.</w:t>
      </w:r>
    </w:p>
  </w:footnote>
  <w:footnote w:id="102">
    <w:p>
      <w:pPr>
        <w:bidi/>
        <w:spacing w:after="40" w:line="240"/>
        <w:jc w:val="both"/>
      </w:pPr>
      <w:r>
        <w:rPr>
          <w:rStyle w:val="FootnoteReference"/>
        </w:rPr>
        <w:footnoteRef/>
      </w:r>
      <w:r>
        <w:rPr>
          <w:rFonts w:ascii="David" w:cs="David" w:eastAsia="David" w:hAnsi="David"/>
          <w:sz w:val="20"/>
          <w:szCs w:val="20"/>
          <w:rtl/>
        </w:rPr>
        <w:t xml:space="preserve"> שם, בעמ' 6.</w:t>
      </w:r>
    </w:p>
  </w:footnote>
  <w:footnote w:id="103">
    <w:p>
      <w:pPr>
        <w:bidi/>
        <w:spacing w:after="40" w:line="240"/>
        <w:jc w:val="both"/>
      </w:pPr>
      <w:r>
        <w:rPr>
          <w:rStyle w:val="FootnoteReference"/>
        </w:rPr>
        <w:footnoteRef/>
      </w:r>
      <w:r>
        <w:rPr>
          <w:rFonts w:ascii="David" w:cs="David" w:eastAsia="David" w:hAnsi="David"/>
          <w:sz w:val="20"/>
          <w:szCs w:val="20"/>
          <w:rtl/>
        </w:rPr>
        <w:t xml:space="preserve"> יכימוביץ-כהן </w:t>
      </w:r>
      <w:r>
        <w:rPr>
          <w:rFonts w:ascii="David" w:cs="David" w:eastAsia="David" w:hAnsi="David"/>
          <w:b/>
          <w:bCs/>
          <w:sz w:val="20"/>
          <w:szCs w:val="20"/>
          <w:rtl/>
        </w:rPr>
        <w:t xml:space="preserve">שיטור יתר</w:t>
      </w:r>
      <w:r>
        <w:rPr>
          <w:rFonts w:ascii="David" w:cs="David" w:eastAsia="David" w:hAnsi="David"/>
          <w:sz w:val="20"/>
          <w:szCs w:val="20"/>
          <w:rtl/>
        </w:rPr>
        <w:t xml:space="preserve">, לעיל ה"ש 3, בעמ' 4.</w:t>
      </w:r>
    </w:p>
  </w:footnote>
  <w:footnote w:id="104">
    <w:p>
      <w:pPr>
        <w:bidi/>
        <w:spacing w:after="40" w:line="240"/>
        <w:jc w:val="both"/>
      </w:pPr>
      <w:r>
        <w:rPr>
          <w:rStyle w:val="FootnoteReference"/>
        </w:rPr>
        <w:footnoteRef/>
      </w:r>
      <w:r>
        <w:rPr>
          <w:rFonts w:ascii="David" w:cs="David" w:eastAsia="David" w:hAnsi="David"/>
          <w:sz w:val="20"/>
          <w:szCs w:val="20"/>
          <w:rtl/>
        </w:rPr>
        <w:t xml:space="preserve"> מבקר המדינה </w:t>
      </w:r>
      <w:r>
        <w:rPr>
          <w:rFonts w:ascii="David" w:cs="David" w:eastAsia="David" w:hAnsi="David"/>
          <w:b/>
          <w:bCs/>
          <w:sz w:val="20"/>
          <w:szCs w:val="20"/>
          <w:rtl/>
        </w:rPr>
        <w:t xml:space="preserve">דוח 2018</w:t>
      </w:r>
      <w:r>
        <w:rPr>
          <w:rFonts w:ascii="David" w:cs="David" w:eastAsia="David" w:hAnsi="David"/>
          <w:sz w:val="20"/>
          <w:szCs w:val="20"/>
          <w:rtl/>
        </w:rPr>
        <w:t xml:space="preserve">, לעיל ה"ש 1, בעמ' 6.</w:t>
      </w:r>
    </w:p>
  </w:footnote>
  <w:footnote w:id="105">
    <w:p>
      <w:pPr>
        <w:bidi/>
        <w:spacing w:after="40" w:line="240"/>
        <w:jc w:val="both"/>
      </w:pPr>
      <w:r>
        <w:rPr>
          <w:rStyle w:val="FootnoteReference"/>
        </w:rPr>
        <w:footnoteRef/>
      </w:r>
      <w:r>
        <w:rPr>
          <w:rFonts w:ascii="David" w:cs="David" w:eastAsia="David" w:hAnsi="David"/>
          <w:sz w:val="20"/>
          <w:szCs w:val="20"/>
          <w:rtl/>
        </w:rPr>
        <w:t xml:space="preserve"> מבקר המדינה </w:t>
      </w:r>
      <w:r>
        <w:rPr>
          <w:rFonts w:ascii="David" w:cs="David" w:eastAsia="David" w:hAnsi="David"/>
          <w:b/>
          <w:bCs/>
          <w:sz w:val="20"/>
          <w:szCs w:val="20"/>
          <w:rtl/>
        </w:rPr>
        <w:t xml:space="preserve">ביקורת מעקב 2021</w:t>
      </w:r>
      <w:r>
        <w:rPr>
          <w:rFonts w:ascii="David" w:cs="David" w:eastAsia="David" w:hAnsi="David"/>
          <w:sz w:val="20"/>
          <w:szCs w:val="20"/>
          <w:rtl/>
        </w:rPr>
        <w:t xml:space="preserve">, לעיל ה"ש 2, בעמ' 4.</w:t>
      </w:r>
    </w:p>
  </w:footnote>
  <w:footnote w:id="106">
    <w:p>
      <w:pPr>
        <w:bidi/>
        <w:spacing w:after="40" w:line="240"/>
        <w:jc w:val="both"/>
      </w:pPr>
      <w:r>
        <w:rPr>
          <w:rStyle w:val="FootnoteReference"/>
        </w:rPr>
        <w:footnoteRef/>
      </w:r>
      <w:r>
        <w:rPr>
          <w:rFonts w:ascii="David" w:cs="David" w:eastAsia="David" w:hAnsi="David"/>
          <w:sz w:val="20"/>
          <w:szCs w:val="20"/>
          <w:rtl/>
        </w:rPr>
        <w:t xml:space="preserve"> מבקר המדינה </w:t>
      </w:r>
      <w:r>
        <w:rPr>
          <w:rFonts w:ascii="David" w:cs="David" w:eastAsia="David" w:hAnsi="David"/>
          <w:b/>
          <w:bCs/>
          <w:sz w:val="20"/>
          <w:szCs w:val="20"/>
          <w:rtl/>
        </w:rPr>
        <w:t xml:space="preserve">דוח 2018</w:t>
      </w:r>
      <w:r>
        <w:rPr>
          <w:rFonts w:ascii="David" w:cs="David" w:eastAsia="David" w:hAnsi="David"/>
          <w:sz w:val="20"/>
          <w:szCs w:val="20"/>
          <w:rtl/>
        </w:rPr>
        <w:t xml:space="preserve">, לעיל ה"ש 1, בעמ' 6.</w:t>
      </w:r>
    </w:p>
  </w:footnote>
  <w:footnote w:id="107">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sz w:val="20"/>
          <w:szCs w:val="20"/>
          <w:rtl w:val="false"/>
        </w:rPr>
        <w:t xml:space="preserve">Natapoff‎</w:t>
      </w:r>
      <w:r>
        <w:rPr>
          <w:rFonts w:ascii="David" w:cs="David" w:eastAsia="David" w:hAnsi="David"/>
          <w:sz w:val="20"/>
          <w:szCs w:val="20"/>
          <w:rtl/>
        </w:rPr>
        <w:t xml:space="preserve">, לעיל ה"ש 32, בעמ' 1718-1719.</w:t>
      </w:r>
    </w:p>
  </w:footnote>
  <w:footnote w:id="108">
    <w:p>
      <w:pPr>
        <w:bidi/>
        <w:spacing w:after="40" w:line="240"/>
        <w:jc w:val="both"/>
      </w:pPr>
      <w:r>
        <w:rPr>
          <w:rStyle w:val="FootnoteReference"/>
        </w:rPr>
        <w:footnoteRef/>
      </w:r>
      <w:r>
        <w:rPr>
          <w:rFonts w:ascii="David" w:cs="David" w:eastAsia="David" w:hAnsi="David"/>
          <w:sz w:val="20"/>
          <w:szCs w:val="20"/>
          <w:rtl/>
        </w:rPr>
        <w:t xml:space="preserve"> מבקר המדינה </w:t>
      </w:r>
      <w:r>
        <w:rPr>
          <w:rFonts w:ascii="David" w:cs="David" w:eastAsia="David" w:hAnsi="David"/>
          <w:b/>
          <w:bCs/>
          <w:sz w:val="20"/>
          <w:szCs w:val="20"/>
          <w:rtl/>
        </w:rPr>
        <w:t xml:space="preserve">דוח 2018</w:t>
      </w:r>
      <w:r>
        <w:rPr>
          <w:rFonts w:ascii="David" w:cs="David" w:eastAsia="David" w:hAnsi="David"/>
          <w:sz w:val="20"/>
          <w:szCs w:val="20"/>
          <w:rtl/>
        </w:rPr>
        <w:t xml:space="preserve">, לעיל ה"ש 1, בעמ' 31.</w:t>
      </w:r>
    </w:p>
  </w:footnote>
  <w:footnote w:id="109">
    <w:p>
      <w:pPr>
        <w:bidi/>
        <w:spacing w:after="40" w:line="240"/>
        <w:jc w:val="both"/>
      </w:pPr>
      <w:r>
        <w:rPr>
          <w:rStyle w:val="FootnoteReference"/>
        </w:rPr>
        <w:footnoteRef/>
      </w:r>
      <w:r>
        <w:rPr>
          <w:rFonts w:ascii="David" w:cs="David" w:eastAsia="David" w:hAnsi="David"/>
          <w:sz w:val="20"/>
          <w:szCs w:val="20"/>
          <w:rtl/>
        </w:rPr>
        <w:t xml:space="preserve"> יכימוביץ-כהן </w:t>
      </w:r>
      <w:r>
        <w:rPr>
          <w:rFonts w:ascii="David" w:cs="David" w:eastAsia="David" w:hAnsi="David"/>
          <w:b/>
          <w:bCs/>
          <w:sz w:val="20"/>
          <w:szCs w:val="20"/>
          <w:rtl/>
        </w:rPr>
        <w:t xml:space="preserve">שיטור יתר</w:t>
      </w:r>
      <w:r>
        <w:rPr>
          <w:rFonts w:ascii="David" w:cs="David" w:eastAsia="David" w:hAnsi="David"/>
          <w:sz w:val="20"/>
          <w:szCs w:val="20"/>
          <w:rtl/>
        </w:rPr>
        <w:t xml:space="preserve">, לעיל ה"ש 3, בעמ' 6 (תרשים 1).</w:t>
      </w:r>
    </w:p>
  </w:footnote>
  <w:footnote w:id="110">
    <w:p>
      <w:pPr>
        <w:bidi/>
        <w:spacing w:after="40" w:line="240"/>
        <w:jc w:val="both"/>
      </w:pPr>
      <w:r>
        <w:rPr>
          <w:rStyle w:val="FootnoteReference"/>
        </w:rPr>
        <w:footnoteRef/>
      </w:r>
      <w:r>
        <w:rPr>
          <w:rFonts w:ascii="David" w:cs="David" w:eastAsia="David" w:hAnsi="David"/>
          <w:sz w:val="20"/>
          <w:szCs w:val="20"/>
          <w:rtl/>
        </w:rPr>
        <w:t xml:space="preserve"> בג"ץ 1504/20 </w:t>
      </w:r>
      <w:r>
        <w:rPr>
          <w:rFonts w:ascii="David" w:cs="David" w:eastAsia="David" w:hAnsi="David"/>
          <w:b/>
          <w:bCs/>
          <w:sz w:val="20"/>
          <w:szCs w:val="20"/>
          <w:rtl/>
        </w:rPr>
        <w:t xml:space="preserve">אבו אלקיעאן נ' פרקליט המדינה</w:t>
      </w:r>
      <w:r>
        <w:rPr>
          <w:rFonts w:ascii="David" w:cs="David" w:eastAsia="David" w:hAnsi="David"/>
          <w:sz w:val="20"/>
          <w:szCs w:val="20"/>
          <w:rtl/>
        </w:rPr>
        <w:t xml:space="preserve">, פס' 7 לפסק דינו של השופט עמית (נבו 20.10.2021).</w:t>
      </w:r>
    </w:p>
  </w:footnote>
  <w:footnote w:id="111">
    <w:p>
      <w:pPr>
        <w:bidi/>
        <w:spacing w:after="40" w:line="240"/>
        <w:jc w:val="both"/>
      </w:pPr>
      <w:r>
        <w:rPr>
          <w:rStyle w:val="FootnoteReference"/>
        </w:rPr>
        <w:footnoteRef/>
      </w:r>
      <w:r>
        <w:rPr>
          <w:rFonts w:ascii="David" w:cs="David" w:eastAsia="David" w:hAnsi="David"/>
          <w:sz w:val="20"/>
          <w:szCs w:val="20"/>
          <w:rtl w:val="false"/>
        </w:rPr>
        <w:t xml:space="preserve"> Badi Hasisi, ‎</w:t>
      </w:r>
      <w:r>
        <w:rPr>
          <w:rFonts w:ascii="David" w:cs="David" w:eastAsia="David" w:hAnsi="David"/>
          <w:i/>
          <w:iCs/>
          <w:sz w:val="20"/>
          <w:szCs w:val="20"/>
          <w:rtl w:val="false"/>
        </w:rPr>
        <w:t xml:space="preserve">Police, Politics, and Culture in a Deeply Divided Society‎</w:t>
      </w:r>
      <w:r>
        <w:rPr>
          <w:rFonts w:ascii="David" w:cs="David" w:eastAsia="David" w:hAnsi="David"/>
          <w:sz w:val="20"/>
          <w:szCs w:val="20"/>
          <w:rtl w:val="false"/>
        </w:rPr>
        <w:t xml:space="preserve">, 98 J. CRIM. L. &amp; CRIMINOLOGY 1119, 1119 (2008).‎</w:t>
      </w:r>
    </w:p>
  </w:footnote>
  <w:footnote w:id="112">
    <w:p>
      <w:pPr>
        <w:bidi/>
        <w:spacing w:after="40" w:line="240"/>
        <w:jc w:val="both"/>
      </w:pPr>
      <w:r>
        <w:rPr>
          <w:rStyle w:val="FootnoteReference"/>
        </w:rPr>
        <w:footnoteRef/>
      </w:r>
      <w:r>
        <w:rPr>
          <w:rFonts w:ascii="David" w:cs="David" w:eastAsia="David" w:hAnsi="David"/>
          <w:sz w:val="20"/>
          <w:szCs w:val="20"/>
          <w:rtl/>
        </w:rPr>
        <w:t xml:space="preserve"> ליטמנוביץ ואחרים, לעיל ה"ש 34, בעמ' 231-230.</w:t>
      </w:r>
    </w:p>
  </w:footnote>
  <w:footnote w:id="113">
    <w:p>
      <w:pPr>
        <w:bidi/>
        <w:spacing w:after="40" w:line="240"/>
        <w:jc w:val="both"/>
      </w:pPr>
      <w:r>
        <w:rPr>
          <w:rStyle w:val="FootnoteReference"/>
        </w:rPr>
        <w:footnoteRef/>
      </w:r>
      <w:r>
        <w:rPr>
          <w:rFonts w:ascii="David" w:cs="David" w:eastAsia="David" w:hAnsi="David"/>
          <w:sz w:val="20"/>
          <w:szCs w:val="20"/>
          <w:rtl/>
        </w:rPr>
        <w:t xml:space="preserve"> חסייסי וליטמנוביץ, לעיל ה"ש 33, בעמ' 124.</w:t>
      </w:r>
    </w:p>
  </w:footnote>
  <w:footnote w:id="114">
    <w:p>
      <w:pPr>
        <w:bidi/>
        <w:spacing w:after="40" w:line="240"/>
        <w:jc w:val="both"/>
      </w:pPr>
      <w:r>
        <w:rPr>
          <w:rStyle w:val="FootnoteReference"/>
        </w:rPr>
        <w:footnoteRef/>
      </w:r>
      <w:r>
        <w:rPr>
          <w:rFonts w:ascii="David" w:cs="David" w:eastAsia="David" w:hAnsi="David"/>
          <w:sz w:val="20"/>
          <w:szCs w:val="20"/>
          <w:rtl w:val="false"/>
        </w:rPr>
        <w:t xml:space="preserve"> Badi Hasisi &amp; Ronald Weitzer, ‎</w:t>
      </w:r>
      <w:r>
        <w:rPr>
          <w:rFonts w:ascii="David" w:cs="David" w:eastAsia="David" w:hAnsi="David"/>
          <w:i/>
          <w:iCs/>
          <w:sz w:val="20"/>
          <w:szCs w:val="20"/>
          <w:rtl w:val="false"/>
        </w:rPr>
        <w:t xml:space="preserve">Police Relations with Arabs and Jews in Israel‎</w:t>
      </w:r>
      <w:r>
        <w:rPr>
          <w:rFonts w:ascii="David" w:cs="David" w:eastAsia="David" w:hAnsi="David"/>
          <w:sz w:val="20"/>
          <w:szCs w:val="20"/>
          <w:rtl w:val="false"/>
        </w:rPr>
        <w:t xml:space="preserve">, 47 BRIT. J. CRIMINOLOGY 728, 731-732, 739, 741-742 (2007).‎</w:t>
      </w:r>
    </w:p>
  </w:footnote>
  <w:footnote w:id="115">
    <w:p>
      <w:pPr>
        <w:bidi/>
        <w:spacing w:after="40" w:line="240"/>
        <w:jc w:val="both"/>
      </w:pPr>
      <w:r>
        <w:rPr>
          <w:rStyle w:val="FootnoteReference"/>
        </w:rPr>
        <w:footnoteRef/>
      </w:r>
      <w:r>
        <w:rPr>
          <w:rFonts w:ascii="David" w:cs="David" w:eastAsia="David" w:hAnsi="David"/>
          <w:sz w:val="20"/>
          <w:szCs w:val="20"/>
          <w:rtl/>
        </w:rPr>
        <w:t xml:space="preserve"> רינת קיטאי סנג'רו </w:t>
      </w:r>
      <w:r>
        <w:rPr>
          <w:rFonts w:ascii="David" w:cs="David" w:eastAsia="David" w:hAnsi="David"/>
          <w:b/>
          <w:bCs/>
          <w:sz w:val="20"/>
          <w:szCs w:val="20"/>
          <w:rtl/>
        </w:rPr>
        <w:t xml:space="preserve">הזכות לאי-הפללה עצמית</w:t>
      </w:r>
      <w:r>
        <w:rPr>
          <w:rFonts w:ascii="David" w:cs="David" w:eastAsia="David" w:hAnsi="David"/>
          <w:sz w:val="20"/>
          <w:szCs w:val="20"/>
          <w:rtl w:val="false"/>
        </w:rPr>
        <w:t xml:space="preserve"> 275 (2026).</w:t>
      </w:r>
    </w:p>
  </w:footnote>
  <w:footnote w:id="116">
    <w:p>
      <w:pPr>
        <w:bidi/>
        <w:spacing w:after="40" w:line="240"/>
        <w:jc w:val="both"/>
      </w:pPr>
      <w:r>
        <w:rPr>
          <w:rStyle w:val="FootnoteReference"/>
        </w:rPr>
        <w:footnoteRef/>
      </w:r>
      <w:r>
        <w:rPr>
          <w:rFonts w:ascii="David" w:cs="David" w:eastAsia="David" w:hAnsi="David"/>
          <w:sz w:val="20"/>
          <w:szCs w:val="20"/>
          <w:rtl/>
        </w:rPr>
        <w:t xml:space="preserve"> אפרת פודם, אסף דרעי ושיר טולדנו "אם לא תמחק יבוא שוטר: דמותו של השוטר בחברה בראי מגמת תביעות הדיבה מצד שוטרים" </w:t>
      </w:r>
      <w:r>
        <w:rPr>
          <w:rFonts w:ascii="David" w:cs="David" w:eastAsia="David" w:hAnsi="David"/>
          <w:b/>
          <w:bCs/>
          <w:sz w:val="20"/>
          <w:szCs w:val="20"/>
          <w:rtl/>
        </w:rPr>
        <w:t xml:space="preserve">מעשי משפט</w:t>
      </w:r>
      <w:r>
        <w:rPr>
          <w:rFonts w:ascii="David" w:cs="David" w:eastAsia="David" w:hAnsi="David"/>
          <w:sz w:val="20"/>
          <w:szCs w:val="20"/>
          <w:rtl/>
        </w:rPr>
        <w:t xml:space="preserve"> יד 195, 206, 220 (2023).</w:t>
      </w:r>
    </w:p>
  </w:footnote>
  <w:footnote w:id="117">
    <w:p>
      <w:pPr>
        <w:bidi/>
        <w:spacing w:after="40" w:line="240"/>
        <w:jc w:val="both"/>
      </w:pPr>
      <w:r>
        <w:rPr>
          <w:rStyle w:val="FootnoteReference"/>
        </w:rPr>
        <w:footnoteRef/>
      </w:r>
      <w:r>
        <w:rPr>
          <w:rFonts w:ascii="David" w:cs="David" w:eastAsia="David" w:hAnsi="David"/>
          <w:sz w:val="20"/>
          <w:szCs w:val="20"/>
          <w:rtl/>
        </w:rPr>
        <w:t xml:space="preserve"> שי דרומי "מה המחיר של החופש להפגין? ההגנה על זכות ההפגנה בדיני הנזיקין" </w:t>
      </w:r>
      <w:r>
        <w:rPr>
          <w:rFonts w:ascii="David" w:cs="David" w:eastAsia="David" w:hAnsi="David"/>
          <w:b/>
          <w:bCs/>
          <w:sz w:val="20"/>
          <w:szCs w:val="20"/>
          <w:rtl/>
        </w:rPr>
        <w:t xml:space="preserve">משפטים על אתר</w:t>
      </w:r>
      <w:r>
        <w:rPr>
          <w:rFonts w:ascii="David" w:cs="David" w:eastAsia="David" w:hAnsi="David"/>
          <w:sz w:val="20"/>
          <w:szCs w:val="20"/>
          <w:rtl/>
        </w:rPr>
        <w:t xml:space="preserve"> כ 207, 234 (2025).</w:t>
      </w:r>
    </w:p>
  </w:footnote>
  <w:footnote w:id="118">
    <w:p>
      <w:pPr>
        <w:bidi/>
        <w:spacing w:after="40" w:line="240"/>
        <w:jc w:val="both"/>
      </w:pPr>
      <w:r>
        <w:rPr>
          <w:rStyle w:val="FootnoteReference"/>
        </w:rPr>
        <w:footnoteRef/>
      </w:r>
      <w:r>
        <w:rPr>
          <w:rFonts w:ascii="David" w:cs="David" w:eastAsia="David" w:hAnsi="David"/>
          <w:sz w:val="20"/>
          <w:szCs w:val="20"/>
          <w:rtl/>
        </w:rPr>
        <w:t xml:space="preserve"> פודם, דרעי וטולדנו, לעיל ה"ש 116, בעמ' 209.</w:t>
      </w:r>
    </w:p>
  </w:footnote>
  <w:footnote w:id="119">
    <w:p>
      <w:pPr>
        <w:bidi/>
        <w:spacing w:after="40" w:line="240"/>
        <w:jc w:val="both"/>
      </w:pPr>
      <w:r>
        <w:rPr>
          <w:rStyle w:val="FootnoteReference"/>
        </w:rPr>
        <w:footnoteRef/>
      </w:r>
      <w:r>
        <w:rPr>
          <w:rFonts w:ascii="David" w:cs="David" w:eastAsia="David" w:hAnsi="David"/>
          <w:sz w:val="20"/>
          <w:szCs w:val="20"/>
          <w:rtl/>
        </w:rPr>
        <w:t xml:space="preserve"> דפנה ברק-ארז </w:t>
      </w:r>
      <w:r>
        <w:rPr>
          <w:rFonts w:ascii="David" w:cs="David" w:eastAsia="David" w:hAnsi="David"/>
          <w:b/>
          <w:bCs/>
          <w:sz w:val="20"/>
          <w:szCs w:val="20"/>
          <w:rtl/>
        </w:rPr>
        <w:t xml:space="preserve">משפט מינהלי</w:t>
      </w:r>
      <w:r>
        <w:rPr>
          <w:rFonts w:ascii="David" w:cs="David" w:eastAsia="David" w:hAnsi="David"/>
          <w:sz w:val="20"/>
          <w:szCs w:val="20"/>
          <w:rtl/>
        </w:rPr>
        <w:t xml:space="preserve"> כרך א 573 (2010); בג"ץ 64/91 </w:t>
      </w:r>
      <w:r>
        <w:rPr>
          <w:rFonts w:ascii="David" w:cs="David" w:eastAsia="David" w:hAnsi="David"/>
          <w:b/>
          <w:bCs/>
          <w:sz w:val="20"/>
          <w:szCs w:val="20"/>
          <w:rtl/>
        </w:rPr>
        <w:t xml:space="preserve">חילף נ' משטרת ישראל</w:t>
      </w:r>
      <w:r>
        <w:rPr>
          <w:rFonts w:ascii="David" w:cs="David" w:eastAsia="David" w:hAnsi="David"/>
          <w:sz w:val="20"/>
          <w:szCs w:val="20"/>
          <w:rtl/>
        </w:rPr>
        <w:t xml:space="preserve">, פ"ד מז(5) 653 (1993).</w:t>
      </w:r>
    </w:p>
  </w:footnote>
  <w:footnote w:id="120">
    <w:p>
      <w:pPr>
        <w:bidi/>
        <w:spacing w:after="40" w:line="240"/>
        <w:jc w:val="both"/>
      </w:pPr>
      <w:r>
        <w:rPr>
          <w:rStyle w:val="FootnoteReference"/>
        </w:rPr>
        <w:footnoteRef/>
      </w:r>
      <w:r>
        <w:rPr>
          <w:rFonts w:ascii="David" w:cs="David" w:eastAsia="David" w:hAnsi="David"/>
          <w:sz w:val="20"/>
          <w:szCs w:val="20"/>
          <w:rtl/>
        </w:rPr>
        <w:t xml:space="preserve"> ברק-ארז, לעיל ה"ש 119, בעמ' 574.</w:t>
      </w:r>
    </w:p>
  </w:footnote>
  <w:footnote w:id="121">
    <w:p>
      <w:pPr>
        <w:bidi/>
        <w:spacing w:after="40" w:line="240"/>
        <w:jc w:val="both"/>
      </w:pPr>
      <w:r>
        <w:rPr>
          <w:rStyle w:val="FootnoteReference"/>
        </w:rPr>
        <w:footnoteRef/>
      </w:r>
      <w:r>
        <w:rPr>
          <w:rFonts w:ascii="David" w:cs="David" w:eastAsia="David" w:hAnsi="David"/>
          <w:sz w:val="20"/>
          <w:szCs w:val="20"/>
          <w:rtl/>
        </w:rPr>
        <w:t xml:space="preserve"> אסף הרדוף "זכות מפלה ופריווילגיות של מדינה: חיסיון לטובת הציבור ונסיגה לטובת התקפה" </w:t>
      </w:r>
      <w:r>
        <w:rPr>
          <w:rFonts w:ascii="David" w:cs="David" w:eastAsia="David" w:hAnsi="David"/>
          <w:b/>
          <w:bCs/>
          <w:sz w:val="20"/>
          <w:szCs w:val="20"/>
          <w:rtl/>
        </w:rPr>
        <w:t xml:space="preserve">מחקרי משפט</w:t>
      </w:r>
      <w:r>
        <w:rPr>
          <w:rFonts w:ascii="David" w:cs="David" w:eastAsia="David" w:hAnsi="David"/>
          <w:sz w:val="20"/>
          <w:szCs w:val="20"/>
          <w:rtl/>
        </w:rPr>
        <w:t xml:space="preserve"> לד 1, 49-48 (2022).</w:t>
      </w:r>
    </w:p>
  </w:footnote>
  <w:footnote w:id="122">
    <w:p>
      <w:pPr>
        <w:bidi/>
        <w:spacing w:after="40" w:line="240"/>
        <w:jc w:val="both"/>
      </w:pPr>
      <w:r>
        <w:rPr>
          <w:rStyle w:val="FootnoteReference"/>
        </w:rPr>
        <w:footnoteRef/>
      </w:r>
      <w:r>
        <w:rPr>
          <w:rFonts w:ascii="David" w:cs="David" w:eastAsia="David" w:hAnsi="David"/>
          <w:sz w:val="20"/>
          <w:szCs w:val="20"/>
          <w:rtl/>
        </w:rPr>
        <w:t xml:space="preserve"> פורום המרצות והמרצים, לעיל ה"ש 19, בעמ' 593.</w:t>
      </w:r>
    </w:p>
  </w:footnote>
  <w:footnote w:id="123">
    <w:p>
      <w:pPr>
        <w:bidi/>
        <w:spacing w:after="40" w:line="240"/>
        <w:jc w:val="both"/>
      </w:pPr>
      <w:r>
        <w:rPr>
          <w:rStyle w:val="FootnoteReference"/>
        </w:rPr>
        <w:footnoteRef/>
      </w:r>
      <w:r>
        <w:rPr>
          <w:rFonts w:ascii="David" w:cs="David" w:eastAsia="David" w:hAnsi="David"/>
          <w:sz w:val="20"/>
          <w:szCs w:val="20"/>
          <w:rtl/>
        </w:rPr>
        <w:t xml:space="preserve"> ויסבורד ואחרים "מיסוד שיטור מוכוון בעיות", לעיל ה"ש 5, בעמ' 156.</w:t>
      </w:r>
    </w:p>
  </w:footnote>
  <w:footnote w:id="124">
    <w:p>
      <w:pPr>
        <w:bidi/>
        <w:spacing w:after="40" w:line="240"/>
        <w:jc w:val="both"/>
      </w:pPr>
      <w:r>
        <w:rPr>
          <w:rStyle w:val="FootnoteReference"/>
        </w:rPr>
        <w:footnoteRef/>
      </w:r>
      <w:r>
        <w:rPr>
          <w:rFonts w:ascii="David" w:cs="David" w:eastAsia="David" w:hAnsi="David"/>
          <w:sz w:val="20"/>
          <w:szCs w:val="20"/>
          <w:rtl/>
        </w:rPr>
        <w:t xml:space="preserve"> שם, בעמ' 152.</w:t>
      </w:r>
    </w:p>
  </w:footnote>
  <w:footnote w:id="125">
    <w:p>
      <w:pPr>
        <w:bidi/>
        <w:spacing w:after="40" w:line="240"/>
        <w:jc w:val="both"/>
      </w:pPr>
      <w:r>
        <w:rPr>
          <w:rStyle w:val="FootnoteReference"/>
        </w:rPr>
        <w:footnoteRef/>
      </w:r>
      <w:r>
        <w:rPr>
          <w:rFonts w:ascii="David" w:cs="David" w:eastAsia="David" w:hAnsi="David"/>
          <w:sz w:val="20"/>
          <w:szCs w:val="20"/>
          <w:rtl/>
        </w:rPr>
        <w:t xml:space="preserve"> דיויד וייסבורד, באדי חסייסי, יעל לטמנוביץ, תומר כרמל ושני תשובה "מחקר הערכת תכנית אמו"ן: סל עבירות פע"ר" </w:t>
      </w:r>
      <w:r>
        <w:rPr>
          <w:rFonts w:ascii="David" w:cs="David" w:eastAsia="David" w:hAnsi="David"/>
          <w:b/>
          <w:bCs/>
          <w:sz w:val="20"/>
          <w:szCs w:val="20"/>
          <w:rtl/>
        </w:rPr>
        <w:t xml:space="preserve">העיקר במחקר</w:t>
      </w:r>
      <w:r>
        <w:rPr>
          <w:rFonts w:ascii="David" w:cs="David" w:eastAsia="David" w:hAnsi="David"/>
          <w:sz w:val="20"/>
          <w:szCs w:val="20"/>
          <w:rtl w:val="false"/>
        </w:rPr>
        <w:t xml:space="preserve"> 167, 167 (2020).</w:t>
      </w:r>
    </w:p>
  </w:footnote>
  <w:footnote w:id="126">
    <w:p>
      <w:pPr>
        <w:bidi/>
        <w:spacing w:after="40" w:line="240"/>
        <w:jc w:val="both"/>
      </w:pPr>
      <w:r>
        <w:rPr>
          <w:rStyle w:val="FootnoteReference"/>
        </w:rPr>
        <w:footnoteRef/>
      </w:r>
      <w:r>
        <w:rPr>
          <w:rFonts w:ascii="David" w:cs="David" w:eastAsia="David" w:hAnsi="David"/>
          <w:sz w:val="20"/>
          <w:szCs w:val="20"/>
          <w:rtl/>
        </w:rPr>
        <w:t xml:space="preserve"> ויסבורד ואחרים "מיסוד שיטור מוכוון בעיות", לעיל ה"ש 5, בעמ' 161.</w:t>
      </w:r>
    </w:p>
  </w:footnote>
  <w:footnote w:id="127">
    <w:p>
      <w:pPr>
        <w:bidi/>
        <w:spacing w:after="40" w:line="240"/>
        <w:jc w:val="both"/>
      </w:pPr>
      <w:r>
        <w:rPr>
          <w:rStyle w:val="FootnoteReference"/>
        </w:rPr>
        <w:footnoteRef/>
      </w:r>
      <w:r>
        <w:rPr>
          <w:rFonts w:ascii="David" w:cs="David" w:eastAsia="David" w:hAnsi="David"/>
          <w:sz w:val="20"/>
          <w:szCs w:val="20"/>
          <w:rtl/>
        </w:rPr>
        <w:t xml:space="preserve"> שם, בעמ' 160-159.</w:t>
      </w:r>
    </w:p>
  </w:footnote>
  <w:footnote w:id="128">
    <w:p>
      <w:pPr>
        <w:bidi/>
        <w:spacing w:after="40" w:line="240"/>
        <w:jc w:val="both"/>
      </w:pPr>
      <w:r>
        <w:rPr>
          <w:rStyle w:val="FootnoteReference"/>
        </w:rPr>
        <w:footnoteRef/>
      </w:r>
      <w:r>
        <w:rPr>
          <w:rFonts w:ascii="David" w:cs="David" w:eastAsia="David" w:hAnsi="David"/>
          <w:sz w:val="20"/>
          <w:szCs w:val="20"/>
          <w:rtl/>
        </w:rPr>
        <w:t xml:space="preserve"> ליטמנוביץ ואחרים, לעיל ה"ש 34, בעמ' 239-238.</w:t>
      </w:r>
    </w:p>
  </w:footnote>
  <w:footnote w:id="129">
    <w:p>
      <w:pPr>
        <w:bidi/>
        <w:spacing w:after="40" w:line="240"/>
        <w:jc w:val="both"/>
      </w:pPr>
      <w:r>
        <w:rPr>
          <w:rStyle w:val="FootnoteReference"/>
        </w:rPr>
        <w:footnoteRef/>
      </w:r>
      <w:r>
        <w:rPr>
          <w:rFonts w:ascii="David" w:cs="David" w:eastAsia="David" w:hAnsi="David"/>
          <w:sz w:val="20"/>
          <w:szCs w:val="20"/>
          <w:rtl/>
        </w:rPr>
        <w:t xml:space="preserve"> ויסבורד ואחרים "מיסוד שיטור מוכוון בעיות", לעיל ה"ש 5, בעמ' 158.</w:t>
      </w:r>
    </w:p>
  </w:footnote>
  <w:footnote w:id="130">
    <w:p>
      <w:pPr>
        <w:bidi/>
        <w:spacing w:after="40" w:line="240"/>
        <w:jc w:val="both"/>
      </w:pPr>
      <w:r>
        <w:rPr>
          <w:rStyle w:val="FootnoteReference"/>
        </w:rPr>
        <w:footnoteRef/>
      </w:r>
      <w:r>
        <w:rPr>
          <w:rFonts w:ascii="David" w:cs="David" w:eastAsia="David" w:hAnsi="David"/>
          <w:sz w:val="20"/>
          <w:szCs w:val="20"/>
          <w:rtl/>
        </w:rPr>
        <w:t xml:space="preserve"> באדי חסייסי, יעל ליטמנוביץ, דיויד וייסבורד, שני תשובה וטאינה טרכטנברג "מחקר הערכת תכנית אמו"ן: עבירות אלימות" </w:t>
      </w:r>
      <w:r>
        <w:rPr>
          <w:rFonts w:ascii="David" w:cs="David" w:eastAsia="David" w:hAnsi="David"/>
          <w:b/>
          <w:bCs/>
          <w:sz w:val="20"/>
          <w:szCs w:val="20"/>
          <w:rtl/>
        </w:rPr>
        <w:t xml:space="preserve">העיקר במחקר</w:t>
      </w:r>
      <w:r>
        <w:rPr>
          <w:rFonts w:ascii="David" w:cs="David" w:eastAsia="David" w:hAnsi="David"/>
          <w:sz w:val="20"/>
          <w:szCs w:val="20"/>
          <w:rtl w:val="false"/>
        </w:rPr>
        <w:t xml:space="preserve"> 247, 276 (2020).</w:t>
      </w:r>
    </w:p>
  </w:footnote>
  <w:footnote w:id="131">
    <w:p>
      <w:pPr>
        <w:bidi/>
        <w:spacing w:after="40" w:line="240"/>
        <w:jc w:val="both"/>
      </w:pPr>
      <w:r>
        <w:rPr>
          <w:rStyle w:val="FootnoteReference"/>
        </w:rPr>
        <w:footnoteRef/>
      </w:r>
      <w:r>
        <w:rPr>
          <w:rFonts w:ascii="David" w:cs="David" w:eastAsia="David" w:hAnsi="David"/>
          <w:sz w:val="20"/>
          <w:szCs w:val="20"/>
          <w:rtl/>
        </w:rPr>
        <w:t xml:space="preserve"> שם, בעמ' 277-276, 248.</w:t>
      </w:r>
    </w:p>
  </w:footnote>
  <w:footnote w:id="132">
    <w:p>
      <w:pPr>
        <w:bidi/>
        <w:spacing w:after="40" w:line="240"/>
        <w:jc w:val="both"/>
      </w:pPr>
      <w:r>
        <w:rPr>
          <w:rStyle w:val="FootnoteReference"/>
        </w:rPr>
        <w:footnoteRef/>
      </w:r>
      <w:r>
        <w:rPr>
          <w:rFonts w:ascii="David" w:cs="David" w:eastAsia="David" w:hAnsi="David"/>
          <w:sz w:val="20"/>
          <w:szCs w:val="20"/>
          <w:rtl/>
        </w:rPr>
        <w:t xml:space="preserve"> ליטמנוביץ ואחרים, לעיל ה"ש 34, בעמ' 233.</w:t>
      </w:r>
    </w:p>
  </w:footnote>
  <w:footnote w:id="133">
    <w:p>
      <w:pPr>
        <w:bidi/>
        <w:spacing w:after="40" w:line="240"/>
        <w:jc w:val="both"/>
      </w:pPr>
      <w:r>
        <w:rPr>
          <w:rStyle w:val="FootnoteReference"/>
        </w:rPr>
        <w:footnoteRef/>
      </w:r>
      <w:r>
        <w:rPr>
          <w:rFonts w:ascii="David" w:cs="David" w:eastAsia="David" w:hAnsi="David"/>
          <w:sz w:val="20"/>
          <w:szCs w:val="20"/>
          <w:rtl/>
        </w:rPr>
        <w:t xml:space="preserve"> שם, בעמ' 238.</w:t>
      </w:r>
    </w:p>
  </w:footnote>
  <w:footnote w:id="134">
    <w:p>
      <w:pPr>
        <w:bidi/>
        <w:spacing w:after="40" w:line="240"/>
        <w:jc w:val="both"/>
      </w:pPr>
      <w:r>
        <w:rPr>
          <w:rStyle w:val="FootnoteReference"/>
        </w:rPr>
        <w:footnoteRef/>
      </w:r>
      <w:r>
        <w:rPr>
          <w:rFonts w:ascii="David" w:cs="David" w:eastAsia="David" w:hAnsi="David"/>
          <w:sz w:val="20"/>
          <w:szCs w:val="20"/>
          <w:rtl/>
        </w:rPr>
        <w:t xml:space="preserve"> שם, בעמ' 240, 236.</w:t>
      </w:r>
    </w:p>
  </w:footnote>
  <w:footnote w:id="135">
    <w:p>
      <w:pPr>
        <w:bidi/>
        <w:spacing w:after="40" w:line="240"/>
        <w:jc w:val="both"/>
      </w:pPr>
      <w:r>
        <w:rPr>
          <w:rStyle w:val="FootnoteReference"/>
        </w:rPr>
        <w:footnoteRef/>
      </w:r>
      <w:r>
        <w:rPr>
          <w:rFonts w:ascii="David" w:cs="David" w:eastAsia="David" w:hAnsi="David"/>
          <w:sz w:val="20"/>
          <w:szCs w:val="20"/>
          <w:rtl/>
        </w:rPr>
        <w:t xml:space="preserve"> שם, בעמ' 239.</w:t>
      </w:r>
    </w:p>
  </w:footnote>
  <w:footnote w:id="136">
    <w:p>
      <w:pPr>
        <w:bidi/>
        <w:spacing w:after="40" w:line="240"/>
        <w:jc w:val="both"/>
      </w:pPr>
      <w:r>
        <w:rPr>
          <w:rStyle w:val="FootnoteReference"/>
        </w:rPr>
        <w:footnoteRef/>
      </w:r>
      <w:r>
        <w:rPr>
          <w:rFonts w:ascii="David" w:cs="David" w:eastAsia="David" w:hAnsi="David"/>
          <w:sz w:val="20"/>
          <w:szCs w:val="20"/>
          <w:rtl/>
        </w:rPr>
        <w:t xml:space="preserve"> ויסבורד ואחרים "מיסוד שיטור מוכוון בעיות", לעיל ה"ש 5, בעמ' 152.</w:t>
      </w:r>
    </w:p>
  </w:footnote>
  <w:footnote w:id="137">
    <w:p>
      <w:pPr>
        <w:bidi/>
        <w:spacing w:after="40" w:line="240"/>
        <w:jc w:val="both"/>
      </w:pPr>
      <w:r>
        <w:rPr>
          <w:rStyle w:val="FootnoteReference"/>
        </w:rPr>
        <w:footnoteRef/>
      </w:r>
      <w:r>
        <w:rPr>
          <w:rFonts w:ascii="David" w:cs="David" w:eastAsia="David" w:hAnsi="David"/>
          <w:sz w:val="20"/>
          <w:szCs w:val="20"/>
          <w:rtl/>
        </w:rPr>
        <w:t xml:space="preserve"> שם, בעמ' 163.</w:t>
      </w:r>
    </w:p>
  </w:footnote>
  <w:footnote w:id="138">
    <w:p>
      <w:pPr>
        <w:bidi/>
        <w:spacing w:after="40" w:line="240"/>
        <w:jc w:val="both"/>
      </w:pPr>
      <w:r>
        <w:rPr>
          <w:rStyle w:val="FootnoteReference"/>
        </w:rPr>
        <w:footnoteRef/>
      </w:r>
      <w:r>
        <w:rPr>
          <w:rFonts w:ascii="David" w:cs="David" w:eastAsia="David" w:hAnsi="David"/>
          <w:sz w:val="20"/>
          <w:szCs w:val="20"/>
          <w:rtl/>
        </w:rPr>
        <w:t xml:space="preserve"> ליטמנוביץ ואחרים, לעיל ה"ש 34, בעמ' 242.</w:t>
      </w:r>
    </w:p>
  </w:footnote>
  <w:footnote w:id="139">
    <w:p>
      <w:pPr>
        <w:bidi/>
        <w:spacing w:after="40" w:line="240"/>
        <w:jc w:val="both"/>
      </w:pPr>
      <w:r>
        <w:rPr>
          <w:rStyle w:val="FootnoteReference"/>
        </w:rPr>
        <w:footnoteRef/>
      </w:r>
      <w:r>
        <w:rPr>
          <w:rFonts w:ascii="David" w:cs="David" w:eastAsia="David" w:hAnsi="David"/>
          <w:sz w:val="20"/>
          <w:szCs w:val="20"/>
          <w:rtl/>
        </w:rPr>
        <w:t xml:space="preserve"> מבקר המדינה </w:t>
      </w:r>
      <w:r>
        <w:rPr>
          <w:rFonts w:ascii="David" w:cs="David" w:eastAsia="David" w:hAnsi="David"/>
          <w:b/>
          <w:bCs/>
          <w:sz w:val="20"/>
          <w:szCs w:val="20"/>
          <w:rtl/>
        </w:rPr>
        <w:t xml:space="preserve">דוח 2018</w:t>
      </w:r>
      <w:r>
        <w:rPr>
          <w:rFonts w:ascii="David" w:cs="David" w:eastAsia="David" w:hAnsi="David"/>
          <w:sz w:val="20"/>
          <w:szCs w:val="20"/>
          <w:rtl/>
        </w:rPr>
        <w:t xml:space="preserve">, לעיל ה"ש 1, בעמ' 6.</w:t>
      </w:r>
    </w:p>
  </w:footnote>
  <w:footnote w:id="140">
    <w:p>
      <w:pPr>
        <w:bidi/>
        <w:spacing w:after="40" w:line="240"/>
        <w:jc w:val="both"/>
      </w:pPr>
      <w:r>
        <w:rPr>
          <w:rStyle w:val="FootnoteReference"/>
        </w:rPr>
        <w:footnoteRef/>
      </w:r>
      <w:r>
        <w:rPr>
          <w:rFonts w:ascii="David" w:cs="David" w:eastAsia="David" w:hAnsi="David"/>
          <w:sz w:val="20"/>
          <w:szCs w:val="20"/>
          <w:rtl/>
        </w:rPr>
        <w:t xml:space="preserve"> ליטמנוביץ ואחרים, לעיל ה"ש 34, בעמ' 239-238.</w:t>
      </w:r>
    </w:p>
  </w:footnote>
  <w:footnote w:id="141">
    <w:p>
      <w:pPr>
        <w:bidi/>
        <w:spacing w:after="40" w:line="240"/>
        <w:jc w:val="both"/>
      </w:pPr>
      <w:r>
        <w:rPr>
          <w:rStyle w:val="FootnoteReference"/>
        </w:rPr>
        <w:footnoteRef/>
      </w:r>
      <w:r>
        <w:rPr>
          <w:rFonts w:ascii="David" w:cs="David" w:eastAsia="David" w:hAnsi="David"/>
          <w:sz w:val="20"/>
          <w:szCs w:val="20"/>
          <w:rtl/>
        </w:rPr>
        <w:t xml:space="preserve"> ויסבורד ואחרים "מיסוד שיטור מוכוון בעיות", לעיל ה"ש 5, בעמ' 158.</w:t>
      </w:r>
    </w:p>
  </w:footnote>
  <w:footnote w:id="142">
    <w:p>
      <w:pPr>
        <w:bidi/>
        <w:spacing w:after="40" w:line="240"/>
        <w:jc w:val="both"/>
      </w:pPr>
      <w:r>
        <w:rPr>
          <w:rStyle w:val="FootnoteReference"/>
        </w:rPr>
        <w:footnoteRef/>
      </w:r>
      <w:r>
        <w:rPr>
          <w:rFonts w:ascii="David" w:cs="David" w:eastAsia="David" w:hAnsi="David"/>
          <w:sz w:val="20"/>
          <w:szCs w:val="20"/>
          <w:rtl/>
        </w:rPr>
        <w:t xml:space="preserve"> באדי חסייסי, טל יונתן-זמיר, דיויד וייסבורד, יעל ליטמנוביץ, טאינה טרכטנברג ועדי דוידוביץ' "ניתוח עמדות הציבור כלפי המשטרה בחברה הישראלית: ההשפעה של הוגנות ההליכים, מאפייני הפרט ומאפייני התחנה" </w:t>
      </w:r>
      <w:r>
        <w:rPr>
          <w:rFonts w:ascii="David" w:cs="David" w:eastAsia="David" w:hAnsi="David"/>
          <w:b/>
          <w:bCs/>
          <w:sz w:val="20"/>
          <w:szCs w:val="20"/>
          <w:rtl/>
        </w:rPr>
        <w:t xml:space="preserve">העיקר במחקר</w:t>
      </w:r>
      <w:r>
        <w:rPr>
          <w:rFonts w:ascii="David" w:cs="David" w:eastAsia="David" w:hAnsi="David"/>
          <w:sz w:val="20"/>
          <w:szCs w:val="20"/>
          <w:rtl w:val="false"/>
        </w:rPr>
        <w:t xml:space="preserve"> 283, 305, 302 (2020).</w:t>
      </w:r>
    </w:p>
  </w:footnote>
  <w:footnote w:id="143">
    <w:p>
      <w:pPr>
        <w:bidi/>
        <w:spacing w:after="40" w:line="240"/>
        <w:jc w:val="both"/>
      </w:pPr>
      <w:r>
        <w:rPr>
          <w:rStyle w:val="FootnoteReference"/>
        </w:rPr>
        <w:footnoteRef/>
      </w:r>
      <w:r>
        <w:rPr>
          <w:rFonts w:ascii="David" w:cs="David" w:eastAsia="David" w:hAnsi="David"/>
          <w:sz w:val="20"/>
          <w:szCs w:val="20"/>
          <w:rtl/>
        </w:rPr>
        <w:t xml:space="preserve"> שם, בעמ' 304, 302.</w:t>
      </w:r>
    </w:p>
  </w:footnote>
  <w:footnote w:id="144">
    <w:p>
      <w:pPr>
        <w:bidi/>
        <w:spacing w:after="40" w:line="240"/>
        <w:jc w:val="both"/>
      </w:pPr>
      <w:r>
        <w:rPr>
          <w:rStyle w:val="FootnoteReference"/>
        </w:rPr>
        <w:footnoteRef/>
      </w:r>
      <w:r>
        <w:rPr>
          <w:rFonts w:ascii="David" w:cs="David" w:eastAsia="David" w:hAnsi="David"/>
          <w:sz w:val="20"/>
          <w:szCs w:val="20"/>
          <w:rtl/>
        </w:rPr>
        <w:t xml:space="preserve"> חסייסי ואחרים "עבירות אלימות", לעיל ה"ש 130, בעמ' 279; וייסבורד ואחרים "סל עבירות פע"ר", לעיל ה"ש 125, בעמ' 167.</w:t>
      </w:r>
    </w:p>
  </w:footnote>
  <w:footnote w:id="145">
    <w:p>
      <w:pPr>
        <w:bidi/>
        <w:spacing w:after="40" w:line="240"/>
        <w:jc w:val="both"/>
      </w:pPr>
      <w:r>
        <w:rPr>
          <w:rStyle w:val="FootnoteReference"/>
        </w:rPr>
        <w:footnoteRef/>
      </w:r>
      <w:r>
        <w:rPr>
          <w:rFonts w:ascii="David" w:cs="David" w:eastAsia="David" w:hAnsi="David"/>
          <w:sz w:val="20"/>
          <w:szCs w:val="20"/>
          <w:rtl/>
        </w:rPr>
        <w:t xml:space="preserve"> ליטמנוביץ ואחרים, לעיל ה"ש 34, בעמ' 243.</w:t>
      </w:r>
    </w:p>
  </w:footnote>
  <w:footnote w:id="146">
    <w:p>
      <w:pPr>
        <w:bidi/>
        <w:spacing w:after="40" w:line="240"/>
        <w:jc w:val="both"/>
      </w:pPr>
      <w:r>
        <w:rPr>
          <w:rStyle w:val="FootnoteReference"/>
        </w:rPr>
        <w:footnoteRef/>
      </w:r>
      <w:r>
        <w:rPr>
          <w:rFonts w:ascii="David" w:cs="David" w:eastAsia="David" w:hAnsi="David"/>
          <w:sz w:val="20"/>
          <w:szCs w:val="20"/>
          <w:rtl/>
        </w:rPr>
        <w:t xml:space="preserve"> ויסבורד ואחרים "מיסוד שיטור מוכוון בעיות", לעיל ה"ש 5, בעמ' 158-156.</w:t>
      </w:r>
    </w:p>
  </w:footnote>
  <w:footnote w:id="147">
    <w:p>
      <w:pPr>
        <w:bidi/>
        <w:spacing w:after="40" w:line="240"/>
        <w:jc w:val="both"/>
      </w:pPr>
      <w:r>
        <w:rPr>
          <w:rStyle w:val="FootnoteReference"/>
        </w:rPr>
        <w:footnoteRef/>
      </w:r>
      <w:r>
        <w:rPr>
          <w:rFonts w:ascii="David" w:cs="David" w:eastAsia="David" w:hAnsi="David"/>
          <w:sz w:val="20"/>
          <w:szCs w:val="20"/>
          <w:rtl w:val="false"/>
        </w:rPr>
        <w:t xml:space="preserve"> Home Office, Police and Criminal Evidence Act 1984 Code A: Revised Code of Practice for the Exercise by Police Officers of Statutory Powers of Stop and Search, para. 1.1 (2023).‎</w:t>
      </w:r>
    </w:p>
  </w:footnote>
  <w:footnote w:id="148">
    <w:p>
      <w:pPr>
        <w:bidi/>
        <w:spacing w:after="40" w:line="240"/>
        <w:jc w:val="both"/>
      </w:pPr>
      <w:r>
        <w:rPr>
          <w:rStyle w:val="FootnoteReference"/>
        </w:rPr>
        <w:footnoteRef/>
      </w:r>
      <w:r>
        <w:rPr>
          <w:rFonts w:ascii="David" w:cs="David" w:eastAsia="David" w:hAnsi="David"/>
          <w:sz w:val="20"/>
          <w:szCs w:val="20"/>
          <w:rtl w:val="false"/>
        </w:rPr>
        <w:t xml:space="preserve"> U.S. CONST. amend. IV.‎</w:t>
      </w:r>
    </w:p>
  </w:footnote>
  <w:footnote w:id="149">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i/>
          <w:iCs/>
          <w:sz w:val="20"/>
          <w:szCs w:val="20"/>
          <w:rtl w:val="false"/>
        </w:rPr>
        <w:t xml:space="preserve">Terry v. Ohio‎</w:t>
      </w:r>
      <w:r>
        <w:rPr>
          <w:rFonts w:ascii="David" w:cs="David" w:eastAsia="David" w:hAnsi="David"/>
          <w:sz w:val="20"/>
          <w:szCs w:val="20"/>
          <w:rtl w:val="false"/>
        </w:rPr>
        <w:t xml:space="preserve">, 392 U.S. 1, 21, 27 (1968).‎</w:t>
      </w:r>
    </w:p>
  </w:footnote>
  <w:footnote w:id="150">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i/>
          <w:iCs/>
          <w:sz w:val="20"/>
          <w:szCs w:val="20"/>
          <w:rtl w:val="false"/>
        </w:rPr>
        <w:t xml:space="preserve">Brown v. Texas‎</w:t>
      </w:r>
      <w:r>
        <w:rPr>
          <w:rFonts w:ascii="David" w:cs="David" w:eastAsia="David" w:hAnsi="David"/>
          <w:sz w:val="20"/>
          <w:szCs w:val="20"/>
          <w:rtl w:val="false"/>
        </w:rPr>
        <w:t xml:space="preserve">, 443 U.S. 47 (1979).‎</w:t>
      </w:r>
    </w:p>
  </w:footnote>
  <w:footnote w:id="151">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i/>
          <w:iCs/>
          <w:sz w:val="20"/>
          <w:szCs w:val="20"/>
          <w:rtl w:val="false"/>
        </w:rPr>
        <w:t xml:space="preserve">United States v. Mendenhall‎</w:t>
      </w:r>
      <w:r>
        <w:rPr>
          <w:rFonts w:ascii="David" w:cs="David" w:eastAsia="David" w:hAnsi="David"/>
          <w:sz w:val="20"/>
          <w:szCs w:val="20"/>
          <w:rtl w:val="false"/>
        </w:rPr>
        <w:t xml:space="preserve">, 446 U.S. 544, 554 (1980).‎</w:t>
      </w:r>
    </w:p>
  </w:footnote>
  <w:footnote w:id="152">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i/>
          <w:iCs/>
          <w:sz w:val="20"/>
          <w:szCs w:val="20"/>
          <w:rtl w:val="false"/>
        </w:rPr>
        <w:t xml:space="preserve">Miranda v. Arizona‎</w:t>
      </w:r>
      <w:r>
        <w:rPr>
          <w:rFonts w:ascii="David" w:cs="David" w:eastAsia="David" w:hAnsi="David"/>
          <w:sz w:val="20"/>
          <w:szCs w:val="20"/>
          <w:rtl/>
        </w:rPr>
        <w:t xml:space="preserve">, </w:t>
      </w:r>
      <w:r>
        <w:rPr>
          <w:rFonts w:ascii="David" w:cs="David" w:eastAsia="David" w:hAnsi="David"/>
          <w:sz w:val="20"/>
          <w:szCs w:val="20"/>
          <w:rtl w:val="false"/>
        </w:rPr>
        <w:t xml:space="preserve">384 U.S. 436 (1966)‎</w:t>
      </w:r>
      <w:r>
        <w:rPr>
          <w:rFonts w:ascii="David" w:cs="David" w:eastAsia="David" w:hAnsi="David"/>
          <w:sz w:val="20"/>
          <w:szCs w:val="20"/>
          <w:rtl/>
        </w:rPr>
        <w:t xml:space="preserve">; קיטאי סנג'רו, לעיל ה"ש 115, בעמ' 272.</w:t>
      </w:r>
    </w:p>
  </w:footnote>
  <w:footnote w:id="153">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i/>
          <w:iCs/>
          <w:sz w:val="20"/>
          <w:szCs w:val="20"/>
          <w:rtl w:val="false"/>
        </w:rPr>
        <w:t xml:space="preserve">Whren v. United States‎</w:t>
      </w:r>
      <w:r>
        <w:rPr>
          <w:rFonts w:ascii="David" w:cs="David" w:eastAsia="David" w:hAnsi="David"/>
          <w:sz w:val="20"/>
          <w:szCs w:val="20"/>
          <w:rtl w:val="false"/>
        </w:rPr>
        <w:t xml:space="preserve">, 517 U.S. 806, 813 (1996).‎</w:t>
      </w:r>
    </w:p>
  </w:footnote>
  <w:footnote w:id="154">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i/>
          <w:iCs/>
          <w:sz w:val="20"/>
          <w:szCs w:val="20"/>
          <w:rtl w:val="false"/>
        </w:rPr>
        <w:t xml:space="preserve">Illinois v. Wardlow‎</w:t>
      </w:r>
      <w:r>
        <w:rPr>
          <w:rFonts w:ascii="David" w:cs="David" w:eastAsia="David" w:hAnsi="David"/>
          <w:sz w:val="20"/>
          <w:szCs w:val="20"/>
          <w:rtl w:val="false"/>
        </w:rPr>
        <w:t xml:space="preserve">, 528 U.S. 119, 124 (2000).‎</w:t>
      </w:r>
    </w:p>
  </w:footnote>
  <w:footnote w:id="155">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i/>
          <w:iCs/>
          <w:sz w:val="20"/>
          <w:szCs w:val="20"/>
          <w:rtl w:val="false"/>
        </w:rPr>
        <w:t xml:space="preserve">United States v. Armstrong‎</w:t>
      </w:r>
      <w:r>
        <w:rPr>
          <w:rFonts w:ascii="David" w:cs="David" w:eastAsia="David" w:hAnsi="David"/>
          <w:sz w:val="20"/>
          <w:szCs w:val="20"/>
          <w:rtl w:val="false"/>
        </w:rPr>
        <w:t xml:space="preserve">, 517 U.S. 456, 465 (1996).‎</w:t>
      </w:r>
    </w:p>
  </w:footnote>
  <w:footnote w:id="156">
    <w:p>
      <w:pPr>
        <w:bidi/>
        <w:spacing w:after="40" w:line="240"/>
        <w:jc w:val="both"/>
      </w:pPr>
      <w:r>
        <w:rPr>
          <w:rStyle w:val="FootnoteReference"/>
        </w:rPr>
        <w:footnoteRef/>
      </w:r>
      <w:r>
        <w:rPr>
          <w:rFonts w:ascii="David" w:cs="David" w:eastAsia="David" w:hAnsi="David"/>
          <w:sz w:val="20"/>
          <w:szCs w:val="20"/>
          <w:rtl w:val="false"/>
        </w:rPr>
        <w:t xml:space="preserve"> U.S. Department of Justice, Civil Rights Division, Investigation of the Ferguson Police Department 2, 4 (2015).‎</w:t>
      </w:r>
    </w:p>
  </w:footnote>
  <w:footnote w:id="157">
    <w:p>
      <w:pPr>
        <w:bidi/>
        <w:spacing w:after="40" w:line="240"/>
        <w:jc w:val="both"/>
      </w:pPr>
      <w:r>
        <w:rPr>
          <w:rStyle w:val="FootnoteReference"/>
        </w:rPr>
        <w:footnoteRef/>
      </w:r>
      <w:r>
        <w:rPr>
          <w:rFonts w:ascii="David" w:cs="David" w:eastAsia="David" w:hAnsi="David"/>
          <w:sz w:val="20"/>
          <w:szCs w:val="20"/>
          <w:rtl w:val="false"/>
        </w:rPr>
        <w:t xml:space="preserve"> 42 U.S.C. § 1983; ‎</w:t>
      </w:r>
      <w:r>
        <w:rPr>
          <w:rFonts w:ascii="David" w:cs="David" w:eastAsia="David" w:hAnsi="David"/>
          <w:i/>
          <w:iCs/>
          <w:sz w:val="20"/>
          <w:szCs w:val="20"/>
          <w:rtl w:val="false"/>
        </w:rPr>
        <w:t xml:space="preserve">Monell v. Department of Social Services‎</w:t>
      </w:r>
      <w:r>
        <w:rPr>
          <w:rFonts w:ascii="David" w:cs="David" w:eastAsia="David" w:hAnsi="David"/>
          <w:sz w:val="20"/>
          <w:szCs w:val="20"/>
          <w:rtl w:val="false"/>
        </w:rPr>
        <w:t xml:space="preserve">, 436 U.S. 658, 694 (1978).‎</w:t>
      </w:r>
    </w:p>
  </w:footnote>
  <w:footnote w:id="158">
    <w:p>
      <w:pPr>
        <w:bidi/>
        <w:spacing w:after="40" w:line="240"/>
        <w:jc w:val="both"/>
      </w:pPr>
      <w:r>
        <w:rPr>
          <w:rStyle w:val="FootnoteReference"/>
        </w:rPr>
        <w:footnoteRef/>
      </w:r>
      <w:r>
        <w:rPr>
          <w:rFonts w:ascii="David" w:cs="David" w:eastAsia="David" w:hAnsi="David"/>
          <w:sz w:val="20"/>
          <w:szCs w:val="20"/>
          <w:rtl w:val="false"/>
        </w:rPr>
        <w:t xml:space="preserve"> 34 U.S.C. § 12601.‎</w:t>
      </w:r>
    </w:p>
  </w:footnote>
  <w:footnote w:id="159">
    <w:p>
      <w:pPr>
        <w:bidi/>
        <w:spacing w:after="40" w:line="240"/>
        <w:jc w:val="both"/>
      </w:pPr>
      <w:r>
        <w:rPr>
          <w:rStyle w:val="FootnoteReference"/>
        </w:rPr>
        <w:footnoteRef/>
      </w:r>
      <w:r>
        <w:rPr>
          <w:rFonts w:ascii="David" w:cs="David" w:eastAsia="David" w:hAnsi="David"/>
          <w:sz w:val="20"/>
          <w:szCs w:val="20"/>
          <w:rtl w:val="false"/>
        </w:rPr>
        <w:t xml:space="preserve"> Statement of Interest of the United States at 5, ‎</w:t>
      </w:r>
      <w:r>
        <w:rPr>
          <w:rFonts w:ascii="David" w:cs="David" w:eastAsia="David" w:hAnsi="David"/>
          <w:i/>
          <w:iCs/>
          <w:sz w:val="20"/>
          <w:szCs w:val="20"/>
          <w:rtl w:val="false"/>
        </w:rPr>
        <w:t xml:space="preserve">Floyd v. City of New York‎</w:t>
      </w:r>
      <w:r>
        <w:rPr>
          <w:rFonts w:ascii="David" w:cs="David" w:eastAsia="David" w:hAnsi="David"/>
          <w:sz w:val="20"/>
          <w:szCs w:val="20"/>
          <w:rtl w:val="false"/>
        </w:rPr>
        <w:t xml:space="preserve">, No. 08-cv-01034 (S.D.N.Y. June 12, 2013).‎</w:t>
      </w:r>
    </w:p>
  </w:footnote>
  <w:footnote w:id="160">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i/>
          <w:iCs/>
          <w:sz w:val="20"/>
          <w:szCs w:val="20"/>
          <w:rtl w:val="false"/>
        </w:rPr>
        <w:t xml:space="preserve">DeShaney v. Winnebago County Department of Social Services‎</w:t>
      </w:r>
      <w:r>
        <w:rPr>
          <w:rFonts w:ascii="David" w:cs="David" w:eastAsia="David" w:hAnsi="David"/>
          <w:sz w:val="20"/>
          <w:szCs w:val="20"/>
          <w:rtl w:val="false"/>
        </w:rPr>
        <w:t xml:space="preserve">, 489 U.S. 189, 196 (1989).‎</w:t>
      </w:r>
    </w:p>
  </w:footnote>
  <w:footnote w:id="161">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i/>
          <w:iCs/>
          <w:sz w:val="20"/>
          <w:szCs w:val="20"/>
          <w:rtl w:val="false"/>
        </w:rPr>
        <w:t xml:space="preserve">Town of Castle Rock v. Gonzales‎</w:t>
      </w:r>
      <w:r>
        <w:rPr>
          <w:rFonts w:ascii="David" w:cs="David" w:eastAsia="David" w:hAnsi="David"/>
          <w:sz w:val="20"/>
          <w:szCs w:val="20"/>
          <w:rtl w:val="false"/>
        </w:rPr>
        <w:t xml:space="preserve">, 545 U.S. 748, 768 (2005).‎</w:t>
      </w:r>
    </w:p>
  </w:footnote>
  <w:footnote w:id="162">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i/>
          <w:iCs/>
          <w:sz w:val="20"/>
          <w:szCs w:val="20"/>
          <w:rtl w:val="false"/>
        </w:rPr>
        <w:t xml:space="preserve">White v. Beasley‎</w:t>
      </w:r>
      <w:r>
        <w:rPr>
          <w:rFonts w:ascii="David" w:cs="David" w:eastAsia="David" w:hAnsi="David"/>
          <w:sz w:val="20"/>
          <w:szCs w:val="20"/>
          <w:rtl w:val="false"/>
        </w:rPr>
        <w:t xml:space="preserve">, 453 Mich. 308 (1996); ‎</w:t>
      </w:r>
      <w:r>
        <w:rPr>
          <w:rFonts w:ascii="David" w:cs="David" w:eastAsia="David" w:hAnsi="David"/>
          <w:i/>
          <w:iCs/>
          <w:sz w:val="20"/>
          <w:szCs w:val="20"/>
          <w:rtl w:val="false"/>
        </w:rPr>
        <w:t xml:space="preserve">Cuffy v. City of New York‎</w:t>
      </w:r>
      <w:r>
        <w:rPr>
          <w:rFonts w:ascii="David" w:cs="David" w:eastAsia="David" w:hAnsi="David"/>
          <w:sz w:val="20"/>
          <w:szCs w:val="20"/>
          <w:rtl/>
        </w:rPr>
        <w:t xml:space="preserve">, </w:t>
      </w:r>
      <w:r>
        <w:rPr>
          <w:rFonts w:ascii="David" w:cs="David" w:eastAsia="David" w:hAnsi="David"/>
          <w:sz w:val="20"/>
          <w:szCs w:val="20"/>
          <w:rtl w:val="false"/>
        </w:rPr>
        <w:t xml:space="preserve">69 N.Y.2d 255 (1987)‎</w:t>
      </w:r>
      <w:r>
        <w:rPr>
          <w:rFonts w:ascii="David" w:cs="David" w:eastAsia="David" w:hAnsi="David"/>
          <w:sz w:val="20"/>
          <w:szCs w:val="20"/>
          <w:rtl/>
        </w:rPr>
        <w:t xml:space="preserve">; בעז סגל "נזיקין של רשויות במבט השוואתי: הפיצוי הנזיקי – מטרה או אמצעי?" </w:t>
      </w:r>
      <w:r>
        <w:rPr>
          <w:rFonts w:ascii="David" w:cs="David" w:eastAsia="David" w:hAnsi="David"/>
          <w:b/>
          <w:bCs/>
          <w:sz w:val="20"/>
          <w:szCs w:val="20"/>
          <w:rtl/>
        </w:rPr>
        <w:t xml:space="preserve">הפרקליט</w:t>
      </w:r>
      <w:r>
        <w:rPr>
          <w:rFonts w:ascii="David" w:cs="David" w:eastAsia="David" w:hAnsi="David"/>
          <w:sz w:val="20"/>
          <w:szCs w:val="20"/>
          <w:rtl/>
        </w:rPr>
        <w:t xml:space="preserve"> נו 111, 163-162 (התשפ"ד).</w:t>
      </w:r>
    </w:p>
  </w:footnote>
  <w:footnote w:id="163">
    <w:p>
      <w:pPr>
        <w:bidi/>
        <w:spacing w:after="40" w:line="240"/>
        <w:jc w:val="both"/>
      </w:pPr>
      <w:r>
        <w:rPr>
          <w:rStyle w:val="FootnoteReference"/>
        </w:rPr>
        <w:footnoteRef/>
      </w:r>
      <w:r>
        <w:rPr>
          <w:rFonts w:ascii="David" w:cs="David" w:eastAsia="David" w:hAnsi="David"/>
          <w:sz w:val="20"/>
          <w:szCs w:val="20"/>
          <w:rtl/>
        </w:rPr>
        <w:t xml:space="preserve"> סגל, לעיל ה"ש 162, בעמ' 155.</w:t>
      </w:r>
    </w:p>
  </w:footnote>
  <w:footnote w:id="164">
    <w:p>
      <w:pPr>
        <w:bidi/>
        <w:spacing w:after="40" w:line="240"/>
        <w:jc w:val="both"/>
      </w:pPr>
      <w:r>
        <w:rPr>
          <w:rStyle w:val="FootnoteReference"/>
        </w:rPr>
        <w:footnoteRef/>
      </w:r>
      <w:r>
        <w:rPr>
          <w:rFonts w:ascii="David" w:cs="David" w:eastAsia="David" w:hAnsi="David"/>
          <w:sz w:val="20"/>
          <w:szCs w:val="20"/>
          <w:rtl/>
        </w:rPr>
        <w:t xml:space="preserve"> ישראל גלעד </w:t>
      </w:r>
      <w:r>
        <w:rPr>
          <w:rFonts w:ascii="David" w:cs="David" w:eastAsia="David" w:hAnsi="David"/>
          <w:b/>
          <w:bCs/>
          <w:sz w:val="20"/>
          <w:szCs w:val="20"/>
          <w:rtl/>
        </w:rPr>
        <w:t xml:space="preserve">דיני נזיקין: גבולות האחריות</w:t>
      </w:r>
      <w:r>
        <w:rPr>
          <w:rFonts w:ascii="David" w:cs="David" w:eastAsia="David" w:hAnsi="David"/>
          <w:sz w:val="20"/>
          <w:szCs w:val="20"/>
          <w:rtl/>
        </w:rPr>
        <w:t xml:space="preserve"> כרך ב 1069 (2012).</w:t>
      </w:r>
    </w:p>
  </w:footnote>
  <w:footnote w:id="165">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i/>
          <w:iCs/>
          <w:sz w:val="20"/>
          <w:szCs w:val="20"/>
          <w:rtl w:val="false"/>
        </w:rPr>
        <w:t xml:space="preserve">Police and Criminal Evidence Act 1984‎</w:t>
      </w:r>
      <w:r>
        <w:rPr>
          <w:rFonts w:ascii="David" w:cs="David" w:eastAsia="David" w:hAnsi="David"/>
          <w:sz w:val="20"/>
          <w:szCs w:val="20"/>
          <w:rtl w:val="false"/>
        </w:rPr>
        <w:t xml:space="preserve">, c. 60, s. 1 (UK).‎</w:t>
      </w:r>
    </w:p>
  </w:footnote>
  <w:footnote w:id="166">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i/>
          <w:iCs/>
          <w:sz w:val="20"/>
          <w:szCs w:val="20"/>
          <w:rtl w:val="false"/>
        </w:rPr>
        <w:t xml:space="preserve">Criminal Justice and Public Order Act 1994‎</w:t>
      </w:r>
      <w:r>
        <w:rPr>
          <w:rFonts w:ascii="David" w:cs="David" w:eastAsia="David" w:hAnsi="David"/>
          <w:sz w:val="20"/>
          <w:szCs w:val="20"/>
          <w:rtl w:val="false"/>
        </w:rPr>
        <w:t xml:space="preserve">, c. 33, s. 60 (UK).‎</w:t>
      </w:r>
    </w:p>
  </w:footnote>
  <w:footnote w:id="167">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sz w:val="20"/>
          <w:szCs w:val="20"/>
          <w:rtl w:val="false"/>
        </w:rPr>
        <w:t xml:space="preserve">PACE Code A‎</w:t>
      </w:r>
      <w:r>
        <w:rPr>
          <w:rFonts w:ascii="David" w:cs="David" w:eastAsia="David" w:hAnsi="David"/>
          <w:sz w:val="20"/>
          <w:szCs w:val="20"/>
          <w:rtl/>
        </w:rPr>
        <w:t xml:space="preserve">, לעיל ה"ש 147, בפס' </w:t>
      </w:r>
      <w:r>
        <w:rPr>
          <w:rFonts w:ascii="David" w:cs="David" w:eastAsia="David" w:hAnsi="David"/>
          <w:sz w:val="20"/>
          <w:szCs w:val="20"/>
          <w:rtl w:val="false"/>
        </w:rPr>
        <w:t xml:space="preserve">2.2B.‎</w:t>
      </w:r>
    </w:p>
  </w:footnote>
  <w:footnote w:id="168">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i/>
          <w:iCs/>
          <w:sz w:val="20"/>
          <w:szCs w:val="20"/>
          <w:rtl w:val="false"/>
        </w:rPr>
        <w:t xml:space="preserve">Equality Act 2010‎</w:t>
      </w:r>
      <w:r>
        <w:rPr>
          <w:rFonts w:ascii="David" w:cs="David" w:eastAsia="David" w:hAnsi="David"/>
          <w:sz w:val="20"/>
          <w:szCs w:val="20"/>
          <w:rtl w:val="false"/>
        </w:rPr>
        <w:t xml:space="preserve">, c. 15, s. 149 (UK).‎</w:t>
      </w:r>
    </w:p>
  </w:footnote>
  <w:footnote w:id="169">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sz w:val="20"/>
          <w:szCs w:val="20"/>
          <w:rtl w:val="false"/>
        </w:rPr>
        <w:t xml:space="preserve">PACE Code A‎</w:t>
      </w:r>
      <w:r>
        <w:rPr>
          <w:rFonts w:ascii="David" w:cs="David" w:eastAsia="David" w:hAnsi="David"/>
          <w:sz w:val="20"/>
          <w:szCs w:val="20"/>
          <w:rtl/>
        </w:rPr>
        <w:t xml:space="preserve">, לעיל ה"ש 147, בפס' 5.1-5.4.</w:t>
      </w:r>
    </w:p>
  </w:footnote>
  <w:footnote w:id="170">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i/>
          <w:iCs/>
          <w:sz w:val="20"/>
          <w:szCs w:val="20"/>
          <w:rtl w:val="false"/>
        </w:rPr>
        <w:t xml:space="preserve">Police and Criminal Evidence Act 1984‎</w:t>
      </w:r>
      <w:r>
        <w:rPr>
          <w:rFonts w:ascii="David" w:cs="David" w:eastAsia="David" w:hAnsi="David"/>
          <w:sz w:val="20"/>
          <w:szCs w:val="20"/>
          <w:rtl w:val="false"/>
        </w:rPr>
        <w:t xml:space="preserve">, c. 60, ss. 2-3 (UK).‎</w:t>
      </w:r>
    </w:p>
  </w:footnote>
  <w:footnote w:id="171">
    <w:p>
      <w:pPr>
        <w:bidi/>
        <w:spacing w:after="40" w:line="240"/>
        <w:jc w:val="both"/>
      </w:pPr>
      <w:r>
        <w:rPr>
          <w:rStyle w:val="FootnoteReference"/>
        </w:rPr>
        <w:footnoteRef/>
      </w:r>
      <w:r>
        <w:rPr>
          <w:rFonts w:ascii="David" w:cs="David" w:eastAsia="David" w:hAnsi="David"/>
          <w:sz w:val="20"/>
          <w:szCs w:val="20"/>
          <w:rtl w:val="false"/>
        </w:rPr>
        <w:t xml:space="preserve"> The Stephen Lawrence Inquiry: Report of an Inquiry by Sir William Macpherson of Cluny, Cm 4262-I, para. 6.34 (1999).‎</w:t>
      </w:r>
    </w:p>
  </w:footnote>
  <w:footnote w:id="172">
    <w:p>
      <w:pPr>
        <w:bidi/>
        <w:spacing w:after="40" w:line="240"/>
        <w:jc w:val="both"/>
      </w:pPr>
      <w:r>
        <w:rPr>
          <w:rStyle w:val="FootnoteReference"/>
        </w:rPr>
        <w:footnoteRef/>
      </w:r>
      <w:r>
        <w:rPr>
          <w:rFonts w:ascii="David" w:cs="David" w:eastAsia="David" w:hAnsi="David"/>
          <w:sz w:val="20"/>
          <w:szCs w:val="20"/>
          <w:rtl/>
        </w:rPr>
        <w:t xml:space="preserve"> שם, בהמלצה 61.</w:t>
      </w:r>
    </w:p>
  </w:footnote>
  <w:footnote w:id="173">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i/>
          <w:iCs/>
          <w:sz w:val="20"/>
          <w:szCs w:val="20"/>
          <w:rtl w:val="false"/>
        </w:rPr>
        <w:t xml:space="preserve">R (Roberts) v. Commissioner of Police of the Metropolis‎</w:t>
      </w:r>
      <w:r>
        <w:rPr>
          <w:rFonts w:ascii="David" w:cs="David" w:eastAsia="David" w:hAnsi="David"/>
          <w:sz w:val="20"/>
          <w:szCs w:val="20"/>
          <w:rtl w:val="false"/>
        </w:rPr>
        <w:t xml:space="preserve"> [2015] UKSC 79, [41-45].‎</w:t>
      </w:r>
    </w:p>
  </w:footnote>
  <w:footnote w:id="174">
    <w:p>
      <w:pPr>
        <w:bidi/>
        <w:spacing w:after="40" w:line="240"/>
        <w:jc w:val="both"/>
      </w:pPr>
      <w:r>
        <w:rPr>
          <w:rStyle w:val="FootnoteReference"/>
        </w:rPr>
        <w:footnoteRef/>
      </w:r>
      <w:r>
        <w:rPr>
          <w:rFonts w:ascii="David" w:cs="David" w:eastAsia="David" w:hAnsi="David"/>
          <w:sz w:val="20"/>
          <w:szCs w:val="20"/>
          <w:rtl/>
        </w:rPr>
        <w:t xml:space="preserve"> שם, בפס' 46.</w:t>
      </w:r>
    </w:p>
  </w:footnote>
  <w:footnote w:id="175">
    <w:p>
      <w:pPr>
        <w:bidi/>
        <w:spacing w:after="40" w:line="240"/>
        <w:jc w:val="both"/>
      </w:pPr>
      <w:r>
        <w:rPr>
          <w:rStyle w:val="FootnoteReference"/>
        </w:rPr>
        <w:footnoteRef/>
      </w:r>
      <w:r>
        <w:rPr>
          <w:rFonts w:ascii="David" w:cs="David" w:eastAsia="David" w:hAnsi="David"/>
          <w:sz w:val="20"/>
          <w:szCs w:val="20"/>
          <w:rtl w:val="false"/>
        </w:rPr>
        <w:t xml:space="preserve"> HM Inspectorate of Constabulary and Fire &amp; Rescue Services, Disproportionate Use of Police Powers: A Spotlight on Stop and Search and the Use of Force 5-6 (2021).‎</w:t>
      </w:r>
    </w:p>
  </w:footnote>
  <w:footnote w:id="176">
    <w:p>
      <w:pPr>
        <w:bidi/>
        <w:spacing w:after="40" w:line="240"/>
        <w:jc w:val="both"/>
      </w:pPr>
      <w:r>
        <w:rPr>
          <w:rStyle w:val="FootnoteReference"/>
        </w:rPr>
        <w:footnoteRef/>
      </w:r>
      <w:r>
        <w:rPr>
          <w:rFonts w:ascii="David" w:cs="David" w:eastAsia="David" w:hAnsi="David"/>
          <w:sz w:val="20"/>
          <w:szCs w:val="20"/>
          <w:rtl w:val="false"/>
        </w:rPr>
        <w:t xml:space="preserve"> Paul Dawson, Anthony DuGuay, Ryan Flanagan &amp; Abigail McNeill, Investigating Disproportionality in Stop and Search in London 8 (2026).‎</w:t>
      </w:r>
    </w:p>
  </w:footnote>
  <w:footnote w:id="177">
    <w:p>
      <w:pPr>
        <w:bidi/>
        <w:spacing w:after="40" w:line="240"/>
        <w:jc w:val="both"/>
      </w:pPr>
      <w:r>
        <w:rPr>
          <w:rStyle w:val="FootnoteReference"/>
        </w:rPr>
        <w:footnoteRef/>
      </w:r>
      <w:r>
        <w:rPr>
          <w:rFonts w:ascii="David" w:cs="David" w:eastAsia="David" w:hAnsi="David"/>
          <w:sz w:val="20"/>
          <w:szCs w:val="20"/>
          <w:rtl w:val="false"/>
        </w:rPr>
        <w:t xml:space="preserve"> David Lammy, The Lammy Review: An Independent Review into the Treatment of, and Outcomes for, Black, Asian and Minority Ethnic Individuals in the Criminal Justice System 14 (2017).‎</w:t>
      </w:r>
    </w:p>
  </w:footnote>
  <w:footnote w:id="178">
    <w:p>
      <w:pPr>
        <w:bidi/>
        <w:spacing w:after="40" w:line="240"/>
        <w:jc w:val="both"/>
      </w:pPr>
      <w:r>
        <w:rPr>
          <w:rStyle w:val="FootnoteReference"/>
        </w:rPr>
        <w:footnoteRef/>
      </w:r>
      <w:r>
        <w:rPr>
          <w:rFonts w:ascii="David" w:cs="David" w:eastAsia="David" w:hAnsi="David"/>
          <w:sz w:val="20"/>
          <w:szCs w:val="20"/>
          <w:rtl/>
        </w:rPr>
        <w:t xml:space="preserve"> סגל, לעיל ה"ש 162, בעמ' 132-131; </w:t>
      </w:r>
      <w:r>
        <w:rPr>
          <w:rFonts w:ascii="David" w:cs="David" w:eastAsia="David" w:hAnsi="David"/>
          <w:i/>
          <w:iCs/>
          <w:sz w:val="20"/>
          <w:szCs w:val="20"/>
          <w:rtl w:val="false"/>
        </w:rPr>
        <w:t xml:space="preserve">Hill v. Chief Constable of West Yorkshire‎</w:t>
      </w:r>
      <w:r>
        <w:rPr>
          <w:rFonts w:ascii="David" w:cs="David" w:eastAsia="David" w:hAnsi="David"/>
          <w:sz w:val="20"/>
          <w:szCs w:val="20"/>
          <w:rtl w:val="false"/>
        </w:rPr>
        <w:t xml:space="preserve"> [1989] AC 53 (HL).‎</w:t>
      </w:r>
    </w:p>
  </w:footnote>
  <w:footnote w:id="179">
    <w:p>
      <w:pPr>
        <w:bidi/>
        <w:spacing w:after="40" w:line="240"/>
        <w:jc w:val="both"/>
      </w:pPr>
      <w:r>
        <w:rPr>
          <w:rStyle w:val="FootnoteReference"/>
        </w:rPr>
        <w:footnoteRef/>
      </w:r>
      <w:r>
        <w:rPr>
          <w:rFonts w:ascii="David" w:cs="David" w:eastAsia="David" w:hAnsi="David"/>
          <w:sz w:val="20"/>
          <w:szCs w:val="20"/>
          <w:rtl/>
        </w:rPr>
        <w:t xml:space="preserve"> גלעד, לעיל ה"ש 164, בעמ' 1089-1086.</w:t>
      </w:r>
    </w:p>
  </w:footnote>
  <w:footnote w:id="180">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i/>
          <w:iCs/>
          <w:sz w:val="20"/>
          <w:szCs w:val="20"/>
          <w:rtl w:val="false"/>
        </w:rPr>
        <w:t xml:space="preserve">Rigby v. Chief Constable of Northamptonshire‎</w:t>
      </w:r>
      <w:r>
        <w:rPr>
          <w:rFonts w:ascii="David" w:cs="David" w:eastAsia="David" w:hAnsi="David"/>
          <w:sz w:val="20"/>
          <w:szCs w:val="20"/>
          <w:rtl/>
        </w:rPr>
        <w:t xml:space="preserve"> </w:t>
      </w:r>
      <w:r>
        <w:rPr>
          <w:rFonts w:ascii="David" w:cs="David" w:eastAsia="David" w:hAnsi="David"/>
          <w:sz w:val="20"/>
          <w:szCs w:val="20"/>
          <w:rtl w:val="false"/>
        </w:rPr>
        <w:t xml:space="preserve">[1985] 1 WLR 1242 (QB)‎</w:t>
      </w:r>
      <w:r>
        <w:rPr>
          <w:rFonts w:ascii="David" w:cs="David" w:eastAsia="David" w:hAnsi="David"/>
          <w:sz w:val="20"/>
          <w:szCs w:val="20"/>
          <w:rtl/>
        </w:rPr>
        <w:t xml:space="preserve">; גלעד, לעיל ה"ש 164, בעמ' 1085.</w:t>
      </w:r>
    </w:p>
  </w:footnote>
  <w:footnote w:id="181">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i/>
          <w:iCs/>
          <w:sz w:val="20"/>
          <w:szCs w:val="20"/>
          <w:rtl w:val="false"/>
        </w:rPr>
        <w:t xml:space="preserve">Kirkham v. Chief Constable of the Greater Manchester Police‎</w:t>
      </w:r>
      <w:r>
        <w:rPr>
          <w:rFonts w:ascii="David" w:cs="David" w:eastAsia="David" w:hAnsi="David"/>
          <w:sz w:val="20"/>
          <w:szCs w:val="20"/>
          <w:rtl/>
        </w:rPr>
        <w:t xml:space="preserve"> </w:t>
      </w:r>
      <w:r>
        <w:rPr>
          <w:rFonts w:ascii="David" w:cs="David" w:eastAsia="David" w:hAnsi="David"/>
          <w:sz w:val="20"/>
          <w:szCs w:val="20"/>
          <w:rtl w:val="false"/>
        </w:rPr>
        <w:t xml:space="preserve">[1990] 2 WLR 987 (CA)‎</w:t>
      </w:r>
      <w:r>
        <w:rPr>
          <w:rFonts w:ascii="David" w:cs="David" w:eastAsia="David" w:hAnsi="David"/>
          <w:sz w:val="20"/>
          <w:szCs w:val="20"/>
          <w:rtl/>
        </w:rPr>
        <w:t xml:space="preserve">; סגל, לעיל ה"ש 162, בעמ' 181.</w:t>
      </w:r>
    </w:p>
  </w:footnote>
  <w:footnote w:id="182">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i/>
          <w:iCs/>
          <w:sz w:val="20"/>
          <w:szCs w:val="20"/>
          <w:rtl w:val="false"/>
        </w:rPr>
        <w:t xml:space="preserve">Michael v. Chief Constable of South Wales Police‎</w:t>
      </w:r>
      <w:r>
        <w:rPr>
          <w:rFonts w:ascii="David" w:cs="David" w:eastAsia="David" w:hAnsi="David"/>
          <w:sz w:val="20"/>
          <w:szCs w:val="20"/>
          <w:rtl w:val="false"/>
        </w:rPr>
        <w:t xml:space="preserve"> [2015] UKSC 2, [115].‎</w:t>
      </w:r>
    </w:p>
  </w:footnote>
  <w:footnote w:id="183">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i/>
          <w:iCs/>
          <w:sz w:val="20"/>
          <w:szCs w:val="20"/>
          <w:rtl w:val="false"/>
        </w:rPr>
        <w:t xml:space="preserve">Commissioner of Police of the Metropolis v. DSD‎</w:t>
      </w:r>
      <w:r>
        <w:rPr>
          <w:rFonts w:ascii="David" w:cs="David" w:eastAsia="David" w:hAnsi="David"/>
          <w:sz w:val="20"/>
          <w:szCs w:val="20"/>
          <w:rtl w:val="false"/>
        </w:rPr>
        <w:t xml:space="preserve"> [2018] UKSC 11, [29].‎</w:t>
      </w:r>
    </w:p>
  </w:footnote>
  <w:footnote w:id="184">
    <w:p>
      <w:pPr>
        <w:bidi/>
        <w:spacing w:after="40" w:line="240"/>
        <w:jc w:val="both"/>
      </w:pPr>
      <w:r>
        <w:rPr>
          <w:rStyle w:val="FootnoteReference"/>
        </w:rPr>
        <w:footnoteRef/>
      </w:r>
      <w:r>
        <w:rPr>
          <w:rFonts w:ascii="David" w:cs="David" w:eastAsia="David" w:hAnsi="David"/>
          <w:sz w:val="20"/>
          <w:szCs w:val="20"/>
          <w:rtl/>
        </w:rPr>
        <w:t xml:space="preserve"> עניין </w:t>
      </w:r>
      <w:r>
        <w:rPr>
          <w:rFonts w:ascii="David" w:cs="David" w:eastAsia="David" w:hAnsi="David"/>
          <w:b/>
          <w:bCs/>
          <w:sz w:val="20"/>
          <w:szCs w:val="20"/>
          <w:rtl/>
        </w:rPr>
        <w:t xml:space="preserve">טבקה</w:t>
      </w:r>
      <w:r>
        <w:rPr>
          <w:rFonts w:ascii="David" w:cs="David" w:eastAsia="David" w:hAnsi="David"/>
          <w:sz w:val="20"/>
          <w:szCs w:val="20"/>
          <w:rtl/>
        </w:rPr>
        <w:t xml:space="preserve">, לעיל ה"ש 14, בפס' 41 לפסק דינה של הנשיאה חיות.</w:t>
      </w:r>
    </w:p>
  </w:footnote>
  <w:footnote w:id="185">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sz w:val="20"/>
          <w:szCs w:val="20"/>
          <w:rtl w:val="false"/>
        </w:rPr>
        <w:t xml:space="preserve">HMICFRS‎</w:t>
      </w:r>
      <w:r>
        <w:rPr>
          <w:rFonts w:ascii="David" w:cs="David" w:eastAsia="David" w:hAnsi="David"/>
          <w:sz w:val="20"/>
          <w:szCs w:val="20"/>
          <w:rtl/>
        </w:rPr>
        <w:t xml:space="preserve">, לעיל ה"ש 175, בעמ' 6.</w:t>
      </w:r>
    </w:p>
  </w:footnote>
  <w:footnote w:id="186">
    <w:p>
      <w:pPr>
        <w:bidi/>
        <w:spacing w:after="40" w:line="240"/>
        <w:jc w:val="both"/>
      </w:pPr>
      <w:r>
        <w:rPr>
          <w:rStyle w:val="FootnoteReference"/>
        </w:rPr>
        <w:footnoteRef/>
      </w:r>
      <w:r>
        <w:rPr>
          <w:rFonts w:ascii="David" w:cs="David" w:eastAsia="David" w:hAnsi="David"/>
          <w:sz w:val="20"/>
          <w:szCs w:val="20"/>
          <w:rtl/>
        </w:rPr>
        <w:t xml:space="preserve"> ויסבורד ואחרים "מיסוד שיטור מוכוון בעיות", לעיל ה"ש 5, בעמ' 158.</w:t>
      </w:r>
    </w:p>
  </w:footnote>
  <w:footnote w:id="187">
    <w:p>
      <w:pPr>
        <w:bidi/>
        <w:spacing w:after="40" w:line="240"/>
        <w:jc w:val="both"/>
      </w:pPr>
      <w:r>
        <w:rPr>
          <w:rStyle w:val="FootnoteReference"/>
        </w:rPr>
        <w:footnoteRef/>
      </w:r>
      <w:r>
        <w:rPr>
          <w:rFonts w:ascii="David" w:cs="David" w:eastAsia="David" w:hAnsi="David"/>
          <w:sz w:val="20"/>
          <w:szCs w:val="20"/>
          <w:rtl/>
        </w:rPr>
        <w:t xml:space="preserve"> סגל, לעיל ה"ש 162, בעמ' 156.</w:t>
      </w:r>
    </w:p>
  </w:footnote>
  <w:footnote w:id="188">
    <w:p>
      <w:pPr>
        <w:bidi/>
        <w:spacing w:after="40" w:line="240"/>
        <w:jc w:val="both"/>
      </w:pPr>
      <w:r>
        <w:rPr>
          <w:rStyle w:val="FootnoteReference"/>
        </w:rPr>
        <w:footnoteRef/>
      </w:r>
      <w:r>
        <w:rPr>
          <w:rFonts w:ascii="David" w:cs="David" w:eastAsia="David" w:hAnsi="David"/>
          <w:sz w:val="20"/>
          <w:szCs w:val="20"/>
          <w:rtl/>
        </w:rPr>
        <w:t xml:space="preserve"> ע"א 3580/06 </w:t>
      </w:r>
      <w:r>
        <w:rPr>
          <w:rFonts w:ascii="David" w:cs="David" w:eastAsia="David" w:hAnsi="David"/>
          <w:b/>
          <w:bCs/>
          <w:sz w:val="20"/>
          <w:szCs w:val="20"/>
          <w:rtl/>
        </w:rPr>
        <w:t xml:space="preserve">עזבון יוסף נ' מדינת ישראל</w:t>
      </w:r>
      <w:r>
        <w:rPr>
          <w:rFonts w:ascii="David" w:cs="David" w:eastAsia="David" w:hAnsi="David"/>
          <w:sz w:val="20"/>
          <w:szCs w:val="20"/>
          <w:rtl/>
        </w:rPr>
        <w:t xml:space="preserve">, פס' 89 (נבו 21.3.2011); ע"א 1678/01 </w:t>
      </w:r>
      <w:r>
        <w:rPr>
          <w:rFonts w:ascii="David" w:cs="David" w:eastAsia="David" w:hAnsi="David"/>
          <w:b/>
          <w:bCs/>
          <w:sz w:val="20"/>
          <w:szCs w:val="20"/>
          <w:rtl/>
        </w:rPr>
        <w:t xml:space="preserve">מדינת ישראל נ' וייס</w:t>
      </w:r>
      <w:r>
        <w:rPr>
          <w:rFonts w:ascii="David" w:cs="David" w:eastAsia="David" w:hAnsi="David"/>
          <w:sz w:val="20"/>
          <w:szCs w:val="20"/>
          <w:rtl/>
        </w:rPr>
        <w:t xml:space="preserve">, פ"ד נח(5) 167, 181 (2004).</w:t>
      </w:r>
    </w:p>
  </w:footnote>
  <w:footnote w:id="189">
    <w:p>
      <w:pPr>
        <w:bidi/>
        <w:spacing w:after="40" w:line="240"/>
        <w:jc w:val="both"/>
      </w:pPr>
      <w:r>
        <w:rPr>
          <w:rStyle w:val="FootnoteReference"/>
        </w:rPr>
        <w:footnoteRef/>
      </w:r>
      <w:r>
        <w:rPr>
          <w:rFonts w:ascii="David" w:cs="David" w:eastAsia="David" w:hAnsi="David"/>
          <w:sz w:val="20"/>
          <w:szCs w:val="20"/>
          <w:rtl/>
        </w:rPr>
        <w:t xml:space="preserve"> ס' 3 לחוק הנזיקים האזרחיים (אחריות המדינה), התשי"ב–1952; סגל, לעיל ה"ש 162, בעמ' 141.</w:t>
      </w:r>
    </w:p>
  </w:footnote>
  <w:footnote w:id="190">
    <w:p>
      <w:pPr>
        <w:bidi/>
        <w:spacing w:after="40" w:line="240"/>
        <w:jc w:val="both"/>
      </w:pPr>
      <w:r>
        <w:rPr>
          <w:rStyle w:val="FootnoteReference"/>
        </w:rPr>
        <w:footnoteRef/>
      </w:r>
      <w:r>
        <w:rPr>
          <w:rFonts w:ascii="David" w:cs="David" w:eastAsia="David" w:hAnsi="David"/>
          <w:sz w:val="20"/>
          <w:szCs w:val="20"/>
          <w:rtl/>
        </w:rPr>
        <w:t xml:space="preserve"> ע"א 2394/18 </w:t>
      </w:r>
      <w:r>
        <w:rPr>
          <w:rFonts w:ascii="David" w:cs="David" w:eastAsia="David" w:hAnsi="David"/>
          <w:b/>
          <w:bCs/>
          <w:sz w:val="20"/>
          <w:szCs w:val="20"/>
          <w:rtl/>
        </w:rPr>
        <w:t xml:space="preserve">פלונים נ' משטרת ישראל</w:t>
      </w:r>
      <w:r>
        <w:rPr>
          <w:rFonts w:ascii="David" w:cs="David" w:eastAsia="David" w:hAnsi="David"/>
          <w:sz w:val="20"/>
          <w:szCs w:val="20"/>
          <w:rtl/>
        </w:rPr>
        <w:t xml:space="preserve"> (נבו 10.4.2019); סגל, לעיל ה"ש 162, בעמ' 209.</w:t>
      </w:r>
    </w:p>
  </w:footnote>
  <w:footnote w:id="191">
    <w:p>
      <w:pPr>
        <w:bidi/>
        <w:spacing w:after="40" w:line="240"/>
        <w:jc w:val="both"/>
      </w:pPr>
      <w:r>
        <w:rPr>
          <w:rStyle w:val="FootnoteReference"/>
        </w:rPr>
        <w:footnoteRef/>
      </w:r>
      <w:r>
        <w:rPr>
          <w:rFonts w:ascii="David" w:cs="David" w:eastAsia="David" w:hAnsi="David"/>
          <w:sz w:val="20"/>
          <w:szCs w:val="20"/>
          <w:rtl/>
        </w:rPr>
        <w:t xml:space="preserve"> גלעד, לעיל ה"ש 164, בעמ' 1062.</w:t>
      </w:r>
    </w:p>
  </w:footnote>
  <w:footnote w:id="192">
    <w:p>
      <w:pPr>
        <w:bidi/>
        <w:spacing w:after="40" w:line="240"/>
        <w:jc w:val="both"/>
      </w:pPr>
      <w:r>
        <w:rPr>
          <w:rStyle w:val="FootnoteReference"/>
        </w:rPr>
        <w:footnoteRef/>
      </w:r>
      <w:r>
        <w:rPr>
          <w:rFonts w:ascii="David" w:cs="David" w:eastAsia="David" w:hAnsi="David"/>
          <w:sz w:val="20"/>
          <w:szCs w:val="20"/>
          <w:rtl/>
        </w:rPr>
        <w:t xml:space="preserve"> דרומי, לעיל ה"ש 117, בעמ' 227.</w:t>
      </w:r>
    </w:p>
  </w:footnote>
  <w:footnote w:id="193">
    <w:p>
      <w:pPr>
        <w:bidi/>
        <w:spacing w:after="40" w:line="240"/>
        <w:jc w:val="both"/>
      </w:pPr>
      <w:r>
        <w:rPr>
          <w:rStyle w:val="FootnoteReference"/>
        </w:rPr>
        <w:footnoteRef/>
      </w:r>
      <w:r>
        <w:rPr>
          <w:rFonts w:ascii="David" w:cs="David" w:eastAsia="David" w:hAnsi="David"/>
          <w:sz w:val="20"/>
          <w:szCs w:val="20"/>
          <w:rtl/>
        </w:rPr>
        <w:t xml:space="preserve"> אהרן ברק </w:t>
      </w:r>
      <w:r>
        <w:rPr>
          <w:rFonts w:ascii="David" w:cs="David" w:eastAsia="David" w:hAnsi="David"/>
          <w:b/>
          <w:bCs/>
          <w:sz w:val="20"/>
          <w:szCs w:val="20"/>
          <w:rtl/>
        </w:rPr>
        <w:t xml:space="preserve">פרשנות במשפט</w:t>
      </w:r>
      <w:r>
        <w:rPr>
          <w:rFonts w:ascii="David" w:cs="David" w:eastAsia="David" w:hAnsi="David"/>
          <w:sz w:val="20"/>
          <w:szCs w:val="20"/>
          <w:rtl/>
        </w:rPr>
        <w:t xml:space="preserve"> כרך ג: פרשנות חוקתית 777 (1994).</w:t>
      </w:r>
    </w:p>
  </w:footnote>
  <w:footnote w:id="194">
    <w:p>
      <w:pPr>
        <w:bidi/>
        <w:spacing w:after="40" w:line="240"/>
        <w:jc w:val="both"/>
      </w:pPr>
      <w:r>
        <w:rPr>
          <w:rStyle w:val="FootnoteReference"/>
        </w:rPr>
        <w:footnoteRef/>
      </w:r>
      <w:r>
        <w:rPr>
          <w:rFonts w:ascii="David" w:cs="David" w:eastAsia="David" w:hAnsi="David"/>
          <w:sz w:val="20"/>
          <w:szCs w:val="20"/>
          <w:rtl/>
        </w:rPr>
        <w:t xml:space="preserve"> ע"א 337/81 </w:t>
      </w:r>
      <w:r>
        <w:rPr>
          <w:rFonts w:ascii="David" w:cs="David" w:eastAsia="David" w:hAnsi="David"/>
          <w:b/>
          <w:bCs/>
          <w:sz w:val="20"/>
          <w:szCs w:val="20"/>
          <w:rtl/>
        </w:rPr>
        <w:t xml:space="preserve">בוסקילה נ' מדינת ישראל</w:t>
      </w:r>
      <w:r>
        <w:rPr>
          <w:rFonts w:ascii="David" w:cs="David" w:eastAsia="David" w:hAnsi="David"/>
          <w:sz w:val="20"/>
          <w:szCs w:val="20"/>
          <w:rtl/>
        </w:rPr>
        <w:t xml:space="preserve">, פ"ד לח(3) 337 (1984); סגל, לעיל ה"ש 162, בעמ' 196.</w:t>
      </w:r>
    </w:p>
  </w:footnote>
  <w:footnote w:id="195">
    <w:p>
      <w:pPr>
        <w:bidi/>
        <w:spacing w:after="40" w:line="240"/>
        <w:jc w:val="both"/>
      </w:pPr>
      <w:r>
        <w:rPr>
          <w:rStyle w:val="FootnoteReference"/>
        </w:rPr>
        <w:footnoteRef/>
      </w:r>
      <w:r>
        <w:rPr>
          <w:rFonts w:ascii="David" w:cs="David" w:eastAsia="David" w:hAnsi="David"/>
          <w:sz w:val="20"/>
          <w:szCs w:val="20"/>
          <w:rtl/>
        </w:rPr>
        <w:t xml:space="preserve"> בג"ץ 5078/20 </w:t>
      </w:r>
      <w:r>
        <w:rPr>
          <w:rFonts w:ascii="David" w:cs="David" w:eastAsia="David" w:hAnsi="David"/>
          <w:b/>
          <w:bCs/>
          <w:sz w:val="20"/>
          <w:szCs w:val="20"/>
          <w:rtl/>
        </w:rPr>
        <w:t xml:space="preserve">פדידה נ' משטרת ישראל – מפקד מחוז ירושלים</w:t>
      </w:r>
      <w:r>
        <w:rPr>
          <w:rFonts w:ascii="David" w:cs="David" w:eastAsia="David" w:hAnsi="David"/>
          <w:sz w:val="20"/>
          <w:szCs w:val="20"/>
          <w:rtl/>
        </w:rPr>
        <w:t xml:space="preserve">, פסק דינה של השופטת וילנר (נבו 19.8.2020).</w:t>
      </w:r>
    </w:p>
  </w:footnote>
  <w:footnote w:id="196">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sz w:val="20"/>
          <w:szCs w:val="20"/>
          <w:rtl w:val="false"/>
        </w:rPr>
        <w:t xml:space="preserve">Macpherson Report‎</w:t>
      </w:r>
      <w:r>
        <w:rPr>
          <w:rFonts w:ascii="David" w:cs="David" w:eastAsia="David" w:hAnsi="David"/>
          <w:sz w:val="20"/>
          <w:szCs w:val="20"/>
          <w:rtl/>
        </w:rPr>
        <w:t xml:space="preserve">, לעיל ה"ש 171, בפס' 1.1-1.3.</w:t>
      </w:r>
    </w:p>
  </w:footnote>
  <w:footnote w:id="197">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sz w:val="20"/>
          <w:szCs w:val="20"/>
          <w:rtl w:val="false"/>
        </w:rPr>
        <w:t xml:space="preserve">HMICFRS‎</w:t>
      </w:r>
      <w:r>
        <w:rPr>
          <w:rFonts w:ascii="David" w:cs="David" w:eastAsia="David" w:hAnsi="David"/>
          <w:sz w:val="20"/>
          <w:szCs w:val="20"/>
          <w:rtl/>
        </w:rPr>
        <w:t xml:space="preserve">, לעיל ה"ש 175, בעמ' 5.</w:t>
      </w:r>
    </w:p>
  </w:footnote>
  <w:footnote w:id="198">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sz w:val="20"/>
          <w:szCs w:val="20"/>
          <w:rtl w:val="false"/>
        </w:rPr>
        <w:t xml:space="preserve">Hinkle et al.‎</w:t>
      </w:r>
      <w:r>
        <w:rPr>
          <w:rFonts w:ascii="David" w:cs="David" w:eastAsia="David" w:hAnsi="David"/>
          <w:sz w:val="20"/>
          <w:szCs w:val="20"/>
          <w:rtl/>
        </w:rPr>
        <w:t xml:space="preserve">, לעיל ה"ש 24, בס' 5.1, 5.5, 6.1.</w:t>
      </w:r>
    </w:p>
  </w:footnote>
  <w:footnote w:id="199">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sz w:val="20"/>
          <w:szCs w:val="20"/>
          <w:rtl w:val="false"/>
        </w:rPr>
        <w:t xml:space="preserve">Braga, Papachristos &amp; Hureau‎</w:t>
      </w:r>
      <w:r>
        <w:rPr>
          <w:rFonts w:ascii="David" w:cs="David" w:eastAsia="David" w:hAnsi="David"/>
          <w:sz w:val="20"/>
          <w:szCs w:val="20"/>
          <w:rtl/>
        </w:rPr>
        <w:t xml:space="preserve">, לעיל ה"ש 26, בעמ' </w:t>
      </w:r>
      <w:r>
        <w:rPr>
          <w:rFonts w:ascii="David" w:cs="David" w:eastAsia="David" w:hAnsi="David"/>
          <w:sz w:val="20"/>
          <w:szCs w:val="20"/>
          <w:rtl w:val="false"/>
        </w:rPr>
        <w:t xml:space="preserve">24-26; Braga, Weisburd &amp; Turchan‎</w:t>
      </w:r>
      <w:r>
        <w:rPr>
          <w:rFonts w:ascii="David" w:cs="David" w:eastAsia="David" w:hAnsi="David"/>
          <w:sz w:val="20"/>
          <w:szCs w:val="20"/>
          <w:rtl/>
        </w:rPr>
        <w:t xml:space="preserve">, לעיל ה"ש 27, בס' 2.6, 7.1.</w:t>
      </w:r>
    </w:p>
  </w:footnote>
  <w:footnote w:id="200">
    <w:p>
      <w:pPr>
        <w:bidi/>
        <w:spacing w:after="40" w:line="240"/>
        <w:jc w:val="both"/>
      </w:pPr>
      <w:r>
        <w:rPr>
          <w:rStyle w:val="FootnoteReference"/>
        </w:rPr>
        <w:footnoteRef/>
      </w:r>
      <w:r>
        <w:rPr>
          <w:rFonts w:ascii="David" w:cs="David" w:eastAsia="David" w:hAnsi="David"/>
          <w:sz w:val="20"/>
          <w:szCs w:val="20"/>
          <w:rtl/>
        </w:rPr>
        <w:t xml:space="preserve"> ויסבורד ואחרים "מיסוד שיטור מוכוון בעיות", לעיל ה"ש 5, בעמ' 161.</w:t>
      </w:r>
    </w:p>
  </w:footnote>
  <w:footnote w:id="201">
    <w:p>
      <w:pPr>
        <w:bidi/>
        <w:spacing w:after="40" w:line="240"/>
        <w:jc w:val="both"/>
      </w:pPr>
      <w:r>
        <w:rPr>
          <w:rStyle w:val="FootnoteReference"/>
        </w:rPr>
        <w:footnoteRef/>
      </w:r>
      <w:r>
        <w:rPr>
          <w:rFonts w:ascii="David" w:cs="David" w:eastAsia="David" w:hAnsi="David"/>
          <w:sz w:val="20"/>
          <w:szCs w:val="20"/>
          <w:rtl/>
        </w:rPr>
        <w:t xml:space="preserve"> חסייסי ואחרים "עבירות אלימות", לעיל ה"ש 130, בעמ' 248; ליטמנוביץ ואחרים, לעיל ה"ש 34, בעמ' 240.</w:t>
      </w:r>
    </w:p>
  </w:footnote>
  <w:footnote w:id="202">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sz w:val="20"/>
          <w:szCs w:val="20"/>
          <w:rtl w:val="false"/>
        </w:rPr>
        <w:t xml:space="preserve">Proactive Policing‎</w:t>
      </w:r>
      <w:r>
        <w:rPr>
          <w:rFonts w:ascii="David" w:cs="David" w:eastAsia="David" w:hAnsi="David"/>
          <w:sz w:val="20"/>
          <w:szCs w:val="20"/>
          <w:rtl/>
        </w:rPr>
        <w:t xml:space="preserve">, לעיל ה"ש 15, בעמ' 118, 301.</w:t>
      </w:r>
    </w:p>
  </w:footnote>
  <w:footnote w:id="203">
    <w:p>
      <w:pPr>
        <w:bidi/>
        <w:spacing w:after="40" w:line="240"/>
        <w:jc w:val="both"/>
      </w:pPr>
      <w:r>
        <w:rPr>
          <w:rStyle w:val="FootnoteReference"/>
        </w:rPr>
        <w:footnoteRef/>
      </w:r>
      <w:r>
        <w:rPr>
          <w:rFonts w:ascii="David" w:cs="David" w:eastAsia="David" w:hAnsi="David"/>
          <w:sz w:val="20"/>
          <w:szCs w:val="20"/>
          <w:rtl/>
        </w:rPr>
        <w:t xml:space="preserve"> שם, בעמ' 209-210.</w:t>
      </w:r>
    </w:p>
  </w:footnote>
  <w:footnote w:id="204">
    <w:p>
      <w:pPr>
        <w:bidi/>
        <w:spacing w:after="40" w:line="240"/>
        <w:jc w:val="both"/>
      </w:pPr>
      <w:r>
        <w:rPr>
          <w:rStyle w:val="FootnoteReference"/>
        </w:rPr>
        <w:footnoteRef/>
      </w:r>
      <w:r>
        <w:rPr>
          <w:rFonts w:ascii="David" w:cs="David" w:eastAsia="David" w:hAnsi="David"/>
          <w:sz w:val="20"/>
          <w:szCs w:val="20"/>
          <w:rtl/>
        </w:rPr>
        <w:t xml:space="preserve"> מבקר המדינה </w:t>
      </w:r>
      <w:r>
        <w:rPr>
          <w:rFonts w:ascii="David" w:cs="David" w:eastAsia="David" w:hAnsi="David"/>
          <w:b/>
          <w:bCs/>
          <w:sz w:val="20"/>
          <w:szCs w:val="20"/>
          <w:rtl/>
        </w:rPr>
        <w:t xml:space="preserve">דוח 2018</w:t>
      </w:r>
      <w:r>
        <w:rPr>
          <w:rFonts w:ascii="David" w:cs="David" w:eastAsia="David" w:hAnsi="David"/>
          <w:sz w:val="20"/>
          <w:szCs w:val="20"/>
          <w:rtl/>
        </w:rPr>
        <w:t xml:space="preserve">, לעיל ה"ש 1, בעמ' 5-4; חסייסי וליטמנוביץ, לעיל ה"ש 33, בעמ' 124.</w:t>
      </w:r>
    </w:p>
  </w:footnote>
  <w:footnote w:id="205">
    <w:p>
      <w:pPr>
        <w:bidi/>
        <w:spacing w:after="40" w:line="240"/>
        <w:jc w:val="both"/>
      </w:pPr>
      <w:r>
        <w:rPr>
          <w:rStyle w:val="FootnoteReference"/>
        </w:rPr>
        <w:footnoteRef/>
      </w:r>
      <w:r>
        <w:rPr>
          <w:rFonts w:ascii="David" w:cs="David" w:eastAsia="David" w:hAnsi="David"/>
          <w:sz w:val="20"/>
          <w:szCs w:val="20"/>
          <w:rtl/>
        </w:rPr>
        <w:t xml:space="preserve"> אלרן ואחרים, לעיל ה"ש 77, בעמ' 4-3.</w:t>
      </w:r>
    </w:p>
  </w:footnote>
  <w:footnote w:id="206">
    <w:p>
      <w:pPr>
        <w:bidi/>
        <w:spacing w:after="40" w:line="240"/>
        <w:jc w:val="both"/>
      </w:pPr>
      <w:r>
        <w:rPr>
          <w:rStyle w:val="FootnoteReference"/>
        </w:rPr>
        <w:footnoteRef/>
      </w:r>
      <w:r>
        <w:rPr>
          <w:rFonts w:ascii="David" w:cs="David" w:eastAsia="David" w:hAnsi="David"/>
          <w:sz w:val="20"/>
          <w:szCs w:val="20"/>
          <w:rtl/>
        </w:rPr>
        <w:t xml:space="preserve"> ויסבורד ואחרים "מיסוד שיטור מוכוון בעיות", לעיל ה"ש 5, בעמ' 163.</w:t>
      </w:r>
    </w:p>
  </w:footnote>
  <w:footnote w:id="207">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sz w:val="20"/>
          <w:szCs w:val="20"/>
          <w:rtl w:val="false"/>
        </w:rPr>
        <w:t xml:space="preserve">Eck &amp; Spelman‎</w:t>
      </w:r>
      <w:r>
        <w:rPr>
          <w:rFonts w:ascii="David" w:cs="David" w:eastAsia="David" w:hAnsi="David"/>
          <w:sz w:val="20"/>
          <w:szCs w:val="20"/>
          <w:rtl/>
        </w:rPr>
        <w:t xml:space="preserve">, לעיל ה"ש 23, בעמ' </w:t>
      </w:r>
      <w:r>
        <w:rPr>
          <w:rFonts w:ascii="David" w:cs="David" w:eastAsia="David" w:hAnsi="David"/>
          <w:sz w:val="20"/>
          <w:szCs w:val="20"/>
          <w:rtl w:val="false"/>
        </w:rPr>
        <w:t xml:space="preserve">xix.‎</w:t>
      </w:r>
    </w:p>
  </w:footnote>
  <w:footnote w:id="208">
    <w:p>
      <w:pPr>
        <w:bidi/>
        <w:spacing w:after="40" w:line="240"/>
        <w:jc w:val="both"/>
      </w:pPr>
      <w:r>
        <w:rPr>
          <w:rStyle w:val="FootnoteReference"/>
        </w:rPr>
        <w:footnoteRef/>
      </w:r>
      <w:r>
        <w:rPr>
          <w:rFonts w:ascii="David" w:cs="David" w:eastAsia="David" w:hAnsi="David"/>
          <w:sz w:val="20"/>
          <w:szCs w:val="20"/>
          <w:rtl/>
        </w:rPr>
        <w:t xml:space="preserve"> ליטמנוביץ ואחרים, לעיל ה"ש 34, בעמ' 238.</w:t>
      </w:r>
    </w:p>
  </w:footnote>
  <w:footnote w:id="209">
    <w:p>
      <w:pPr>
        <w:bidi/>
        <w:spacing w:after="40" w:line="240"/>
        <w:jc w:val="both"/>
      </w:pPr>
      <w:r>
        <w:rPr>
          <w:rStyle w:val="FootnoteReference"/>
        </w:rPr>
        <w:footnoteRef/>
      </w:r>
      <w:r>
        <w:rPr>
          <w:rFonts w:ascii="David" w:cs="David" w:eastAsia="David" w:hAnsi="David"/>
          <w:sz w:val="20"/>
          <w:szCs w:val="20"/>
          <w:rtl/>
        </w:rPr>
        <w:t xml:space="preserve"> שם, בעמ' 240.</w:t>
      </w:r>
    </w:p>
  </w:footnote>
  <w:footnote w:id="210">
    <w:p>
      <w:pPr>
        <w:bidi/>
        <w:spacing w:after="40" w:line="240"/>
        <w:jc w:val="both"/>
      </w:pPr>
      <w:r>
        <w:rPr>
          <w:rStyle w:val="FootnoteReference"/>
        </w:rPr>
        <w:footnoteRef/>
      </w:r>
      <w:r>
        <w:rPr>
          <w:rFonts w:ascii="David" w:cs="David" w:eastAsia="David" w:hAnsi="David"/>
          <w:sz w:val="20"/>
          <w:szCs w:val="20"/>
          <w:rtl w:val="false"/>
        </w:rPr>
        <w:t xml:space="preserve"> National Network for Safe Communities, Group Violence Intervention: An Implementation Guide 5 (2015).‎</w:t>
      </w:r>
    </w:p>
  </w:footnote>
  <w:footnote w:id="211">
    <w:p>
      <w:pPr>
        <w:bidi/>
        <w:spacing w:after="40" w:line="240"/>
        <w:jc w:val="both"/>
      </w:pPr>
      <w:r>
        <w:rPr>
          <w:rStyle w:val="FootnoteReference"/>
        </w:rPr>
        <w:footnoteRef/>
      </w:r>
      <w:r>
        <w:rPr>
          <w:rFonts w:ascii="David" w:cs="David" w:eastAsia="David" w:hAnsi="David"/>
          <w:sz w:val="20"/>
          <w:szCs w:val="20"/>
          <w:rtl/>
        </w:rPr>
        <w:t xml:space="preserve"> ליטמנוביץ ואחרים, לעיל ה"ש 34, בעמ' 227.</w:t>
      </w:r>
    </w:p>
  </w:footnote>
  <w:footnote w:id="212">
    <w:p>
      <w:pPr>
        <w:bidi/>
        <w:spacing w:after="40" w:line="240"/>
        <w:jc w:val="both"/>
      </w:pPr>
      <w:r>
        <w:rPr>
          <w:rStyle w:val="FootnoteReference"/>
        </w:rPr>
        <w:footnoteRef/>
      </w:r>
      <w:r>
        <w:rPr>
          <w:rFonts w:ascii="David" w:cs="David" w:eastAsia="David" w:hAnsi="David"/>
          <w:sz w:val="20"/>
          <w:szCs w:val="20"/>
          <w:rtl/>
        </w:rPr>
        <w:t xml:space="preserve"> ויסבורד ואחרים "מיסוד שיטור מוכוון בעיות", לעיל ה"ש 5, בעמ' 161.</w:t>
      </w:r>
    </w:p>
  </w:footnote>
  <w:footnote w:id="213">
    <w:p>
      <w:pPr>
        <w:bidi/>
        <w:spacing w:after="40" w:line="240"/>
        <w:jc w:val="both"/>
      </w:pPr>
      <w:r>
        <w:rPr>
          <w:rStyle w:val="FootnoteReference"/>
        </w:rPr>
        <w:footnoteRef/>
      </w:r>
      <w:r>
        <w:rPr>
          <w:rFonts w:ascii="David" w:cs="David" w:eastAsia="David" w:hAnsi="David"/>
          <w:sz w:val="20"/>
          <w:szCs w:val="20"/>
          <w:rtl/>
        </w:rPr>
        <w:t xml:space="preserve"> ליטמנוביץ ואחרים, לעיל ה"ש 34, בעמ' 242.</w:t>
      </w:r>
    </w:p>
  </w:footnote>
  <w:footnote w:id="214">
    <w:p>
      <w:pPr>
        <w:bidi/>
        <w:spacing w:after="40" w:line="240"/>
        <w:jc w:val="both"/>
      </w:pPr>
      <w:r>
        <w:rPr>
          <w:rStyle w:val="FootnoteReference"/>
        </w:rPr>
        <w:footnoteRef/>
      </w:r>
      <w:r>
        <w:rPr>
          <w:rFonts w:ascii="David" w:cs="David" w:eastAsia="David" w:hAnsi="David"/>
          <w:sz w:val="20"/>
          <w:szCs w:val="20"/>
          <w:rtl/>
        </w:rPr>
        <w:t xml:space="preserve"> מבקר המדינה </w:t>
      </w:r>
      <w:r>
        <w:rPr>
          <w:rFonts w:ascii="David" w:cs="David" w:eastAsia="David" w:hAnsi="David"/>
          <w:b/>
          <w:bCs/>
          <w:sz w:val="20"/>
          <w:szCs w:val="20"/>
          <w:rtl/>
        </w:rPr>
        <w:t xml:space="preserve">דוח 2018</w:t>
      </w:r>
      <w:r>
        <w:rPr>
          <w:rFonts w:ascii="David" w:cs="David" w:eastAsia="David" w:hAnsi="David"/>
          <w:sz w:val="20"/>
          <w:szCs w:val="20"/>
          <w:rtl/>
        </w:rPr>
        <w:t xml:space="preserve">, לעיל ה"ש 1, בעמ' 7-6.</w:t>
      </w:r>
    </w:p>
  </w:footnote>
  <w:footnote w:id="215">
    <w:p>
      <w:pPr>
        <w:bidi/>
        <w:spacing w:after="40" w:line="240"/>
        <w:jc w:val="both"/>
      </w:pPr>
      <w:r>
        <w:rPr>
          <w:rStyle w:val="FootnoteReference"/>
        </w:rPr>
        <w:footnoteRef/>
      </w:r>
      <w:r>
        <w:rPr>
          <w:rFonts w:ascii="David" w:cs="David" w:eastAsia="David" w:hAnsi="David"/>
          <w:sz w:val="20"/>
          <w:szCs w:val="20"/>
          <w:rtl/>
        </w:rPr>
        <w:t xml:space="preserve"> פדן, לעיל ה"ש 67, בעמ' 430 וה"ש 67.</w:t>
      </w:r>
    </w:p>
  </w:footnote>
  <w:footnote w:id="216">
    <w:p>
      <w:pPr>
        <w:bidi/>
        <w:spacing w:after="40" w:line="240"/>
        <w:jc w:val="both"/>
      </w:pPr>
      <w:r>
        <w:rPr>
          <w:rStyle w:val="FootnoteReference"/>
        </w:rPr>
        <w:footnoteRef/>
      </w:r>
      <w:r>
        <w:rPr>
          <w:rFonts w:ascii="David" w:cs="David" w:eastAsia="David" w:hAnsi="David"/>
          <w:sz w:val="20"/>
          <w:szCs w:val="20"/>
          <w:rtl/>
        </w:rPr>
        <w:t xml:space="preserve"> ויסבורד ואחרים "מיסוד שיטור מוכוון בעיות", לעיל ה"ש 5, בעמ' 156.</w:t>
      </w:r>
    </w:p>
  </w:footnote>
  <w:footnote w:id="217">
    <w:p>
      <w:pPr>
        <w:bidi/>
        <w:spacing w:after="40" w:line="240"/>
        <w:jc w:val="both"/>
      </w:pPr>
      <w:r>
        <w:rPr>
          <w:rStyle w:val="FootnoteReference"/>
        </w:rPr>
        <w:footnoteRef/>
      </w:r>
      <w:r>
        <w:rPr>
          <w:rFonts w:ascii="David" w:cs="David" w:eastAsia="David" w:hAnsi="David"/>
          <w:sz w:val="20"/>
          <w:szCs w:val="20"/>
          <w:rtl/>
        </w:rPr>
        <w:t xml:space="preserve"> יכימוביץ-כהן </w:t>
      </w:r>
      <w:r>
        <w:rPr>
          <w:rFonts w:ascii="David" w:cs="David" w:eastAsia="David" w:hAnsi="David"/>
          <w:b/>
          <w:bCs/>
          <w:sz w:val="20"/>
          <w:szCs w:val="20"/>
          <w:rtl/>
        </w:rPr>
        <w:t xml:space="preserve">צעירים ערבים</w:t>
      </w:r>
      <w:r>
        <w:rPr>
          <w:rFonts w:ascii="David" w:cs="David" w:eastAsia="David" w:hAnsi="David"/>
          <w:sz w:val="20"/>
          <w:szCs w:val="20"/>
          <w:rtl/>
        </w:rPr>
        <w:t xml:space="preserve">, לעיל ה"ש 7, בעמ' 3.</w:t>
      </w:r>
    </w:p>
  </w:footnote>
  <w:footnote w:id="218">
    <w:p>
      <w:pPr>
        <w:bidi/>
        <w:spacing w:after="40" w:line="240"/>
        <w:jc w:val="both"/>
      </w:pPr>
      <w:r>
        <w:rPr>
          <w:rStyle w:val="FootnoteReference"/>
        </w:rPr>
        <w:footnoteRef/>
      </w:r>
      <w:r>
        <w:rPr>
          <w:rFonts w:ascii="David" w:cs="David" w:eastAsia="David" w:hAnsi="David"/>
          <w:sz w:val="20"/>
          <w:szCs w:val="20"/>
          <w:rtl/>
        </w:rPr>
        <w:t xml:space="preserve"> מבקר המדינה </w:t>
      </w:r>
      <w:r>
        <w:rPr>
          <w:rFonts w:ascii="David" w:cs="David" w:eastAsia="David" w:hAnsi="David"/>
          <w:b/>
          <w:bCs/>
          <w:sz w:val="20"/>
          <w:szCs w:val="20"/>
          <w:rtl/>
        </w:rPr>
        <w:t xml:space="preserve">ביקורת מעקב 2021</w:t>
      </w:r>
      <w:r>
        <w:rPr>
          <w:rFonts w:ascii="David" w:cs="David" w:eastAsia="David" w:hAnsi="David"/>
          <w:sz w:val="20"/>
          <w:szCs w:val="20"/>
          <w:rtl/>
        </w:rPr>
        <w:t xml:space="preserve">, לעיל ה"ש 2, בעמ' 4.</w:t>
      </w:r>
    </w:p>
  </w:footnote>
  <w:footnote w:id="219">
    <w:p>
      <w:pPr>
        <w:bidi/>
        <w:spacing w:after="40" w:line="240"/>
        <w:jc w:val="both"/>
      </w:pPr>
      <w:r>
        <w:rPr>
          <w:rStyle w:val="FootnoteReference"/>
        </w:rPr>
        <w:footnoteRef/>
      </w:r>
      <w:r>
        <w:rPr>
          <w:rFonts w:ascii="David" w:cs="David" w:eastAsia="David" w:hAnsi="David"/>
          <w:sz w:val="20"/>
          <w:szCs w:val="20"/>
          <w:rtl/>
        </w:rPr>
        <w:t xml:space="preserve"> יכימוביץ-כהן </w:t>
      </w:r>
      <w:r>
        <w:rPr>
          <w:rFonts w:ascii="David" w:cs="David" w:eastAsia="David" w:hAnsi="David"/>
          <w:b/>
          <w:bCs/>
          <w:sz w:val="20"/>
          <w:szCs w:val="20"/>
          <w:rtl/>
        </w:rPr>
        <w:t xml:space="preserve">שיטור יתר</w:t>
      </w:r>
      <w:r>
        <w:rPr>
          <w:rFonts w:ascii="David" w:cs="David" w:eastAsia="David" w:hAnsi="David"/>
          <w:sz w:val="20"/>
          <w:szCs w:val="20"/>
          <w:rtl/>
        </w:rPr>
        <w:t xml:space="preserve">, לעיל ה"ש 3, בעמ' 4.</w:t>
      </w:r>
    </w:p>
  </w:footnote>
  <w:footnote w:id="220">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sz w:val="20"/>
          <w:szCs w:val="20"/>
          <w:rtl w:val="false"/>
        </w:rPr>
        <w:t xml:space="preserve">Goldstein‎</w:t>
      </w:r>
      <w:r>
        <w:rPr>
          <w:rFonts w:ascii="David" w:cs="David" w:eastAsia="David" w:hAnsi="David"/>
          <w:sz w:val="20"/>
          <w:szCs w:val="20"/>
          <w:rtl/>
        </w:rPr>
        <w:t xml:space="preserve">, לעיל ה"ש 9, בעמ' 236.</w:t>
      </w:r>
    </w:p>
  </w:footnote>
  <w:footnote w:id="221">
    <w:p>
      <w:pPr>
        <w:bidi/>
        <w:spacing w:after="40" w:line="240"/>
        <w:jc w:val="both"/>
      </w:pPr>
      <w:r>
        <w:rPr>
          <w:rStyle w:val="FootnoteReference"/>
        </w:rPr>
        <w:footnoteRef/>
      </w:r>
      <w:r>
        <w:rPr>
          <w:rFonts w:ascii="David" w:cs="David" w:eastAsia="David" w:hAnsi="David"/>
          <w:sz w:val="20"/>
          <w:szCs w:val="20"/>
          <w:rtl/>
        </w:rPr>
        <w:t xml:space="preserve"> ליטמנוביץ ואחרים, לעיל ה"ש 34, בעמ' 242.</w:t>
      </w:r>
    </w:p>
  </w:footnote>
  <w:footnote w:id="222">
    <w:p>
      <w:pPr>
        <w:bidi/>
        <w:spacing w:after="40" w:line="240"/>
        <w:jc w:val="both"/>
      </w:pPr>
      <w:r>
        <w:rPr>
          <w:rStyle w:val="FootnoteReference"/>
        </w:rPr>
        <w:footnoteRef/>
      </w:r>
      <w:r>
        <w:rPr>
          <w:rFonts w:ascii="David" w:cs="David" w:eastAsia="David" w:hAnsi="David"/>
          <w:sz w:val="20"/>
          <w:szCs w:val="20"/>
          <w:rtl/>
        </w:rPr>
        <w:t xml:space="preserve"> שם, בעמ' 243.</w:t>
      </w:r>
    </w:p>
  </w:footnote>
  <w:footnote w:id="223">
    <w:p>
      <w:pPr>
        <w:bidi/>
        <w:spacing w:after="40" w:line="240"/>
        <w:jc w:val="both"/>
      </w:pPr>
      <w:r>
        <w:rPr>
          <w:rStyle w:val="FootnoteReference"/>
        </w:rPr>
        <w:footnoteRef/>
      </w:r>
      <w:r>
        <w:rPr>
          <w:rFonts w:ascii="David" w:cs="David" w:eastAsia="David" w:hAnsi="David"/>
          <w:sz w:val="20"/>
          <w:szCs w:val="20"/>
          <w:rtl/>
        </w:rPr>
        <w:t xml:space="preserve"> יכימוביץ-כהן </w:t>
      </w:r>
      <w:r>
        <w:rPr>
          <w:rFonts w:ascii="David" w:cs="David" w:eastAsia="David" w:hAnsi="David"/>
          <w:b/>
          <w:bCs/>
          <w:sz w:val="20"/>
          <w:szCs w:val="20"/>
          <w:rtl/>
        </w:rPr>
        <w:t xml:space="preserve">צעירים ערבים</w:t>
      </w:r>
      <w:r>
        <w:rPr>
          <w:rFonts w:ascii="David" w:cs="David" w:eastAsia="David" w:hAnsi="David"/>
          <w:sz w:val="20"/>
          <w:szCs w:val="20"/>
          <w:rtl/>
        </w:rPr>
        <w:t xml:space="preserve">, לעיל ה"ש 7, בעמ' 6.</w:t>
      </w:r>
    </w:p>
  </w:footnote>
  <w:footnote w:id="224">
    <w:p>
      <w:pPr>
        <w:bidi/>
        <w:spacing w:after="40" w:line="240"/>
        <w:jc w:val="both"/>
      </w:pPr>
      <w:r>
        <w:rPr>
          <w:rStyle w:val="FootnoteReference"/>
        </w:rPr>
        <w:footnoteRef/>
      </w:r>
      <w:r>
        <w:rPr>
          <w:rFonts w:ascii="David" w:cs="David" w:eastAsia="David" w:hAnsi="David"/>
          <w:sz w:val="20"/>
          <w:szCs w:val="20"/>
          <w:rtl/>
        </w:rPr>
        <w:t xml:space="preserve"> אסף הרדוף "ויתור, הידברות, בג"ץ: שחרור חסמים בסדר הדין הפלילי, צמצום הכוח המנהלי והגברת הביקורת השיפוטית" </w:t>
      </w:r>
      <w:r>
        <w:rPr>
          <w:rFonts w:ascii="David" w:cs="David" w:eastAsia="David" w:hAnsi="David"/>
          <w:b/>
          <w:bCs/>
          <w:sz w:val="20"/>
          <w:szCs w:val="20"/>
          <w:rtl/>
        </w:rPr>
        <w:t xml:space="preserve">ספר אליקים רובינשטיין</w:t>
      </w:r>
      <w:r>
        <w:rPr>
          <w:rFonts w:ascii="David" w:cs="David" w:eastAsia="David" w:hAnsi="David"/>
          <w:sz w:val="20"/>
          <w:szCs w:val="20"/>
          <w:rtl/>
        </w:rPr>
        <w:t xml:space="preserve"> 1817, 1849 (מרים ביטון עורכת, 2020).</w:t>
      </w:r>
    </w:p>
  </w:footnote>
  <w:footnote w:id="225">
    <w:p>
      <w:pPr>
        <w:bidi/>
        <w:spacing w:after="40" w:line="240"/>
        <w:jc w:val="both"/>
      </w:pPr>
      <w:r>
        <w:rPr>
          <w:rStyle w:val="FootnoteReference"/>
        </w:rPr>
        <w:footnoteRef/>
      </w:r>
      <w:r>
        <w:rPr>
          <w:rFonts w:ascii="David" w:cs="David" w:eastAsia="David" w:hAnsi="David"/>
          <w:sz w:val="20"/>
          <w:szCs w:val="20"/>
          <w:rtl/>
        </w:rPr>
        <w:t xml:space="preserve"> חסייסי ואחרים "עמדות הציבור", לעיל ה"ש 142, בעמ' 304, 302.</w:t>
      </w:r>
    </w:p>
  </w:footnote>
  <w:footnote w:id="226">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sz w:val="20"/>
          <w:szCs w:val="20"/>
          <w:rtl w:val="false"/>
        </w:rPr>
        <w:t xml:space="preserve">Bell‎</w:t>
      </w:r>
      <w:r>
        <w:rPr>
          <w:rFonts w:ascii="David" w:cs="David" w:eastAsia="David" w:hAnsi="David"/>
          <w:sz w:val="20"/>
          <w:szCs w:val="20"/>
          <w:rtl/>
        </w:rPr>
        <w:t xml:space="preserve">, לעיל ה"ש 36, בעמ' 2054.</w:t>
      </w:r>
    </w:p>
  </w:footnote>
  <w:footnote w:id="227">
    <w:p>
      <w:pPr>
        <w:bidi/>
        <w:spacing w:after="40" w:line="240"/>
        <w:jc w:val="both"/>
      </w:pPr>
      <w:r>
        <w:rPr>
          <w:rStyle w:val="FootnoteReference"/>
        </w:rPr>
        <w:footnoteRef/>
      </w:r>
      <w:r>
        <w:rPr>
          <w:rFonts w:ascii="David" w:cs="David" w:eastAsia="David" w:hAnsi="David"/>
          <w:sz w:val="20"/>
          <w:szCs w:val="20"/>
          <w:rtl/>
        </w:rPr>
        <w:t xml:space="preserve"> עניין </w:t>
      </w:r>
      <w:r>
        <w:rPr>
          <w:rFonts w:ascii="David" w:cs="David" w:eastAsia="David" w:hAnsi="David"/>
          <w:b/>
          <w:bCs/>
          <w:sz w:val="20"/>
          <w:szCs w:val="20"/>
          <w:rtl/>
        </w:rPr>
        <w:t xml:space="preserve">טבקה</w:t>
      </w:r>
      <w:r>
        <w:rPr>
          <w:rFonts w:ascii="David" w:cs="David" w:eastAsia="David" w:hAnsi="David"/>
          <w:sz w:val="20"/>
          <w:szCs w:val="20"/>
          <w:rtl/>
        </w:rPr>
        <w:t xml:space="preserve">, לעיל ה"ש 14, בפס' 41 לפסק דינה של הנשיאה חיות.</w:t>
      </w:r>
    </w:p>
  </w:footnote>
  <w:footnote w:id="228">
    <w:p>
      <w:pPr>
        <w:bidi/>
        <w:spacing w:after="40" w:line="240"/>
        <w:jc w:val="both"/>
      </w:pPr>
      <w:r>
        <w:rPr>
          <w:rStyle w:val="FootnoteReference"/>
        </w:rPr>
        <w:footnoteRef/>
      </w:r>
      <w:r>
        <w:rPr>
          <w:rFonts w:ascii="David" w:cs="David" w:eastAsia="David" w:hAnsi="David"/>
          <w:sz w:val="20"/>
          <w:szCs w:val="20"/>
          <w:rtl/>
        </w:rPr>
        <w:t xml:space="preserve"> הרדוף "ויתור, הידברות, בג"ץ", לעיל ה"ש 224, בעמ' 1843.</w:t>
      </w:r>
    </w:p>
  </w:footnote>
  <w:footnote w:id="229">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sz w:val="20"/>
          <w:szCs w:val="20"/>
          <w:rtl w:val="false"/>
        </w:rPr>
        <w:t xml:space="preserve">PACE Code A‎</w:t>
      </w:r>
      <w:r>
        <w:rPr>
          <w:rFonts w:ascii="David" w:cs="David" w:eastAsia="David" w:hAnsi="David"/>
          <w:sz w:val="20"/>
          <w:szCs w:val="20"/>
          <w:rtl/>
        </w:rPr>
        <w:t xml:space="preserve">, לעיל ה"ש 147, בפס' </w:t>
      </w:r>
      <w:r>
        <w:rPr>
          <w:rFonts w:ascii="David" w:cs="David" w:eastAsia="David" w:hAnsi="David"/>
          <w:sz w:val="20"/>
          <w:szCs w:val="20"/>
          <w:rtl w:val="false"/>
        </w:rPr>
        <w:t xml:space="preserve">2.2B.‎</w:t>
      </w:r>
    </w:p>
  </w:footnote>
  <w:footnote w:id="230">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sz w:val="20"/>
          <w:szCs w:val="20"/>
          <w:rtl w:val="false"/>
        </w:rPr>
        <w:t xml:space="preserve">Macpherson Report‎</w:t>
      </w:r>
      <w:r>
        <w:rPr>
          <w:rFonts w:ascii="David" w:cs="David" w:eastAsia="David" w:hAnsi="David"/>
          <w:sz w:val="20"/>
          <w:szCs w:val="20"/>
          <w:rtl/>
        </w:rPr>
        <w:t xml:space="preserve">, לעיל ה"ש 171, בהמלצה 61.</w:t>
      </w:r>
    </w:p>
  </w:footnote>
  <w:footnote w:id="231">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sz w:val="20"/>
          <w:szCs w:val="20"/>
          <w:rtl w:val="false"/>
        </w:rPr>
        <w:t xml:space="preserve">PACE Code A‎</w:t>
      </w:r>
      <w:r>
        <w:rPr>
          <w:rFonts w:ascii="David" w:cs="David" w:eastAsia="David" w:hAnsi="David"/>
          <w:sz w:val="20"/>
          <w:szCs w:val="20"/>
          <w:rtl/>
        </w:rPr>
        <w:t xml:space="preserve">, לעיל ה"ש 147, בפס' 5.1.</w:t>
      </w:r>
    </w:p>
  </w:footnote>
  <w:footnote w:id="232">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i/>
          <w:iCs/>
          <w:sz w:val="20"/>
          <w:szCs w:val="20"/>
          <w:rtl w:val="false"/>
        </w:rPr>
        <w:t xml:space="preserve">Roberts‎</w:t>
      </w:r>
      <w:r>
        <w:rPr>
          <w:rFonts w:ascii="David" w:cs="David" w:eastAsia="David" w:hAnsi="David"/>
          <w:sz w:val="20"/>
          <w:szCs w:val="20"/>
          <w:rtl/>
        </w:rPr>
        <w:t xml:space="preserve">, לעיל ה"ש 173, בפס' 44-47.</w:t>
      </w:r>
    </w:p>
  </w:footnote>
  <w:footnote w:id="233">
    <w:p>
      <w:pPr>
        <w:bidi/>
        <w:spacing w:after="40" w:line="240"/>
        <w:jc w:val="both"/>
      </w:pPr>
      <w:r>
        <w:rPr>
          <w:rStyle w:val="FootnoteReference"/>
        </w:rPr>
        <w:footnoteRef/>
      </w:r>
      <w:r>
        <w:rPr>
          <w:rFonts w:ascii="David" w:cs="David" w:eastAsia="David" w:hAnsi="David"/>
          <w:sz w:val="20"/>
          <w:szCs w:val="20"/>
          <w:rtl/>
        </w:rPr>
        <w:t xml:space="preserve"> ויסבורד ואחרים "מיסוד שיטור מוכוון בעיות", לעיל ה"ש 5, בעמ' 158.</w:t>
      </w:r>
    </w:p>
  </w:footnote>
  <w:footnote w:id="234">
    <w:p>
      <w:pPr>
        <w:bidi/>
        <w:spacing w:after="40" w:line="240"/>
        <w:jc w:val="both"/>
      </w:pPr>
      <w:r>
        <w:rPr>
          <w:rStyle w:val="FootnoteReference"/>
        </w:rPr>
        <w:footnoteRef/>
      </w:r>
      <w:r>
        <w:rPr>
          <w:rFonts w:ascii="David" w:cs="David" w:eastAsia="David" w:hAnsi="David"/>
          <w:sz w:val="20"/>
          <w:szCs w:val="20"/>
          <w:rtl/>
        </w:rPr>
        <w:t xml:space="preserve"> רותם קדוש נוסבאום "פגיעה בזכויות אדם בשל שימוש משטרתי באמצעים טכנולוגיים למעקב ושיטור מנבא" </w:t>
      </w:r>
      <w:r>
        <w:rPr>
          <w:rFonts w:ascii="David" w:cs="David" w:eastAsia="David" w:hAnsi="David"/>
          <w:b/>
          <w:bCs/>
          <w:sz w:val="20"/>
          <w:szCs w:val="20"/>
          <w:rtl/>
        </w:rPr>
        <w:t xml:space="preserve">המשפט</w:t>
      </w:r>
      <w:r>
        <w:rPr>
          <w:rFonts w:ascii="David" w:cs="David" w:eastAsia="David" w:hAnsi="David"/>
          <w:sz w:val="20"/>
          <w:szCs w:val="20"/>
          <w:rtl/>
        </w:rPr>
        <w:t xml:space="preserve"> לא 79, 112 (התשפ"ו).</w:t>
      </w:r>
    </w:p>
  </w:footnote>
  <w:footnote w:id="235">
    <w:p>
      <w:pPr>
        <w:bidi/>
        <w:spacing w:after="40" w:line="240"/>
        <w:jc w:val="both"/>
      </w:pPr>
      <w:r>
        <w:rPr>
          <w:rStyle w:val="FootnoteReference"/>
        </w:rPr>
        <w:footnoteRef/>
      </w:r>
      <w:r>
        <w:rPr>
          <w:rFonts w:ascii="David" w:cs="David" w:eastAsia="David" w:hAnsi="David"/>
          <w:sz w:val="20"/>
          <w:szCs w:val="20"/>
          <w:rtl/>
        </w:rPr>
        <w:t xml:space="preserve"> פורום המרצות והמרצים, לעיל ה"ש 19, בעמ' 598.</w:t>
      </w:r>
    </w:p>
  </w:footnote>
  <w:footnote w:id="236">
    <w:p>
      <w:pPr>
        <w:bidi/>
        <w:spacing w:after="40" w:line="240"/>
        <w:jc w:val="both"/>
      </w:pPr>
      <w:r>
        <w:rPr>
          <w:rStyle w:val="FootnoteReference"/>
        </w:rPr>
        <w:footnoteRef/>
      </w:r>
      <w:r>
        <w:rPr>
          <w:rFonts w:ascii="David" w:cs="David" w:eastAsia="David" w:hAnsi="David"/>
          <w:sz w:val="20"/>
          <w:szCs w:val="20"/>
          <w:rtl w:val="false"/>
        </w:rPr>
        <w:t xml:space="preserve"> Kent Roach, ‎</w:t>
      </w:r>
      <w:r>
        <w:rPr>
          <w:rFonts w:ascii="David" w:cs="David" w:eastAsia="David" w:hAnsi="David"/>
          <w:i/>
          <w:iCs/>
          <w:sz w:val="20"/>
          <w:szCs w:val="20"/>
          <w:rtl w:val="false"/>
        </w:rPr>
        <w:t xml:space="preserve">Models of Civilian Police Review: The Objectives and Mechanisms of Legal and Political Regulation of the Police‎</w:t>
      </w:r>
      <w:r>
        <w:rPr>
          <w:rFonts w:ascii="David" w:cs="David" w:eastAsia="David" w:hAnsi="David"/>
          <w:sz w:val="20"/>
          <w:szCs w:val="20"/>
          <w:rtl/>
        </w:rPr>
        <w:t xml:space="preserve">, </w:t>
      </w:r>
      <w:r>
        <w:rPr>
          <w:rFonts w:ascii="David" w:cs="David" w:eastAsia="David" w:hAnsi="David"/>
          <w:sz w:val="20"/>
          <w:szCs w:val="20"/>
          <w:rtl w:val="false"/>
        </w:rPr>
        <w:t xml:space="preserve">61 CRIM. L.Q. 29 (2014)‎</w:t>
      </w:r>
      <w:r>
        <w:rPr>
          <w:rFonts w:ascii="David" w:cs="David" w:eastAsia="David" w:hAnsi="David"/>
          <w:sz w:val="20"/>
          <w:szCs w:val="20"/>
          <w:rtl/>
        </w:rPr>
        <w:t xml:space="preserve">, כמובא אצל פורום המרצות והמרצים, לעיל ה"ש 19, בעמ' 600.</w:t>
      </w:r>
    </w:p>
  </w:footnote>
  <w:footnote w:id="237">
    <w:p>
      <w:pPr>
        <w:bidi/>
        <w:spacing w:after="40" w:line="240"/>
        <w:jc w:val="both"/>
      </w:pPr>
      <w:r>
        <w:rPr>
          <w:rStyle w:val="FootnoteReference"/>
        </w:rPr>
        <w:footnoteRef/>
      </w:r>
      <w:r>
        <w:rPr>
          <w:rFonts w:ascii="David" w:cs="David" w:eastAsia="David" w:hAnsi="David"/>
          <w:sz w:val="20"/>
          <w:szCs w:val="20"/>
          <w:rtl w:val="false"/>
        </w:rPr>
        <w:t xml:space="preserve"> Stephen Halpern, ‎</w:t>
      </w:r>
      <w:r>
        <w:rPr>
          <w:rFonts w:ascii="David" w:cs="David" w:eastAsia="David" w:hAnsi="David"/>
          <w:i/>
          <w:iCs/>
          <w:sz w:val="20"/>
          <w:szCs w:val="20"/>
          <w:rtl w:val="false"/>
        </w:rPr>
        <w:t xml:space="preserve">Police Employee Organizations and Accountability Procedures in Three Cities: Some Reflections on Police Policy-Making‎</w:t>
      </w:r>
      <w:r>
        <w:rPr>
          <w:rFonts w:ascii="David" w:cs="David" w:eastAsia="David" w:hAnsi="David"/>
          <w:sz w:val="20"/>
          <w:szCs w:val="20"/>
          <w:rtl/>
        </w:rPr>
        <w:t xml:space="preserve">, </w:t>
      </w:r>
      <w:r>
        <w:rPr>
          <w:rFonts w:ascii="David" w:cs="David" w:eastAsia="David" w:hAnsi="David"/>
          <w:sz w:val="20"/>
          <w:szCs w:val="20"/>
          <w:rtl w:val="false"/>
        </w:rPr>
        <w:t xml:space="preserve">8 LAW &amp; SOC'Y REV. 561 (1974)‎</w:t>
      </w:r>
      <w:r>
        <w:rPr>
          <w:rFonts w:ascii="David" w:cs="David" w:eastAsia="David" w:hAnsi="David"/>
          <w:sz w:val="20"/>
          <w:szCs w:val="20"/>
          <w:rtl/>
        </w:rPr>
        <w:t xml:space="preserve">, כמובא אצל נעמי לבנקרון "'אהיה אני המרטין לותר קינג של המשטרה': איסור ההתארגנות על השוטרים בישראל והשפעתו על זכויותיהם כעובדים" </w:t>
      </w:r>
      <w:r>
        <w:rPr>
          <w:rFonts w:ascii="David" w:cs="David" w:eastAsia="David" w:hAnsi="David"/>
          <w:b/>
          <w:bCs/>
          <w:sz w:val="20"/>
          <w:szCs w:val="20"/>
          <w:rtl/>
        </w:rPr>
        <w:t xml:space="preserve">עבודה, חברה ומשפט</w:t>
      </w:r>
      <w:r>
        <w:rPr>
          <w:rFonts w:ascii="David" w:cs="David" w:eastAsia="David" w:hAnsi="David"/>
          <w:sz w:val="20"/>
          <w:szCs w:val="20"/>
          <w:rtl/>
        </w:rPr>
        <w:t xml:space="preserve"> טז 27, 35 (2020).</w:t>
      </w:r>
    </w:p>
  </w:footnote>
  <w:footnote w:id="238">
    <w:p>
      <w:pPr>
        <w:bidi/>
        <w:spacing w:after="40" w:line="240"/>
        <w:jc w:val="both"/>
      </w:pPr>
      <w:r>
        <w:rPr>
          <w:rStyle w:val="FootnoteReference"/>
        </w:rPr>
        <w:footnoteRef/>
      </w:r>
      <w:r>
        <w:rPr>
          <w:rFonts w:ascii="David" w:cs="David" w:eastAsia="David" w:hAnsi="David"/>
          <w:sz w:val="20"/>
          <w:szCs w:val="20"/>
          <w:rtl/>
        </w:rPr>
        <w:t xml:space="preserve"> ס' 7 לחוק-יסוד: כבוד האדם וחירותו; חוק הגנת הפרטיות, התשמ"א–1981.</w:t>
      </w:r>
    </w:p>
  </w:footnote>
  <w:footnote w:id="239">
    <w:p>
      <w:pPr>
        <w:bidi/>
        <w:spacing w:after="40" w:line="240"/>
        <w:jc w:val="both"/>
      </w:pPr>
      <w:r>
        <w:rPr>
          <w:rStyle w:val="FootnoteReference"/>
        </w:rPr>
        <w:footnoteRef/>
      </w:r>
      <w:r>
        <w:rPr>
          <w:rFonts w:ascii="David" w:cs="David" w:eastAsia="David" w:hAnsi="David"/>
          <w:sz w:val="20"/>
          <w:szCs w:val="20"/>
          <w:rtl/>
        </w:rPr>
        <w:t xml:space="preserve"> הרדוף "ויתור, הידברות, בג"ץ", לעיל ה"ש 224, בעמ' 1844.</w:t>
      </w:r>
    </w:p>
  </w:footnote>
  <w:footnote w:id="240">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sz w:val="20"/>
          <w:szCs w:val="20"/>
          <w:rtl w:val="false"/>
        </w:rPr>
        <w:t xml:space="preserve">Sunshine &amp; Tyler‎</w:t>
      </w:r>
      <w:r>
        <w:rPr>
          <w:rFonts w:ascii="David" w:cs="David" w:eastAsia="David" w:hAnsi="David"/>
          <w:sz w:val="20"/>
          <w:szCs w:val="20"/>
          <w:rtl/>
        </w:rPr>
        <w:t xml:space="preserve">, לעיל ה"ש 11, בעמ' 513.</w:t>
      </w:r>
    </w:p>
  </w:footnote>
  <w:footnote w:id="241">
    <w:p>
      <w:pPr>
        <w:bidi/>
        <w:spacing w:after="40" w:line="240"/>
        <w:jc w:val="both"/>
      </w:pPr>
      <w:r>
        <w:rPr>
          <w:rStyle w:val="FootnoteReference"/>
        </w:rPr>
        <w:footnoteRef/>
      </w:r>
      <w:r>
        <w:rPr>
          <w:rFonts w:ascii="David" w:cs="David" w:eastAsia="David" w:hAnsi="David"/>
          <w:sz w:val="20"/>
          <w:szCs w:val="20"/>
          <w:rtl/>
        </w:rPr>
        <w:t xml:space="preserve"> </w:t>
      </w:r>
      <w:r>
        <w:rPr>
          <w:rFonts w:ascii="David" w:cs="David" w:eastAsia="David" w:hAnsi="David"/>
          <w:sz w:val="20"/>
          <w:szCs w:val="20"/>
          <w:rtl w:val="false"/>
        </w:rPr>
        <w:t xml:space="preserve">Skogan‎</w:t>
      </w:r>
      <w:r>
        <w:rPr>
          <w:rFonts w:ascii="David" w:cs="David" w:eastAsia="David" w:hAnsi="David"/>
          <w:sz w:val="20"/>
          <w:szCs w:val="20"/>
          <w:rtl/>
        </w:rPr>
        <w:t xml:space="preserve">, לעיל ה"ש 40, בעמ' 112-113, 117-118.</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righ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outlineLvl w:val="0"/>
    </w:pPr>
    <w:rPr>
      <w:rFonts w:ascii="David" w:cs="David" w:eastAsia="David" w:hAnsi="David"/>
      <w:b/>
      <w:bCs/>
      <w:sz w:val="32"/>
      <w:szCs w:val="32"/>
    </w:rPr>
  </w:style>
  <w:style w:type="paragraph" w:styleId="Heading2">
    <w:name w:val="Heading 2"/>
    <w:basedOn w:val="Normal"/>
    <w:next w:val="Normal"/>
    <w:qFormat/>
    <w:pPr>
      <w:bidi/>
      <w:outlineLvl w:val="1"/>
    </w:pPr>
    <w:rPr>
      <w:rFonts w:ascii="David" w:cs="David" w:eastAsia="David" w:hAnsi="David"/>
      <w:b/>
      <w:bCs/>
      <w:sz w:val="28"/>
      <w:szCs w:val="28"/>
    </w:rPr>
  </w:style>
  <w:style w:type="paragraph" w:styleId="Heading3">
    <w:name w:val="Heading 3"/>
    <w:basedOn w:val="Normal"/>
    <w:next w:val="Normal"/>
    <w:qFormat/>
    <w:pPr>
      <w:bidi/>
      <w:outlineLvl w:val="2"/>
    </w:pPr>
    <w:rPr>
      <w:rFonts w:ascii="David" w:cs="David" w:eastAsia="David" w:hAnsi="David"/>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2026-09-25T20:51:12.285Z</dcterms:created>
  <dcterms:modified xsi:type="dcterms:W3CDTF">2026-09-25T20:51:12.286Z</dcterms:modified>
</cp:coreProperties>
</file>

<file path=docProps/custom.xml><?xml version="1.0" encoding="utf-8"?>
<Properties xmlns="http://schemas.openxmlformats.org/officeDocument/2006/custom-properties" xmlns:vt="http://schemas.openxmlformats.org/officeDocument/2006/docPropsVTypes"/>
</file>