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bidi/>
        <w:spacing w:after="200"/>
        <w:jc w:val="center"/>
      </w:pPr>
      <w:r>
        <w:rPr>
          <w:rFonts w:ascii="David" w:cs="David" w:eastAsia="David" w:hAnsi="David"/>
          <w:b/>
          <w:bCs/>
          <w:sz w:val="32"/>
          <w:szCs w:val="32"/>
          <w:rtl/>
        </w:rPr>
        <w:t xml:space="preserve">עבודה בקורס: העברית לתקופותיה — תולדות הלשון העברית</w:t>
      </w:r>
    </w:p>
    <w:p>
      <w:pPr>
        <w:bidi/>
        <w:spacing w:after="160"/>
        <w:jc w:val="center"/>
      </w:pPr>
      <w:r>
        <w:rPr>
          <w:rFonts w:ascii="David" w:cs="David" w:eastAsia="David" w:hAnsi="David"/>
          <w:b/>
          <w:bCs/>
          <w:sz w:val="40"/>
          <w:szCs w:val="40"/>
          <w:rtl/>
        </w:rPr>
        <w:t xml:space="preserve">מאפייני הלשון המקראית בעשרים הפסוקים הראשונים</w:t>
      </w:r>
    </w:p>
    <w:p>
      <w:pPr>
        <w:bidi/>
        <w:spacing w:after="600"/>
        <w:jc w:val="center"/>
      </w:pPr>
      <w:r>
        <w:rPr>
          <w:rFonts w:ascii="David" w:cs="David" w:eastAsia="David" w:hAnsi="David"/>
          <w:b/>
          <w:bCs/>
          <w:sz w:val="40"/>
          <w:szCs w:val="40"/>
          <w:rtl/>
        </w:rPr>
        <w:t xml:space="preserve">של מגילת רות (פרק א, פסוקים א–כ)</w:t>
      </w:r>
    </w:p>
    <w:p>
      <w:pPr>
        <w:bidi/>
        <w:spacing w:after="120"/>
        <w:jc w:val="center"/>
      </w:pPr>
      <w:r>
        <w:rPr>
          <w:rFonts w:ascii="David" w:cs="David" w:eastAsia="David" w:hAnsi="David"/>
          <w:i/>
          <w:iCs/>
          <w:sz w:val="26"/>
          <w:szCs w:val="26"/>
          <w:rtl/>
        </w:rPr>
        <w:t xml:space="preserve">ניתוח לשוני: כתיב · דקדוק · מילון — בהשוואה לעברית בת-ימינו</w:t>
      </w:r>
    </w:p>
    <w:p>
      <w:r>
        <w:br w:type="page"/>
      </w:r>
    </w:p>
    <w:p>
      <w:pPr>
        <w:pStyle w:val="Heading1"/>
        <w:bidi/>
        <w:spacing w:after="160" w:before="300"/>
        <w:jc w:val="right"/>
      </w:pPr>
      <w:r>
        <w:rPr>
          <w:rFonts w:ascii="David" w:cs="David" w:eastAsia="David" w:hAnsi="David"/>
          <w:b/>
          <w:bCs/>
          <w:sz w:val="30"/>
          <w:szCs w:val="30"/>
          <w:rtl/>
        </w:rPr>
        <w:t xml:space="preserve">מבוא</w:t>
      </w:r>
    </w:p>
    <w:p>
      <w:pPr>
        <w:bidi/>
        <w:spacing w:after="120" w:line="320"/>
        <w:jc w:val="both"/>
      </w:pPr>
      <w:r>
        <w:rPr>
          <w:rFonts w:ascii="David" w:cs="David" w:eastAsia="David" w:hAnsi="David"/>
          <w:sz w:val="24"/>
          <w:szCs w:val="24"/>
          <w:rtl/>
        </w:rPr>
        <w:t xml:space="preserve">מגילת רות נמנית עם היצירות המשתייכות ל</w:t>
      </w:r>
      <w:r>
        <w:rPr>
          <w:rFonts w:ascii="David" w:cs="David" w:eastAsia="David" w:hAnsi="David"/>
          <w:b/>
          <w:bCs/>
          <w:sz w:val="24"/>
          <w:szCs w:val="24"/>
          <w:rtl/>
        </w:rPr>
        <w:t xml:space="preserve">עברית המקראית הקלאסית</w:t>
      </w:r>
      <w:r>
        <w:rPr>
          <w:rFonts w:ascii="David" w:cs="David" w:eastAsia="David" w:hAnsi="David"/>
          <w:sz w:val="24"/>
          <w:szCs w:val="24"/>
          <w:rtl/>
        </w:rPr>
        <w:t xml:space="preserve"> („תור הזהב”, עד חורבן בית ראשון), אף שזמן חיבורה הסופי נתון במחלוקת בין החוקרים. לשונה מדגימה היטב את מאפייני הפרוזה הסיפורית המקראית: מערכת פועל המושתתת על </w:t>
      </w:r>
      <w:r>
        <w:rPr>
          <w:rFonts w:ascii="David" w:cs="David" w:eastAsia="David" w:hAnsi="David"/>
          <w:b/>
          <w:bCs/>
          <w:sz w:val="24"/>
          <w:szCs w:val="24"/>
          <w:rtl/>
        </w:rPr>
        <w:t xml:space="preserve">וי“ו ההיפוך</w:t>
      </w:r>
      <w:r>
        <w:rPr>
          <w:rFonts w:ascii="David" w:cs="David" w:eastAsia="David" w:hAnsi="David"/>
          <w:sz w:val="24"/>
          <w:szCs w:val="24"/>
          <w:rtl/>
        </w:rPr>
        <w:t xml:space="preserve">, שימוש נרחב ב</w:t>
      </w:r>
      <w:r>
        <w:rPr>
          <w:rFonts w:ascii="David" w:cs="David" w:eastAsia="David" w:hAnsi="David"/>
          <w:b/>
          <w:bCs/>
          <w:sz w:val="24"/>
          <w:szCs w:val="24"/>
          <w:rtl/>
        </w:rPr>
        <w:t xml:space="preserve">צורות המקור</w:t>
      </w:r>
      <w:r>
        <w:rPr>
          <w:rFonts w:ascii="David" w:cs="David" w:eastAsia="David" w:hAnsi="David"/>
          <w:sz w:val="24"/>
          <w:szCs w:val="24"/>
          <w:rtl/>
        </w:rPr>
        <w:t xml:space="preserve"> להבעת פסוקיות זמן ותכלית, וכתיב חסר האופייני לרוב ספרי המקרא.</w:t>
      </w:r>
      <w:r>
        <w:rPr>
          <w:rStyle w:val="FootnoteReference"/>
        </w:rPr>
        <w:footnoteReference w:id="1"/>
      </w:r>
    </w:p>
    <w:p>
      <w:pPr>
        <w:bidi/>
        <w:spacing w:after="120" w:line="320"/>
        <w:jc w:val="both"/>
      </w:pPr>
      <w:r>
        <w:rPr>
          <w:rFonts w:ascii="David" w:cs="David" w:eastAsia="David" w:hAnsi="David"/>
          <w:sz w:val="24"/>
          <w:szCs w:val="24"/>
          <w:rtl/>
        </w:rPr>
        <w:t xml:space="preserve">עבודה זו בוחנת את עשרים הפסוקים הראשונים של פרק א ומחלקת את הדיון לשלושה חלקים, כמתבקש: (א) </w:t>
      </w:r>
      <w:r>
        <w:rPr>
          <w:rFonts w:ascii="David" w:cs="David" w:eastAsia="David" w:hAnsi="David"/>
          <w:b/>
          <w:bCs/>
          <w:sz w:val="24"/>
          <w:szCs w:val="24"/>
          <w:rtl/>
        </w:rPr>
        <w:t xml:space="preserve">כתיב</w:t>
      </w:r>
      <w:r>
        <w:rPr>
          <w:rFonts w:ascii="David" w:cs="David" w:eastAsia="David" w:hAnsi="David"/>
          <w:sz w:val="24"/>
          <w:szCs w:val="24"/>
          <w:rtl/>
        </w:rPr>
        <w:t xml:space="preserve"> — איתור מילים בכתיב האופייני למקרא והשוואתן לכתיב הנהוג היום; (ב) </w:t>
      </w:r>
      <w:r>
        <w:rPr>
          <w:rFonts w:ascii="David" w:cs="David" w:eastAsia="David" w:hAnsi="David"/>
          <w:b/>
          <w:bCs/>
          <w:sz w:val="24"/>
          <w:szCs w:val="24"/>
          <w:rtl/>
        </w:rPr>
        <w:t xml:space="preserve">דקדוק</w:t>
      </w:r>
      <w:r>
        <w:rPr>
          <w:rFonts w:ascii="David" w:cs="David" w:eastAsia="David" w:hAnsi="David"/>
          <w:sz w:val="24"/>
          <w:szCs w:val="24"/>
          <w:rtl/>
        </w:rPr>
        <w:t xml:space="preserve"> — ניתוח פסוק-אחר-פסוק של מאפייני הדקדוק המקראי (מערכת הזמנים, צורות המקור, נטיית הפועל והבניינים, פסוקיות זמן/אופן בצורות מקור, וי“ו החיבור כסימן פיסוק, ופועל בגוף נסתר כנושא סתמי); (ג) </w:t>
      </w:r>
      <w:r>
        <w:rPr>
          <w:rFonts w:ascii="David" w:cs="David" w:eastAsia="David" w:hAnsi="David"/>
          <w:b/>
          <w:bCs/>
          <w:sz w:val="24"/>
          <w:szCs w:val="24"/>
          <w:rtl/>
        </w:rPr>
        <w:t xml:space="preserve">מילון</w:t>
      </w:r>
      <w:r>
        <w:rPr>
          <w:rFonts w:ascii="David" w:cs="David" w:eastAsia="David" w:hAnsi="David"/>
          <w:sz w:val="24"/>
          <w:szCs w:val="24"/>
          <w:rtl/>
        </w:rPr>
        <w:t xml:space="preserve"> — מילים ופעלים שמשמעותם או שכיחותם בעברית בת-ימינו שונה מזו שבמקרא. בכל פרט נערכת השוואה לעברית המודרנית, ומצוינים מראי מקום בהערות שוליים וברשימה הביבליוגרפית.</w:t>
      </w:r>
    </w:p>
    <w:p>
      <w:pPr>
        <w:bidi/>
        <w:spacing w:after="120" w:line="320"/>
        <w:jc w:val="both"/>
      </w:pPr>
      <w:r>
        <w:rPr>
          <w:rFonts w:ascii="David" w:cs="David" w:eastAsia="David" w:hAnsi="David"/>
          <w:i/>
          <w:iCs/>
          <w:sz w:val="22"/>
          <w:szCs w:val="22"/>
          <w:rtl/>
        </w:rPr>
        <w:t xml:space="preserve">הערה מתודית: הפרק נבחר משום עושרו הלשוני; אם מבוקש פרק אחר מן הרשימה (יהושע, שופטים, שמואל, מלכים, יונה, אסתר), אפשר להסב את המתכונת שלהלן אליו.</w:t>
      </w:r>
    </w:p>
    <w:p>
      <w:r>
        <w:br w:type="page"/>
      </w:r>
    </w:p>
    <w:p>
      <w:pPr>
        <w:pStyle w:val="Heading1"/>
        <w:bidi/>
        <w:spacing w:after="160" w:before="300"/>
        <w:jc w:val="right"/>
      </w:pPr>
      <w:r>
        <w:rPr>
          <w:rFonts w:ascii="David" w:cs="David" w:eastAsia="David" w:hAnsi="David"/>
          <w:b/>
          <w:bCs/>
          <w:sz w:val="30"/>
          <w:szCs w:val="30"/>
          <w:rtl/>
        </w:rPr>
        <w:t xml:space="preserve">חלק א: כתיב (אורתוגרפיה)</w:t>
      </w:r>
    </w:p>
    <w:p>
      <w:pPr>
        <w:bidi/>
        <w:spacing w:after="120" w:line="320"/>
        <w:jc w:val="both"/>
      </w:pPr>
      <w:r>
        <w:rPr>
          <w:rFonts w:ascii="David" w:cs="David" w:eastAsia="David" w:hAnsi="David"/>
          <w:sz w:val="24"/>
          <w:szCs w:val="24"/>
          <w:rtl/>
        </w:rPr>
        <w:t xml:space="preserve">הכתיב המקראי נוטה ל</w:t>
      </w:r>
      <w:r>
        <w:rPr>
          <w:rFonts w:ascii="David" w:cs="David" w:eastAsia="David" w:hAnsi="David"/>
          <w:b/>
          <w:bCs/>
          <w:sz w:val="24"/>
          <w:szCs w:val="24"/>
          <w:rtl/>
        </w:rPr>
        <w:t xml:space="preserve">כתיב חסר</w:t>
      </w:r>
      <w:r>
        <w:rPr>
          <w:rFonts w:ascii="David" w:cs="David" w:eastAsia="David" w:hAnsi="David"/>
          <w:sz w:val="24"/>
          <w:szCs w:val="24"/>
          <w:rtl/>
        </w:rPr>
        <w:t xml:space="preserve"> — היעדר אימות קריאה (בעיקר וי“ו לציון תנועת o/u ויו“ד לציון i/e) במקומות שבהם העברית בת-ימינו נוקטת </w:t>
      </w:r>
      <w:r>
        <w:rPr>
          <w:rFonts w:ascii="David" w:cs="David" w:eastAsia="David" w:hAnsi="David"/>
          <w:b/>
          <w:bCs/>
          <w:sz w:val="24"/>
          <w:szCs w:val="24"/>
          <w:rtl/>
        </w:rPr>
        <w:t xml:space="preserve">כתיב מלא</w:t>
      </w:r>
      <w:r>
        <w:rPr>
          <w:rFonts w:ascii="David" w:cs="David" w:eastAsia="David" w:hAnsi="David"/>
          <w:sz w:val="24"/>
          <w:szCs w:val="24"/>
          <w:rtl/>
        </w:rPr>
        <w:t xml:space="preserve"> (כללי הכתיב חסר-הניקוד של האקדמיה ללשון). להלן חמש מילים מן הפרק בכתיב האופייני למקרא, בהשוואה לכתיב הרווח היום:</w:t>
      </w:r>
      <w:r>
        <w:rPr>
          <w:rStyle w:val="FootnoteReference"/>
        </w:rPr>
        <w:footnoteReference w:id="2"/>
      </w:r>
    </w:p>
    <w:p>
      <w:pPr>
        <w:pStyle w:val="ListParagraph"/>
        <w:numPr>
          <w:ilvl w:val="0"/>
          <w:numId w:val="2"/>
        </w:numPr>
        <w:bidi/>
        <w:spacing w:after="80" w:line="300"/>
        <w:jc w:val="both"/>
      </w:pPr>
      <w:r>
        <w:rPr>
          <w:rFonts w:ascii="David" w:cs="David" w:eastAsia="David" w:hAnsi="David"/>
          <w:b/>
          <w:bCs/>
          <w:sz w:val="24"/>
          <w:szCs w:val="24"/>
          <w:rtl/>
        </w:rPr>
        <w:t xml:space="preserve">1. </w:t>
      </w:r>
      <w:r>
        <w:rPr>
          <w:rFonts w:ascii="David" w:cs="David" w:eastAsia="David" w:hAnsi="David"/>
          <w:b/>
          <w:bCs/>
          <w:sz w:val="24"/>
          <w:szCs w:val="24"/>
          <w:rtl/>
        </w:rPr>
        <w:t xml:space="preserve">שְׁפֹט</w:t>
      </w:r>
      <w:r>
        <w:rPr>
          <w:rFonts w:ascii="David" w:cs="David" w:eastAsia="David" w:hAnsi="David"/>
          <w:sz w:val="24"/>
          <w:szCs w:val="24"/>
          <w:rtl/>
        </w:rPr>
        <w:t xml:space="preserve"> (פס׳ א) — </w:t>
      </w:r>
      <w:r>
        <w:rPr>
          <w:rFonts w:ascii="David" w:cs="David" w:eastAsia="David" w:hAnsi="David"/>
          <w:sz w:val="24"/>
          <w:szCs w:val="24"/>
          <w:rtl/>
        </w:rPr>
        <w:t xml:space="preserve">כתיב מקראי (חסר). </w:t>
      </w:r>
      <w:r>
        <w:rPr>
          <w:rFonts w:ascii="David" w:cs="David" w:eastAsia="David" w:hAnsi="David"/>
          <w:b/>
          <w:bCs/>
          <w:sz w:val="24"/>
          <w:szCs w:val="24"/>
          <w:rtl/>
        </w:rPr>
        <w:t xml:space="preserve">בעברית בת-ימינו: </w:t>
      </w:r>
      <w:r>
        <w:rPr>
          <w:rFonts w:ascii="David" w:cs="David" w:eastAsia="David" w:hAnsi="David"/>
          <w:b/>
          <w:bCs/>
          <w:sz w:val="24"/>
          <w:szCs w:val="24"/>
          <w:rtl/>
        </w:rPr>
        <w:t xml:space="preserve">שְׁפוֹט</w:t>
      </w:r>
      <w:r>
        <w:rPr>
          <w:rFonts w:ascii="David" w:cs="David" w:eastAsia="David" w:hAnsi="David"/>
          <w:sz w:val="24"/>
          <w:szCs w:val="24"/>
          <w:rtl/>
        </w:rPr>
        <w:t xml:space="preserve">. </w:t>
      </w:r>
      <w:r>
        <w:rPr>
          <w:rFonts w:ascii="David" w:cs="David" w:eastAsia="David" w:hAnsi="David"/>
          <w:sz w:val="24"/>
          <w:szCs w:val="24"/>
          <w:rtl/>
        </w:rPr>
        <w:t xml:space="preserve">מקור נטוי בכתיב חסר: החולם מסומן בקמץ-חטוף/חולם חסר בלא וי״ו. בימינו: שְׁפוֹט (וי״ו אם קריאה).</w:t>
      </w:r>
    </w:p>
    <w:p>
      <w:pPr>
        <w:pStyle w:val="ListParagraph"/>
        <w:numPr>
          <w:ilvl w:val="0"/>
          <w:numId w:val="2"/>
        </w:numPr>
        <w:bidi/>
        <w:spacing w:after="80" w:line="300"/>
        <w:jc w:val="both"/>
      </w:pPr>
      <w:r>
        <w:rPr>
          <w:rFonts w:ascii="David" w:cs="David" w:eastAsia="David" w:hAnsi="David"/>
          <w:b/>
          <w:bCs/>
          <w:sz w:val="24"/>
          <w:szCs w:val="24"/>
          <w:rtl/>
        </w:rPr>
        <w:t xml:space="preserve">2. </w:t>
      </w:r>
      <w:r>
        <w:rPr>
          <w:rFonts w:ascii="David" w:cs="David" w:eastAsia="David" w:hAnsi="David"/>
          <w:b/>
          <w:bCs/>
          <w:sz w:val="24"/>
          <w:szCs w:val="24"/>
          <w:rtl/>
        </w:rPr>
        <w:t xml:space="preserve">הַשֹּׁפְטִים</w:t>
      </w:r>
      <w:r>
        <w:rPr>
          <w:rFonts w:ascii="David" w:cs="David" w:eastAsia="David" w:hAnsi="David"/>
          <w:sz w:val="24"/>
          <w:szCs w:val="24"/>
          <w:rtl/>
        </w:rPr>
        <w:t xml:space="preserve"> (פס׳ א) — </w:t>
      </w:r>
      <w:r>
        <w:rPr>
          <w:rFonts w:ascii="David" w:cs="David" w:eastAsia="David" w:hAnsi="David"/>
          <w:sz w:val="24"/>
          <w:szCs w:val="24"/>
          <w:rtl/>
        </w:rPr>
        <w:t xml:space="preserve">כתיב מקראי (חסר). </w:t>
      </w:r>
      <w:r>
        <w:rPr>
          <w:rFonts w:ascii="David" w:cs="David" w:eastAsia="David" w:hAnsi="David"/>
          <w:b/>
          <w:bCs/>
          <w:sz w:val="24"/>
          <w:szCs w:val="24"/>
          <w:rtl/>
        </w:rPr>
        <w:t xml:space="preserve">בעברית בת-ימינו: </w:t>
      </w:r>
      <w:r>
        <w:rPr>
          <w:rFonts w:ascii="David" w:cs="David" w:eastAsia="David" w:hAnsi="David"/>
          <w:b/>
          <w:bCs/>
          <w:sz w:val="24"/>
          <w:szCs w:val="24"/>
          <w:rtl/>
        </w:rPr>
        <w:t xml:space="preserve">הַשּׁוֹפְטִים</w:t>
      </w:r>
      <w:r>
        <w:rPr>
          <w:rFonts w:ascii="David" w:cs="David" w:eastAsia="David" w:hAnsi="David"/>
          <w:sz w:val="24"/>
          <w:szCs w:val="24"/>
          <w:rtl/>
        </w:rPr>
        <w:t xml:space="preserve">. </w:t>
      </w:r>
      <w:r>
        <w:rPr>
          <w:rFonts w:ascii="David" w:cs="David" w:eastAsia="David" w:hAnsi="David"/>
          <w:sz w:val="24"/>
          <w:szCs w:val="24"/>
          <w:rtl/>
        </w:rPr>
        <w:t xml:space="preserve">בינוני קל ברבים, החולם ללא וי״ו. בימינו נכתב בכתיב מלא: שׁוֹפְטִים.</w:t>
      </w:r>
    </w:p>
    <w:p>
      <w:pPr>
        <w:pStyle w:val="ListParagraph"/>
        <w:numPr>
          <w:ilvl w:val="0"/>
          <w:numId w:val="2"/>
        </w:numPr>
        <w:bidi/>
        <w:spacing w:after="80" w:line="300"/>
        <w:jc w:val="both"/>
      </w:pPr>
      <w:r>
        <w:rPr>
          <w:rFonts w:ascii="David" w:cs="David" w:eastAsia="David" w:hAnsi="David"/>
          <w:b/>
          <w:bCs/>
          <w:sz w:val="24"/>
          <w:szCs w:val="24"/>
          <w:rtl/>
        </w:rPr>
        <w:t xml:space="preserve">3. </w:t>
      </w:r>
      <w:r>
        <w:rPr>
          <w:rFonts w:ascii="David" w:cs="David" w:eastAsia="David" w:hAnsi="David"/>
          <w:b/>
          <w:bCs/>
          <w:sz w:val="24"/>
          <w:szCs w:val="24"/>
          <w:rtl/>
        </w:rPr>
        <w:t xml:space="preserve">מֹאֲבִיּוֹת</w:t>
      </w:r>
      <w:r>
        <w:rPr>
          <w:rFonts w:ascii="David" w:cs="David" w:eastAsia="David" w:hAnsi="David"/>
          <w:sz w:val="24"/>
          <w:szCs w:val="24"/>
          <w:rtl/>
        </w:rPr>
        <w:t xml:space="preserve"> (פס׳ ד) — </w:t>
      </w:r>
      <w:r>
        <w:rPr>
          <w:rFonts w:ascii="David" w:cs="David" w:eastAsia="David" w:hAnsi="David"/>
          <w:sz w:val="24"/>
          <w:szCs w:val="24"/>
          <w:rtl/>
        </w:rPr>
        <w:t xml:space="preserve">כתיב מקראי (חסר). </w:t>
      </w:r>
      <w:r>
        <w:rPr>
          <w:rFonts w:ascii="David" w:cs="David" w:eastAsia="David" w:hAnsi="David"/>
          <w:b/>
          <w:bCs/>
          <w:sz w:val="24"/>
          <w:szCs w:val="24"/>
          <w:rtl/>
        </w:rPr>
        <w:t xml:space="preserve">בעברית בת-ימינו: </w:t>
      </w:r>
      <w:r>
        <w:rPr>
          <w:rFonts w:ascii="David" w:cs="David" w:eastAsia="David" w:hAnsi="David"/>
          <w:b/>
          <w:bCs/>
          <w:sz w:val="24"/>
          <w:szCs w:val="24"/>
          <w:rtl/>
        </w:rPr>
        <w:t xml:space="preserve">מוֹאָבִיּוֹת</w:t>
      </w:r>
      <w:r>
        <w:rPr>
          <w:rFonts w:ascii="David" w:cs="David" w:eastAsia="David" w:hAnsi="David"/>
          <w:sz w:val="24"/>
          <w:szCs w:val="24"/>
          <w:rtl/>
        </w:rPr>
        <w:t xml:space="preserve">. </w:t>
      </w:r>
      <w:r>
        <w:rPr>
          <w:rFonts w:ascii="David" w:cs="David" w:eastAsia="David" w:hAnsi="David"/>
          <w:sz w:val="24"/>
          <w:szCs w:val="24"/>
          <w:rtl/>
        </w:rPr>
        <w:t xml:space="preserve">החולם הראשון (מוֹ-) חסר וי״ו. בימינו: מוֹאָבִיּוֹת.</w:t>
      </w:r>
    </w:p>
    <w:p>
      <w:pPr>
        <w:pStyle w:val="ListParagraph"/>
        <w:numPr>
          <w:ilvl w:val="0"/>
          <w:numId w:val="2"/>
        </w:numPr>
        <w:bidi/>
        <w:spacing w:after="80" w:line="300"/>
        <w:jc w:val="both"/>
      </w:pPr>
      <w:r>
        <w:rPr>
          <w:rFonts w:ascii="David" w:cs="David" w:eastAsia="David" w:hAnsi="David"/>
          <w:b/>
          <w:bCs/>
          <w:sz w:val="24"/>
          <w:szCs w:val="24"/>
          <w:rtl/>
        </w:rPr>
        <w:t xml:space="preserve">4. </w:t>
      </w:r>
      <w:r>
        <w:rPr>
          <w:rFonts w:ascii="David" w:cs="David" w:eastAsia="David" w:hAnsi="David"/>
          <w:b/>
          <w:bCs/>
          <w:sz w:val="24"/>
          <w:szCs w:val="24"/>
          <w:rtl/>
        </w:rPr>
        <w:t xml:space="preserve">כַלֹּתֶיהָ</w:t>
      </w:r>
      <w:r>
        <w:rPr>
          <w:rFonts w:ascii="David" w:cs="David" w:eastAsia="David" w:hAnsi="David"/>
          <w:sz w:val="24"/>
          <w:szCs w:val="24"/>
          <w:rtl/>
        </w:rPr>
        <w:t xml:space="preserve"> (פס׳ ו, ז) — </w:t>
      </w:r>
      <w:r>
        <w:rPr>
          <w:rFonts w:ascii="David" w:cs="David" w:eastAsia="David" w:hAnsi="David"/>
          <w:sz w:val="24"/>
          <w:szCs w:val="24"/>
          <w:rtl/>
        </w:rPr>
        <w:t xml:space="preserve">כתיב מקראי (חסר). </w:t>
      </w:r>
      <w:r>
        <w:rPr>
          <w:rFonts w:ascii="David" w:cs="David" w:eastAsia="David" w:hAnsi="David"/>
          <w:b/>
          <w:bCs/>
          <w:sz w:val="24"/>
          <w:szCs w:val="24"/>
          <w:rtl/>
        </w:rPr>
        <w:t xml:space="preserve">בעברית בת-ימינו: </w:t>
      </w:r>
      <w:r>
        <w:rPr>
          <w:rFonts w:ascii="David" w:cs="David" w:eastAsia="David" w:hAnsi="David"/>
          <w:b/>
          <w:bCs/>
          <w:sz w:val="24"/>
          <w:szCs w:val="24"/>
          <w:rtl/>
        </w:rPr>
        <w:t xml:space="preserve">כַּלּוֹתֶיהָ</w:t>
      </w:r>
      <w:r>
        <w:rPr>
          <w:rFonts w:ascii="David" w:cs="David" w:eastAsia="David" w:hAnsi="David"/>
          <w:sz w:val="24"/>
          <w:szCs w:val="24"/>
          <w:rtl/>
        </w:rPr>
        <w:t xml:space="preserve">. </w:t>
      </w:r>
      <w:r>
        <w:rPr>
          <w:rFonts w:ascii="David" w:cs="David" w:eastAsia="David" w:hAnsi="David"/>
          <w:sz w:val="24"/>
          <w:szCs w:val="24"/>
          <w:rtl/>
        </w:rPr>
        <w:t xml:space="preserve">החולם ברבים חסר וי״ו. בימינו: כַּלּוֹתֶיהָ.</w:t>
      </w:r>
    </w:p>
    <w:p>
      <w:pPr>
        <w:pStyle w:val="ListParagraph"/>
        <w:numPr>
          <w:ilvl w:val="0"/>
          <w:numId w:val="2"/>
        </w:numPr>
        <w:bidi/>
        <w:spacing w:after="80" w:line="300"/>
        <w:jc w:val="both"/>
      </w:pPr>
      <w:r>
        <w:rPr>
          <w:rFonts w:ascii="David" w:cs="David" w:eastAsia="David" w:hAnsi="David"/>
          <w:b/>
          <w:bCs/>
          <w:sz w:val="24"/>
          <w:szCs w:val="24"/>
          <w:rtl/>
        </w:rPr>
        <w:t xml:space="preserve">5. </w:t>
      </w:r>
      <w:r>
        <w:rPr>
          <w:rFonts w:ascii="David" w:cs="David" w:eastAsia="David" w:hAnsi="David"/>
          <w:b/>
          <w:bCs/>
          <w:sz w:val="24"/>
          <w:szCs w:val="24"/>
          <w:rtl/>
        </w:rPr>
        <w:t xml:space="preserve">שֹׁבְנָה</w:t>
      </w:r>
      <w:r>
        <w:rPr>
          <w:rFonts w:ascii="David" w:cs="David" w:eastAsia="David" w:hAnsi="David"/>
          <w:sz w:val="24"/>
          <w:szCs w:val="24"/>
          <w:rtl/>
        </w:rPr>
        <w:t xml:space="preserve"> (פס׳ ח, יא, יב) — </w:t>
      </w:r>
      <w:r>
        <w:rPr>
          <w:rFonts w:ascii="David" w:cs="David" w:eastAsia="David" w:hAnsi="David"/>
          <w:sz w:val="24"/>
          <w:szCs w:val="24"/>
          <w:rtl/>
        </w:rPr>
        <w:t xml:space="preserve">כתיב מקראי (חסר). </w:t>
      </w:r>
      <w:r>
        <w:rPr>
          <w:rFonts w:ascii="David" w:cs="David" w:eastAsia="David" w:hAnsi="David"/>
          <w:b/>
          <w:bCs/>
          <w:sz w:val="24"/>
          <w:szCs w:val="24"/>
          <w:rtl/>
        </w:rPr>
        <w:t xml:space="preserve">בעברית בת-ימינו: </w:t>
      </w:r>
      <w:r>
        <w:rPr>
          <w:rFonts w:ascii="David" w:cs="David" w:eastAsia="David" w:hAnsi="David"/>
          <w:b/>
          <w:bCs/>
          <w:sz w:val="24"/>
          <w:szCs w:val="24"/>
          <w:rtl/>
        </w:rPr>
        <w:t xml:space="preserve">שׁוֹבְנָה</w:t>
      </w:r>
      <w:r>
        <w:rPr>
          <w:rFonts w:ascii="David" w:cs="David" w:eastAsia="David" w:hAnsi="David"/>
          <w:sz w:val="24"/>
          <w:szCs w:val="24"/>
          <w:rtl/>
        </w:rPr>
        <w:t xml:space="preserve">. </w:t>
      </w:r>
      <w:r>
        <w:rPr>
          <w:rFonts w:ascii="David" w:cs="David" w:eastAsia="David" w:hAnsi="David"/>
          <w:sz w:val="24"/>
          <w:szCs w:val="24"/>
          <w:rtl/>
        </w:rPr>
        <w:t xml:space="preserve">ציווי נסתרות/נוכחות בכתיב חסר; בימינו יימלא בוי״ו: שׁוֹבְנָה.</w:t>
      </w:r>
    </w:p>
    <w:p>
      <w:pPr>
        <w:bidi/>
        <w:spacing w:after="120" w:line="320"/>
        <w:jc w:val="both"/>
      </w:pPr>
      <w:r>
        <w:rPr>
          <w:rFonts w:ascii="David" w:cs="David" w:eastAsia="David" w:hAnsi="David"/>
          <w:sz w:val="24"/>
          <w:szCs w:val="24"/>
          <w:rtl/>
        </w:rPr>
        <w:t xml:space="preserve">מעבר לכתיב החסר, בפרק בולטת תופעה אורתוגרפית מקראית מובהקת נוספת — </w:t>
      </w:r>
      <w:r>
        <w:rPr>
          <w:rFonts w:ascii="David" w:cs="David" w:eastAsia="David" w:hAnsi="David"/>
          <w:b/>
          <w:bCs/>
          <w:sz w:val="24"/>
          <w:szCs w:val="24"/>
          <w:rtl/>
        </w:rPr>
        <w:t xml:space="preserve">כתיב וקרי</w:t>
      </w:r>
      <w:r>
        <w:rPr>
          <w:rFonts w:ascii="David" w:cs="David" w:eastAsia="David" w:hAnsi="David"/>
          <w:sz w:val="24"/>
          <w:szCs w:val="24"/>
          <w:rtl/>
        </w:rPr>
        <w:t xml:space="preserve">: פער בין המילה הכתובה (כְּתִיב) לבין דרך קריאתה במסורת (קְרֵי). דוגמאות מן הפרק: </w:t>
      </w:r>
      <w:r>
        <w:rPr>
          <w:rFonts w:ascii="David" w:cs="David" w:eastAsia="David" w:hAnsi="David"/>
          <w:b/>
          <w:bCs/>
          <w:sz w:val="24"/>
          <w:szCs w:val="24"/>
          <w:rtl/>
        </w:rPr>
        <w:t xml:space="preserve">יעשה</w:t>
      </w:r>
      <w:r>
        <w:rPr>
          <w:rFonts w:ascii="David" w:cs="David" w:eastAsia="David" w:hAnsi="David"/>
          <w:sz w:val="24"/>
          <w:szCs w:val="24"/>
          <w:rtl/>
        </w:rPr>
        <w:t xml:space="preserve"> (כתיב) / </w:t>
      </w:r>
      <w:r>
        <w:rPr>
          <w:rFonts w:ascii="David" w:cs="David" w:eastAsia="David" w:hAnsi="David"/>
          <w:b/>
          <w:bCs/>
          <w:sz w:val="24"/>
          <w:szCs w:val="24"/>
          <w:rtl/>
        </w:rPr>
        <w:t xml:space="preserve">יַעַשׂ</w:t>
      </w:r>
      <w:r>
        <w:rPr>
          <w:rFonts w:ascii="David" w:cs="David" w:eastAsia="David" w:hAnsi="David"/>
          <w:sz w:val="24"/>
          <w:szCs w:val="24"/>
          <w:rtl/>
        </w:rPr>
        <w:t xml:space="preserve"> (קרי) — פס׳ ח; </w:t>
      </w:r>
      <w:r>
        <w:rPr>
          <w:rFonts w:ascii="David" w:cs="David" w:eastAsia="David" w:hAnsi="David"/>
          <w:b/>
          <w:bCs/>
          <w:sz w:val="24"/>
          <w:szCs w:val="24"/>
          <w:rtl/>
        </w:rPr>
        <w:t xml:space="preserve">ומצאן</w:t>
      </w:r>
      <w:r>
        <w:rPr>
          <w:rFonts w:ascii="David" w:cs="David" w:eastAsia="David" w:hAnsi="David"/>
          <w:sz w:val="24"/>
          <w:szCs w:val="24"/>
          <w:rtl/>
        </w:rPr>
        <w:t xml:space="preserve"> / </w:t>
      </w:r>
      <w:r>
        <w:rPr>
          <w:rFonts w:ascii="David" w:cs="David" w:eastAsia="David" w:hAnsi="David"/>
          <w:b/>
          <w:bCs/>
          <w:sz w:val="24"/>
          <w:szCs w:val="24"/>
          <w:rtl/>
        </w:rPr>
        <w:t xml:space="preserve">וּמְצֶאןָ</w:t>
      </w:r>
      <w:r>
        <w:rPr>
          <w:rFonts w:ascii="David" w:cs="David" w:eastAsia="David" w:hAnsi="David"/>
          <w:sz w:val="24"/>
          <w:szCs w:val="24"/>
          <w:rtl/>
        </w:rPr>
        <w:t xml:space="preserve"> — פס׳ ט; </w:t>
      </w:r>
      <w:r>
        <w:rPr>
          <w:rFonts w:ascii="David" w:cs="David" w:eastAsia="David" w:hAnsi="David"/>
          <w:b/>
          <w:bCs/>
          <w:sz w:val="24"/>
          <w:szCs w:val="24"/>
          <w:rtl/>
        </w:rPr>
        <w:t xml:space="preserve">לכן</w:t>
      </w:r>
      <w:r>
        <w:rPr>
          <w:rFonts w:ascii="David" w:cs="David" w:eastAsia="David" w:hAnsi="David"/>
          <w:sz w:val="24"/>
          <w:szCs w:val="24"/>
          <w:rtl/>
        </w:rPr>
        <w:t xml:space="preserve"> / </w:t>
      </w:r>
      <w:r>
        <w:rPr>
          <w:rFonts w:ascii="David" w:cs="David" w:eastAsia="David" w:hAnsi="David"/>
          <w:b/>
          <w:bCs/>
          <w:sz w:val="24"/>
          <w:szCs w:val="24"/>
          <w:rtl/>
        </w:rPr>
        <w:t xml:space="preserve">לֵכְןָ</w:t>
      </w:r>
      <w:r>
        <w:rPr>
          <w:rFonts w:ascii="David" w:cs="David" w:eastAsia="David" w:hAnsi="David"/>
          <w:sz w:val="24"/>
          <w:szCs w:val="24"/>
          <w:rtl/>
        </w:rPr>
        <w:t xml:space="preserve"> — פס׳ יב; </w:t>
      </w:r>
      <w:r>
        <w:rPr>
          <w:rFonts w:ascii="David" w:cs="David" w:eastAsia="David" w:hAnsi="David"/>
          <w:b/>
          <w:bCs/>
          <w:sz w:val="24"/>
          <w:szCs w:val="24"/>
          <w:rtl/>
        </w:rPr>
        <w:t xml:space="preserve">קראן</w:t>
      </w:r>
      <w:r>
        <w:rPr>
          <w:rFonts w:ascii="David" w:cs="David" w:eastAsia="David" w:hAnsi="David"/>
          <w:sz w:val="24"/>
          <w:szCs w:val="24"/>
          <w:rtl/>
        </w:rPr>
        <w:t xml:space="preserve"> / </w:t>
      </w:r>
      <w:r>
        <w:rPr>
          <w:rFonts w:ascii="David" w:cs="David" w:eastAsia="David" w:hAnsi="David"/>
          <w:b/>
          <w:bCs/>
          <w:sz w:val="24"/>
          <w:szCs w:val="24"/>
          <w:rtl/>
        </w:rPr>
        <w:t xml:space="preserve">קְרֶאןָ</w:t>
      </w:r>
      <w:r>
        <w:rPr>
          <w:rFonts w:ascii="David" w:cs="David" w:eastAsia="David" w:hAnsi="David"/>
          <w:sz w:val="24"/>
          <w:szCs w:val="24"/>
          <w:rtl/>
        </w:rPr>
        <w:t xml:space="preserve"> — פס׳ כ. תופעה זו אינה קיימת בעברית בת-ימינו, שבה הכתיב והקריאה חופפים.</w:t>
      </w:r>
      <w:r>
        <w:rPr>
          <w:rStyle w:val="FootnoteReference"/>
        </w:rPr>
        <w:footnoteReference w:id="3"/>
      </w:r>
    </w:p>
    <w:p>
      <w:r>
        <w:br w:type="page"/>
      </w:r>
    </w:p>
    <w:p>
      <w:pPr>
        <w:pStyle w:val="Heading1"/>
        <w:bidi/>
        <w:spacing w:after="160" w:before="300"/>
        <w:jc w:val="right"/>
      </w:pPr>
      <w:r>
        <w:rPr>
          <w:rFonts w:ascii="David" w:cs="David" w:eastAsia="David" w:hAnsi="David"/>
          <w:b/>
          <w:bCs/>
          <w:sz w:val="30"/>
          <w:szCs w:val="30"/>
          <w:rtl/>
        </w:rPr>
        <w:t xml:space="preserve">חלק ב: דקדוק</w:t>
      </w:r>
    </w:p>
    <w:p>
      <w:pPr>
        <w:bidi/>
        <w:spacing w:after="120" w:line="320"/>
        <w:jc w:val="both"/>
      </w:pPr>
      <w:r>
        <w:rPr>
          <w:rFonts w:ascii="David" w:cs="David" w:eastAsia="David" w:hAnsi="David"/>
          <w:sz w:val="24"/>
          <w:szCs w:val="24"/>
          <w:rtl/>
        </w:rPr>
        <w:t xml:space="preserve">להלן הפסוקים כסדרם, ובעקבות כל פסוק — פירוט המאפיינים הדקדוקיים העולים ממנו והשוואתם לעברית בת-ימינו. הקטגוריות הנבחנות: </w:t>
      </w:r>
      <w:r>
        <w:rPr>
          <w:rFonts w:ascii="David" w:cs="David" w:eastAsia="David" w:hAnsi="David"/>
          <w:b/>
          <w:bCs/>
          <w:sz w:val="24"/>
          <w:szCs w:val="24"/>
          <w:rtl/>
        </w:rPr>
        <w:t xml:space="preserve">מערכת הזמנים</w:t>
      </w:r>
      <w:r>
        <w:rPr>
          <w:rFonts w:ascii="David" w:cs="David" w:eastAsia="David" w:hAnsi="David"/>
          <w:sz w:val="24"/>
          <w:szCs w:val="24"/>
          <w:rtl/>
        </w:rPr>
        <w:t xml:space="preserve"> (וי“ו ההיפוך [וַיִּקְטֹל / וְקָטַל], עבר [קָטַל], עתיד [יִקְטֹל], בינוני), </w:t>
      </w:r>
      <w:r>
        <w:rPr>
          <w:rFonts w:ascii="David" w:cs="David" w:eastAsia="David" w:hAnsi="David"/>
          <w:b/>
          <w:bCs/>
          <w:sz w:val="24"/>
          <w:szCs w:val="24"/>
          <w:rtl/>
        </w:rPr>
        <w:t xml:space="preserve">צורות המקור</w:t>
      </w:r>
      <w:r>
        <w:rPr>
          <w:rFonts w:ascii="David" w:cs="David" w:eastAsia="David" w:hAnsi="David"/>
          <w:sz w:val="24"/>
          <w:szCs w:val="24"/>
          <w:rtl/>
        </w:rPr>
        <w:t xml:space="preserve"> (מקור נטוי ומקור מוחלט), </w:t>
      </w:r>
      <w:r>
        <w:rPr>
          <w:rFonts w:ascii="David" w:cs="David" w:eastAsia="David" w:hAnsi="David"/>
          <w:b/>
          <w:bCs/>
          <w:sz w:val="24"/>
          <w:szCs w:val="24"/>
          <w:rtl/>
        </w:rPr>
        <w:t xml:space="preserve">נטיית הפועל והבניינים</w:t>
      </w:r>
      <w:r>
        <w:rPr>
          <w:rFonts w:ascii="David" w:cs="David" w:eastAsia="David" w:hAnsi="David"/>
          <w:sz w:val="24"/>
          <w:szCs w:val="24"/>
          <w:rtl/>
        </w:rPr>
        <w:t xml:space="preserve">, </w:t>
      </w:r>
      <w:r>
        <w:rPr>
          <w:rFonts w:ascii="David" w:cs="David" w:eastAsia="David" w:hAnsi="David"/>
          <w:b/>
          <w:bCs/>
          <w:sz w:val="24"/>
          <w:szCs w:val="24"/>
          <w:rtl/>
        </w:rPr>
        <w:t xml:space="preserve">פסוקיות זמן/אופן בצורות מקור</w:t>
      </w:r>
      <w:r>
        <w:rPr>
          <w:rFonts w:ascii="David" w:cs="David" w:eastAsia="David" w:hAnsi="David"/>
          <w:sz w:val="24"/>
          <w:szCs w:val="24"/>
          <w:rtl/>
        </w:rPr>
        <w:t xml:space="preserve">, </w:t>
      </w:r>
      <w:r>
        <w:rPr>
          <w:rFonts w:ascii="David" w:cs="David" w:eastAsia="David" w:hAnsi="David"/>
          <w:b/>
          <w:bCs/>
          <w:sz w:val="24"/>
          <w:szCs w:val="24"/>
          <w:rtl/>
        </w:rPr>
        <w:t xml:space="preserve">וי“ו החיבור כסימן פיסוק</w:t>
      </w:r>
      <w:r>
        <w:rPr>
          <w:rFonts w:ascii="David" w:cs="David" w:eastAsia="David" w:hAnsi="David"/>
          <w:sz w:val="24"/>
          <w:szCs w:val="24"/>
          <w:rtl/>
        </w:rPr>
        <w:t xml:space="preserve"> בין פסוקית לעיקרי, ו</w:t>
      </w:r>
      <w:r>
        <w:rPr>
          <w:rFonts w:ascii="David" w:cs="David" w:eastAsia="David" w:hAnsi="David"/>
          <w:b/>
          <w:bCs/>
          <w:sz w:val="24"/>
          <w:szCs w:val="24"/>
          <w:rtl/>
        </w:rPr>
        <w:t xml:space="preserve">פועל בגוף נסתר כנושא סתמי</w:t>
      </w:r>
      <w:r>
        <w:rPr>
          <w:rFonts w:ascii="David" w:cs="David" w:eastAsia="David" w:hAnsi="David"/>
          <w:sz w:val="24"/>
          <w:szCs w:val="24"/>
          <w:rtl/>
        </w:rPr>
        <w:t xml:space="preserve">.</w:t>
      </w:r>
      <w:r>
        <w:rPr>
          <w:rStyle w:val="FootnoteReference"/>
        </w:rPr>
        <w:footnoteReference w:id="4"/>
      </w:r>
    </w:p>
    <w:p>
      <w:pPr>
        <w:bidi/>
        <w:spacing w:after="80" w:before="200" w:line="340"/>
        <w:jc w:val="right"/>
      </w:pPr>
      <w:r>
        <w:rPr>
          <w:rFonts w:ascii="David" w:cs="David" w:eastAsia="David" w:hAnsi="David"/>
          <w:b/>
          <w:bCs/>
          <w:sz w:val="24"/>
          <w:szCs w:val="24"/>
          <w:rtl/>
        </w:rPr>
        <w:t xml:space="preserve">(א)  </w:t>
      </w:r>
      <w:r>
        <w:rPr>
          <w:rFonts w:ascii="David" w:cs="David" w:eastAsia="David" w:hAnsi="David"/>
          <w:b/>
          <w:bCs/>
          <w:sz w:val="24"/>
          <w:szCs w:val="24"/>
          <w:rtl/>
        </w:rPr>
        <w:t xml:space="preserve">וַיְהִי בִּימֵי שְׁפֹט הַשֹּׁפְטִים וַיְהִי רָעָב בָּאָרֶץ וַיֵּלֶךְ אִישׁ מִבֵּית לֶחֶם יְהוּדָה לָגוּר בִּשְׂדֵי מוֹאָב הוּא וְאִשְׁתּוֹ וּשְׁנֵי בָנָיו.</w:t>
      </w:r>
    </w:p>
    <w:p>
      <w:pPr>
        <w:pStyle w:val="ListParagraph"/>
        <w:numPr>
          <w:ilvl w:val="0"/>
          <w:numId w:val="2"/>
        </w:numPr>
        <w:bidi/>
        <w:spacing w:after="80" w:line="300"/>
        <w:jc w:val="both"/>
      </w:pPr>
      <w:r>
        <w:rPr>
          <w:rFonts w:ascii="David" w:cs="David" w:eastAsia="David" w:hAnsi="David"/>
          <w:b/>
          <w:bCs/>
          <w:sz w:val="24"/>
          <w:szCs w:val="24"/>
          <w:rtl/>
        </w:rPr>
        <w:t xml:space="preserve">וַיְהִי</w:t>
      </w:r>
      <w:r>
        <w:rPr>
          <w:rFonts w:ascii="David" w:cs="David" w:eastAsia="David" w:hAnsi="David"/>
          <w:sz w:val="24"/>
          <w:szCs w:val="24"/>
          <w:rtl/>
        </w:rPr>
        <w:t xml:space="preserve"> — </w:t>
      </w:r>
      <w:r>
        <w:rPr>
          <w:rFonts w:ascii="David" w:cs="David" w:eastAsia="David" w:hAnsi="David"/>
          <w:b/>
          <w:bCs/>
          <w:sz w:val="24"/>
          <w:szCs w:val="24"/>
          <w:rtl/>
        </w:rPr>
        <w:t xml:space="preserve">וי“ו ההיפוך לעבר</w:t>
      </w:r>
      <w:r>
        <w:rPr>
          <w:rFonts w:ascii="David" w:cs="David" w:eastAsia="David" w:hAnsi="David"/>
          <w:sz w:val="24"/>
          <w:szCs w:val="24"/>
          <w:rtl/>
        </w:rPr>
        <w:t xml:space="preserve"> (וַיִּקְטֹל) מן הפועל הי“ה בבניין קל. זהו פותח-הסיפור הטיפוסי, „ויהי”, המסמן פתיחה נרטיבית ורקע זמן. </w:t>
      </w:r>
      <w:r>
        <w:rPr>
          <w:rFonts w:ascii="David" w:cs="David" w:eastAsia="David" w:hAnsi="David"/>
          <w:b/>
          <w:bCs/>
          <w:sz w:val="24"/>
          <w:szCs w:val="24"/>
          <w:rtl/>
        </w:rPr>
        <w:t xml:space="preserve">בימינו: </w:t>
      </w:r>
      <w:r>
        <w:rPr>
          <w:rFonts w:ascii="David" w:cs="David" w:eastAsia="David" w:hAnsi="David"/>
          <w:sz w:val="24"/>
          <w:szCs w:val="24"/>
          <w:rtl/>
        </w:rPr>
        <w:t xml:space="preserve">אין וי“ו ההיפוך; היה נאמר „היה” / „קרה” בעבר פשוט.</w:t>
      </w:r>
      <w:r>
        <w:rPr>
          <w:rStyle w:val="FootnoteReference"/>
        </w:rPr>
        <w:footnoteReference w:id="5"/>
      </w:r>
    </w:p>
    <w:p>
      <w:pPr>
        <w:pStyle w:val="ListParagraph"/>
        <w:numPr>
          <w:ilvl w:val="0"/>
          <w:numId w:val="2"/>
        </w:numPr>
        <w:bidi/>
        <w:spacing w:after="80" w:line="300"/>
        <w:jc w:val="both"/>
      </w:pPr>
      <w:r>
        <w:rPr>
          <w:rFonts w:ascii="David" w:cs="David" w:eastAsia="David" w:hAnsi="David"/>
          <w:b/>
          <w:bCs/>
          <w:sz w:val="24"/>
          <w:szCs w:val="24"/>
          <w:rtl/>
        </w:rPr>
        <w:t xml:space="preserve">בִּימֵי שְׁפֹט הַשֹּׁפְטִים</w:t>
      </w:r>
      <w:r>
        <w:rPr>
          <w:rFonts w:ascii="David" w:cs="David" w:eastAsia="David" w:hAnsi="David"/>
          <w:sz w:val="24"/>
          <w:szCs w:val="24"/>
          <w:rtl/>
        </w:rPr>
        <w:t xml:space="preserve"> — </w:t>
      </w:r>
      <w:r>
        <w:rPr>
          <w:rFonts w:ascii="David" w:cs="David" w:eastAsia="David" w:hAnsi="David"/>
          <w:b/>
          <w:bCs/>
          <w:sz w:val="24"/>
          <w:szCs w:val="24"/>
          <w:rtl/>
        </w:rPr>
        <w:t xml:space="preserve">פסוקית זמן בצורת מקור</w:t>
      </w:r>
      <w:r>
        <w:rPr>
          <w:rFonts w:ascii="David" w:cs="David" w:eastAsia="David" w:hAnsi="David"/>
          <w:sz w:val="24"/>
          <w:szCs w:val="24"/>
          <w:rtl/>
        </w:rPr>
        <w:t xml:space="preserve">: מ’ היחס בְּ + „ימי” + </w:t>
      </w:r>
      <w:r>
        <w:rPr>
          <w:rFonts w:ascii="David" w:cs="David" w:eastAsia="David" w:hAnsi="David"/>
          <w:b/>
          <w:bCs/>
          <w:sz w:val="24"/>
          <w:szCs w:val="24"/>
          <w:rtl/>
        </w:rPr>
        <w:t xml:space="preserve">שְׁפֹט</w:t>
      </w:r>
      <w:r>
        <w:rPr>
          <w:rFonts w:ascii="David" w:cs="David" w:eastAsia="David" w:hAnsi="David"/>
          <w:sz w:val="24"/>
          <w:szCs w:val="24"/>
          <w:rtl/>
        </w:rPr>
        <w:t xml:space="preserve"> (מקור נטוי של ש’פ’ט, קל) = „בזמן ששפטו השופטים”. הזמן מובע בצורת מקור ולא במילת שעבוד. כמו כן </w:t>
      </w:r>
      <w:r>
        <w:rPr>
          <w:rFonts w:ascii="David" w:cs="David" w:eastAsia="David" w:hAnsi="David"/>
          <w:b/>
          <w:bCs/>
          <w:sz w:val="24"/>
          <w:szCs w:val="24"/>
          <w:rtl/>
        </w:rPr>
        <w:t xml:space="preserve">שְׁפֹט הַשֹּׁפְטִים</w:t>
      </w:r>
      <w:r>
        <w:rPr>
          <w:rFonts w:ascii="David" w:cs="David" w:eastAsia="David" w:hAnsi="David"/>
          <w:sz w:val="24"/>
          <w:szCs w:val="24"/>
          <w:rtl/>
        </w:rPr>
        <w:t xml:space="preserve"> הוא </w:t>
      </w:r>
      <w:r>
        <w:rPr>
          <w:rFonts w:ascii="David" w:cs="David" w:eastAsia="David" w:hAnsi="David"/>
          <w:sz w:val="24"/>
          <w:szCs w:val="24"/>
          <w:rtl/>
        </w:rPr>
        <w:t xml:space="preserve">מקור התכליתי/נסמך משורש הנושא</w:t>
      </w:r>
      <w:r>
        <w:rPr>
          <w:rFonts w:ascii="David" w:cs="David" w:eastAsia="David" w:hAnsi="David"/>
          <w:sz w:val="24"/>
          <w:szCs w:val="24"/>
          <w:rtl/>
        </w:rPr>
        <w:t xml:space="preserve"> (figura etymologica). </w:t>
      </w:r>
      <w:r>
        <w:rPr>
          <w:rFonts w:ascii="David" w:cs="David" w:eastAsia="David" w:hAnsi="David"/>
          <w:b/>
          <w:bCs/>
          <w:sz w:val="24"/>
          <w:szCs w:val="24"/>
          <w:rtl/>
        </w:rPr>
        <w:t xml:space="preserve">בימינו: </w:t>
      </w:r>
      <w:r>
        <w:rPr>
          <w:rFonts w:ascii="David" w:cs="David" w:eastAsia="David" w:hAnsi="David"/>
          <w:sz w:val="24"/>
          <w:szCs w:val="24"/>
          <w:rtl/>
        </w:rPr>
        <w:t xml:space="preserve">„בימים שבהם שפטו השופטים” — במילת שעבוד „ש...”.</w:t>
      </w:r>
      <w:r>
        <w:rPr>
          <w:rStyle w:val="FootnoteReference"/>
        </w:rPr>
        <w:footnoteReference w:id="6"/>
      </w:r>
    </w:p>
    <w:p>
      <w:pPr>
        <w:pStyle w:val="ListParagraph"/>
        <w:numPr>
          <w:ilvl w:val="0"/>
          <w:numId w:val="2"/>
        </w:numPr>
        <w:bidi/>
        <w:spacing w:after="80" w:line="300"/>
        <w:jc w:val="both"/>
      </w:pPr>
      <w:r>
        <w:rPr>
          <w:rFonts w:ascii="David" w:cs="David" w:eastAsia="David" w:hAnsi="David"/>
          <w:b/>
          <w:bCs/>
          <w:sz w:val="24"/>
          <w:szCs w:val="24"/>
          <w:rtl/>
        </w:rPr>
        <w:t xml:space="preserve">וַיֵּלֶךְ</w:t>
      </w:r>
      <w:r>
        <w:rPr>
          <w:rFonts w:ascii="David" w:cs="David" w:eastAsia="David" w:hAnsi="David"/>
          <w:sz w:val="24"/>
          <w:szCs w:val="24"/>
          <w:rtl/>
        </w:rPr>
        <w:t xml:space="preserve"> — וי“ו ההיפוך לעבר (הל’ך, קל). ה</w:t>
      </w:r>
      <w:r>
        <w:rPr>
          <w:rFonts w:ascii="David" w:cs="David" w:eastAsia="David" w:hAnsi="David"/>
          <w:b/>
          <w:bCs/>
          <w:sz w:val="24"/>
          <w:szCs w:val="24"/>
          <w:rtl/>
        </w:rPr>
        <w:t xml:space="preserve">וי“ו של „וַיֵּלֶךְ” היא וי“ו החיבור כסימן פיסוק</w:t>
      </w:r>
      <w:r>
        <w:rPr>
          <w:rFonts w:ascii="David" w:cs="David" w:eastAsia="David" w:hAnsi="David"/>
          <w:sz w:val="24"/>
          <w:szCs w:val="24"/>
          <w:rtl/>
        </w:rPr>
        <w:t xml:space="preserve"> המחברת את משפט-הרקע („ויהי בימי... ויהי רעב”) אל עיקר המשפט (הליכת האיש). </w:t>
      </w:r>
      <w:r>
        <w:rPr>
          <w:rFonts w:ascii="David" w:cs="David" w:eastAsia="David" w:hAnsi="David"/>
          <w:b/>
          <w:bCs/>
          <w:sz w:val="24"/>
          <w:szCs w:val="24"/>
          <w:rtl/>
        </w:rPr>
        <w:t xml:space="preserve">בימינו: </w:t>
      </w:r>
      <w:r>
        <w:rPr>
          <w:rFonts w:ascii="David" w:cs="David" w:eastAsia="David" w:hAnsi="David"/>
          <w:sz w:val="24"/>
          <w:szCs w:val="24"/>
          <w:rtl/>
        </w:rPr>
        <w:t xml:space="preserve">„והלך”/„הלך” — בלא וי“ו מהפכת.</w:t>
      </w:r>
    </w:p>
    <w:p>
      <w:pPr>
        <w:pStyle w:val="ListParagraph"/>
        <w:numPr>
          <w:ilvl w:val="0"/>
          <w:numId w:val="2"/>
        </w:numPr>
        <w:bidi/>
        <w:spacing w:after="80" w:line="300"/>
        <w:jc w:val="both"/>
      </w:pPr>
      <w:r>
        <w:rPr>
          <w:rFonts w:ascii="David" w:cs="David" w:eastAsia="David" w:hAnsi="David"/>
          <w:b/>
          <w:bCs/>
          <w:sz w:val="24"/>
          <w:szCs w:val="24"/>
          <w:rtl/>
        </w:rPr>
        <w:t xml:space="preserve">לָגוּר</w:t>
      </w:r>
      <w:r>
        <w:rPr>
          <w:rFonts w:ascii="David" w:cs="David" w:eastAsia="David" w:hAnsi="David"/>
          <w:sz w:val="24"/>
          <w:szCs w:val="24"/>
          <w:rtl/>
        </w:rPr>
        <w:t xml:space="preserve"> — </w:t>
      </w:r>
      <w:r>
        <w:rPr>
          <w:rFonts w:ascii="David" w:cs="David" w:eastAsia="David" w:hAnsi="David"/>
          <w:b/>
          <w:bCs/>
          <w:sz w:val="24"/>
          <w:szCs w:val="24"/>
          <w:rtl/>
        </w:rPr>
        <w:t xml:space="preserve">מקור נטוי</w:t>
      </w:r>
      <w:r>
        <w:rPr>
          <w:rFonts w:ascii="David" w:cs="David" w:eastAsia="David" w:hAnsi="David"/>
          <w:sz w:val="24"/>
          <w:szCs w:val="24"/>
          <w:rtl/>
        </w:rPr>
        <w:t xml:space="preserve"> (ג’ו’ר, קל) עם לְ’ התכלית = „כדי להתגורר זמנית”. פסוקית תכלית בצורת מקור. </w:t>
      </w:r>
      <w:r>
        <w:rPr>
          <w:rFonts w:ascii="David" w:cs="David" w:eastAsia="David" w:hAnsi="David"/>
          <w:b/>
          <w:bCs/>
          <w:sz w:val="24"/>
          <w:szCs w:val="24"/>
          <w:rtl/>
        </w:rPr>
        <w:t xml:space="preserve">בימינו: </w:t>
      </w:r>
      <w:r>
        <w:rPr>
          <w:rFonts w:ascii="David" w:cs="David" w:eastAsia="David" w:hAnsi="David"/>
          <w:sz w:val="24"/>
          <w:szCs w:val="24"/>
          <w:rtl/>
        </w:rPr>
        <w:t xml:space="preserve">לגור — אך הוראתו השתנתה (ראו חלק המילון).</w:t>
      </w:r>
    </w:p>
    <w:p>
      <w:pPr>
        <w:pStyle w:val="ListParagraph"/>
        <w:numPr>
          <w:ilvl w:val="0"/>
          <w:numId w:val="2"/>
        </w:numPr>
        <w:bidi/>
        <w:spacing w:after="80" w:line="300"/>
        <w:jc w:val="both"/>
      </w:pPr>
      <w:r>
        <w:rPr>
          <w:rFonts w:ascii="David" w:cs="David" w:eastAsia="David" w:hAnsi="David"/>
          <w:sz w:val="24"/>
          <w:szCs w:val="24"/>
          <w:rtl/>
        </w:rPr>
        <w:t xml:space="preserve">שְׂנֵי בָנָיו / בִּשְׂדֵי</w:t>
      </w:r>
      <w:r>
        <w:rPr>
          <w:rFonts w:ascii="David" w:cs="David" w:eastAsia="David" w:hAnsi="David"/>
          <w:sz w:val="24"/>
          <w:szCs w:val="24"/>
          <w:rtl/>
        </w:rPr>
        <w:t xml:space="preserve"> — צורות נסמך; </w:t>
      </w:r>
      <w:r>
        <w:rPr>
          <w:rFonts w:ascii="David" w:cs="David" w:eastAsia="David" w:hAnsi="David"/>
          <w:b/>
          <w:bCs/>
          <w:sz w:val="24"/>
          <w:szCs w:val="24"/>
          <w:rtl/>
        </w:rPr>
        <w:t xml:space="preserve">בָנָיו</w:t>
      </w:r>
      <w:r>
        <w:rPr>
          <w:rFonts w:ascii="David" w:cs="David" w:eastAsia="David" w:hAnsi="David"/>
          <w:sz w:val="24"/>
          <w:szCs w:val="24"/>
          <w:rtl/>
        </w:rPr>
        <w:t xml:space="preserve"> בכתיב חסר. אין כאן שינוי תחבירי מהותי לעומת ימינו, מלבד הכתיב.</w:t>
      </w:r>
    </w:p>
    <w:p>
      <w:pPr>
        <w:bidi/>
        <w:spacing w:after="80" w:before="200" w:line="340"/>
        <w:jc w:val="right"/>
      </w:pPr>
      <w:r>
        <w:rPr>
          <w:rFonts w:ascii="David" w:cs="David" w:eastAsia="David" w:hAnsi="David"/>
          <w:b/>
          <w:bCs/>
          <w:sz w:val="24"/>
          <w:szCs w:val="24"/>
          <w:rtl/>
        </w:rPr>
        <w:t xml:space="preserve">(ב)  </w:t>
      </w:r>
      <w:r>
        <w:rPr>
          <w:rFonts w:ascii="David" w:cs="David" w:eastAsia="David" w:hAnsi="David"/>
          <w:b/>
          <w:bCs/>
          <w:sz w:val="24"/>
          <w:szCs w:val="24"/>
          <w:rtl/>
        </w:rPr>
        <w:t xml:space="preserve">וְשֵׁם הָאִישׁ אֱלִימֶלֶךְ וְשֵׁם אִשְׁתּוֹ נָעֳמִי וְשֵׁם שְׁנֵי בָנָיו מַחְלוֹן וְכִלְיוֹן אֶפְרָתִים מִבֵּית לֶחֶם יְהוּדָה וַיָּבֹאוּ שְׂדֵי מוֹאָב וַיִּהְיוּ שָׁם.</w:t>
      </w:r>
    </w:p>
    <w:p>
      <w:pPr>
        <w:pStyle w:val="ListParagraph"/>
        <w:numPr>
          <w:ilvl w:val="0"/>
          <w:numId w:val="2"/>
        </w:numPr>
        <w:bidi/>
        <w:spacing w:after="80" w:line="300"/>
        <w:jc w:val="both"/>
      </w:pPr>
      <w:r>
        <w:rPr>
          <w:rFonts w:ascii="David" w:cs="David" w:eastAsia="David" w:hAnsi="David"/>
          <w:b/>
          <w:bCs/>
          <w:sz w:val="24"/>
          <w:szCs w:val="24"/>
          <w:rtl/>
        </w:rPr>
        <w:t xml:space="preserve">וְשֵׁם הָאִישׁ אֱלִימֶלֶךְ</w:t>
      </w:r>
      <w:r>
        <w:rPr>
          <w:rFonts w:ascii="David" w:cs="David" w:eastAsia="David" w:hAnsi="David"/>
          <w:sz w:val="24"/>
          <w:szCs w:val="24"/>
          <w:rtl/>
        </w:rPr>
        <w:t xml:space="preserve"> — </w:t>
      </w:r>
      <w:r>
        <w:rPr>
          <w:rFonts w:ascii="David" w:cs="David" w:eastAsia="David" w:hAnsi="David"/>
          <w:b/>
          <w:bCs/>
          <w:sz w:val="24"/>
          <w:szCs w:val="24"/>
          <w:rtl/>
        </w:rPr>
        <w:t xml:space="preserve">משפט שם (נומינלי) בלא אוֹגֵד</w:t>
      </w:r>
      <w:r>
        <w:rPr>
          <w:rFonts w:ascii="David" w:cs="David" w:eastAsia="David" w:hAnsi="David"/>
          <w:sz w:val="24"/>
          <w:szCs w:val="24"/>
          <w:rtl/>
        </w:rPr>
        <w:t xml:space="preserve">. בימינו המבנה דומה, אך פותח בוי“ו החיבור „וְשֵׁם”, אופייני לרצף המקראי.</w:t>
      </w:r>
    </w:p>
    <w:p>
      <w:pPr>
        <w:pStyle w:val="ListParagraph"/>
        <w:numPr>
          <w:ilvl w:val="0"/>
          <w:numId w:val="2"/>
        </w:numPr>
        <w:bidi/>
        <w:spacing w:after="80" w:line="300"/>
        <w:jc w:val="both"/>
      </w:pPr>
      <w:r>
        <w:rPr>
          <w:rFonts w:ascii="David" w:cs="David" w:eastAsia="David" w:hAnsi="David"/>
          <w:b/>
          <w:bCs/>
          <w:sz w:val="24"/>
          <w:szCs w:val="24"/>
          <w:rtl/>
        </w:rPr>
        <w:t xml:space="preserve">וַיָּבֹאוּ / וַיִּהְיוּ</w:t>
      </w:r>
      <w:r>
        <w:rPr>
          <w:rFonts w:ascii="David" w:cs="David" w:eastAsia="David" w:hAnsi="David"/>
          <w:sz w:val="24"/>
          <w:szCs w:val="24"/>
          <w:rtl/>
        </w:rPr>
        <w:t xml:space="preserve"> — וי“ו ההיפוך לעבר ברבים (בו’א; הי’ה). </w:t>
      </w:r>
    </w:p>
    <w:p>
      <w:pPr>
        <w:pStyle w:val="ListParagraph"/>
        <w:numPr>
          <w:ilvl w:val="0"/>
          <w:numId w:val="2"/>
        </w:numPr>
        <w:bidi/>
        <w:spacing w:after="80" w:line="300"/>
        <w:jc w:val="both"/>
      </w:pPr>
      <w:r>
        <w:rPr>
          <w:rFonts w:ascii="David" w:cs="David" w:eastAsia="David" w:hAnsi="David"/>
          <w:b/>
          <w:bCs/>
          <w:sz w:val="24"/>
          <w:szCs w:val="24"/>
          <w:rtl/>
        </w:rPr>
        <w:t xml:space="preserve">וַיָּבֹאוּ שְׂדֵי מוֹאָב</w:t>
      </w:r>
      <w:r>
        <w:rPr>
          <w:rFonts w:ascii="David" w:cs="David" w:eastAsia="David" w:hAnsi="David"/>
          <w:sz w:val="24"/>
          <w:szCs w:val="24"/>
          <w:rtl/>
        </w:rPr>
        <w:t xml:space="preserve"> — </w:t>
      </w:r>
      <w:r>
        <w:rPr>
          <w:rFonts w:ascii="David" w:cs="David" w:eastAsia="David" w:hAnsi="David"/>
          <w:b/>
          <w:bCs/>
          <w:sz w:val="24"/>
          <w:szCs w:val="24"/>
          <w:rtl/>
        </w:rPr>
        <w:t xml:space="preserve">מושא/תיאור מקום ביחסת הכיוון בלא מילת יחס</w:t>
      </w:r>
      <w:r>
        <w:rPr>
          <w:rFonts w:ascii="David" w:cs="David" w:eastAsia="David" w:hAnsi="David"/>
          <w:sz w:val="24"/>
          <w:szCs w:val="24"/>
          <w:rtl/>
        </w:rPr>
        <w:t xml:space="preserve"> („באו [אל] שדי מואב”). </w:t>
      </w:r>
      <w:r>
        <w:rPr>
          <w:rFonts w:ascii="David" w:cs="David" w:eastAsia="David" w:hAnsi="David"/>
          <w:b/>
          <w:bCs/>
          <w:sz w:val="24"/>
          <w:szCs w:val="24"/>
          <w:rtl/>
        </w:rPr>
        <w:t xml:space="preserve">בימינו: </w:t>
      </w:r>
      <w:r>
        <w:rPr>
          <w:rFonts w:ascii="David" w:cs="David" w:eastAsia="David" w:hAnsi="David"/>
          <w:sz w:val="24"/>
          <w:szCs w:val="24"/>
          <w:rtl/>
        </w:rPr>
        <w:t xml:space="preserve">„באו אל/ל-שדות מואב” — חובה במילת יחס.</w:t>
      </w:r>
    </w:p>
    <w:p>
      <w:pPr>
        <w:bidi/>
        <w:spacing w:after="80" w:before="200" w:line="340"/>
        <w:jc w:val="right"/>
      </w:pPr>
      <w:r>
        <w:rPr>
          <w:rFonts w:ascii="David" w:cs="David" w:eastAsia="David" w:hAnsi="David"/>
          <w:b/>
          <w:bCs/>
          <w:sz w:val="24"/>
          <w:szCs w:val="24"/>
          <w:rtl/>
        </w:rPr>
        <w:t xml:space="preserve">(ג)  </w:t>
      </w:r>
      <w:r>
        <w:rPr>
          <w:rFonts w:ascii="David" w:cs="David" w:eastAsia="David" w:hAnsi="David"/>
          <w:b/>
          <w:bCs/>
          <w:sz w:val="24"/>
          <w:szCs w:val="24"/>
          <w:rtl/>
        </w:rPr>
        <w:t xml:space="preserve">וַיָּמָת אֱלִימֶלֶךְ אִישׁ נָעֳמִי וַתִּשָּׁאֵר הִיא וּשְׁנֵי בָנֶיהָ.</w:t>
      </w:r>
    </w:p>
    <w:p>
      <w:pPr>
        <w:pStyle w:val="ListParagraph"/>
        <w:numPr>
          <w:ilvl w:val="0"/>
          <w:numId w:val="2"/>
        </w:numPr>
        <w:bidi/>
        <w:spacing w:after="80" w:line="300"/>
        <w:jc w:val="both"/>
      </w:pPr>
      <w:r>
        <w:rPr>
          <w:rFonts w:ascii="David" w:cs="David" w:eastAsia="David" w:hAnsi="David"/>
          <w:b/>
          <w:bCs/>
          <w:sz w:val="24"/>
          <w:szCs w:val="24"/>
          <w:rtl/>
        </w:rPr>
        <w:t xml:space="preserve">וַיָּמָת</w:t>
      </w:r>
      <w:r>
        <w:rPr>
          <w:rFonts w:ascii="David" w:cs="David" w:eastAsia="David" w:hAnsi="David"/>
          <w:sz w:val="24"/>
          <w:szCs w:val="24"/>
          <w:rtl/>
        </w:rPr>
        <w:t xml:space="preserve"> — וי“ו ההיפוך לעבר, גזרת ע“ו/נחי-ע (מו’ת, קל). </w:t>
      </w:r>
      <w:r>
        <w:rPr>
          <w:rFonts w:ascii="David" w:cs="David" w:eastAsia="David" w:hAnsi="David"/>
          <w:b/>
          <w:bCs/>
          <w:sz w:val="24"/>
          <w:szCs w:val="24"/>
          <w:rtl/>
        </w:rPr>
        <w:t xml:space="preserve">בימינו: </w:t>
      </w:r>
      <w:r>
        <w:rPr>
          <w:rFonts w:ascii="David" w:cs="David" w:eastAsia="David" w:hAnsi="David"/>
          <w:sz w:val="24"/>
          <w:szCs w:val="24"/>
          <w:rtl/>
        </w:rPr>
        <w:t xml:space="preserve">מֵת / וימת רק בלשון גבוהה.</w:t>
      </w:r>
    </w:p>
    <w:p>
      <w:pPr>
        <w:pStyle w:val="ListParagraph"/>
        <w:numPr>
          <w:ilvl w:val="0"/>
          <w:numId w:val="2"/>
        </w:numPr>
        <w:bidi/>
        <w:spacing w:after="80" w:line="300"/>
        <w:jc w:val="both"/>
      </w:pPr>
      <w:r>
        <w:rPr>
          <w:rFonts w:ascii="David" w:cs="David" w:eastAsia="David" w:hAnsi="David"/>
          <w:b/>
          <w:bCs/>
          <w:sz w:val="24"/>
          <w:szCs w:val="24"/>
          <w:rtl/>
        </w:rPr>
        <w:t xml:space="preserve">וַתִּשָּׁאֵר</w:t>
      </w:r>
      <w:r>
        <w:rPr>
          <w:rFonts w:ascii="David" w:cs="David" w:eastAsia="David" w:hAnsi="David"/>
          <w:sz w:val="24"/>
          <w:szCs w:val="24"/>
          <w:rtl/>
        </w:rPr>
        <w:t xml:space="preserve"> — וי“ו ההיפוך, </w:t>
      </w:r>
      <w:r>
        <w:rPr>
          <w:rFonts w:ascii="David" w:cs="David" w:eastAsia="David" w:hAnsi="David"/>
          <w:b/>
          <w:bCs/>
          <w:sz w:val="24"/>
          <w:szCs w:val="24"/>
          <w:rtl/>
        </w:rPr>
        <w:t xml:space="preserve">בניין נפעל</w:t>
      </w:r>
      <w:r>
        <w:rPr>
          <w:rFonts w:ascii="David" w:cs="David" w:eastAsia="David" w:hAnsi="David"/>
          <w:sz w:val="24"/>
          <w:szCs w:val="24"/>
          <w:rtl/>
        </w:rPr>
        <w:t xml:space="preserve"> (ש’א’ר) בהוראת מצב/סביל: „נותרה”. </w:t>
      </w:r>
      <w:r>
        <w:rPr>
          <w:rFonts w:ascii="David" w:cs="David" w:eastAsia="David" w:hAnsi="David"/>
          <w:b/>
          <w:bCs/>
          <w:sz w:val="24"/>
          <w:szCs w:val="24"/>
          <w:rtl/>
        </w:rPr>
        <w:t xml:space="preserve">בימינו: </w:t>
      </w:r>
      <w:r>
        <w:rPr>
          <w:rFonts w:ascii="David" w:cs="David" w:eastAsia="David" w:hAnsi="David"/>
          <w:sz w:val="24"/>
          <w:szCs w:val="24"/>
          <w:rtl/>
        </w:rPr>
        <w:t xml:space="preserve">נשארה — אותו בניין, אך בלא וי“ו מהפכת.</w:t>
      </w:r>
    </w:p>
    <w:p>
      <w:pPr>
        <w:bidi/>
        <w:spacing w:after="80" w:before="200" w:line="340"/>
        <w:jc w:val="right"/>
      </w:pPr>
      <w:r>
        <w:rPr>
          <w:rFonts w:ascii="David" w:cs="David" w:eastAsia="David" w:hAnsi="David"/>
          <w:b/>
          <w:bCs/>
          <w:sz w:val="24"/>
          <w:szCs w:val="24"/>
          <w:rtl/>
        </w:rPr>
        <w:t xml:space="preserve">(ד)  </w:t>
      </w:r>
      <w:r>
        <w:rPr>
          <w:rFonts w:ascii="David" w:cs="David" w:eastAsia="David" w:hAnsi="David"/>
          <w:b/>
          <w:bCs/>
          <w:sz w:val="24"/>
          <w:szCs w:val="24"/>
          <w:rtl/>
        </w:rPr>
        <w:t xml:space="preserve">וַיִּשְׂאוּ לָהֶם נָשִׁים מֹאֲבִיּוֹת שֵׁם הָאַחַת עָרְפָּה וְשֵׁם הַשֵּׁנִית רוּת וַיֵּשְׁבוּ שָׁם כְּעֶשֶׂר שָׁנִים.</w:t>
      </w:r>
    </w:p>
    <w:p>
      <w:pPr>
        <w:pStyle w:val="ListParagraph"/>
        <w:numPr>
          <w:ilvl w:val="0"/>
          <w:numId w:val="2"/>
        </w:numPr>
        <w:bidi/>
        <w:spacing w:after="80" w:line="300"/>
        <w:jc w:val="both"/>
      </w:pPr>
      <w:r>
        <w:rPr>
          <w:rFonts w:ascii="David" w:cs="David" w:eastAsia="David" w:hAnsi="David"/>
          <w:b/>
          <w:bCs/>
          <w:sz w:val="24"/>
          <w:szCs w:val="24"/>
          <w:rtl/>
        </w:rPr>
        <w:t xml:space="preserve">וַיִּשְׂאוּ ... נָשִׁים</w:t>
      </w:r>
      <w:r>
        <w:rPr>
          <w:rFonts w:ascii="David" w:cs="David" w:eastAsia="David" w:hAnsi="David"/>
          <w:sz w:val="24"/>
          <w:szCs w:val="24"/>
          <w:rtl/>
        </w:rPr>
        <w:t xml:space="preserve"> — צירוף „נשא אישה” = </w:t>
      </w:r>
      <w:r>
        <w:rPr>
          <w:rFonts w:ascii="David" w:cs="David" w:eastAsia="David" w:hAnsi="David"/>
          <w:b/>
          <w:bCs/>
          <w:sz w:val="24"/>
          <w:szCs w:val="24"/>
          <w:rtl/>
        </w:rPr>
        <w:t xml:space="preserve">נשא לאישה</w:t>
      </w:r>
      <w:r>
        <w:rPr>
          <w:rFonts w:ascii="David" w:cs="David" w:eastAsia="David" w:hAnsi="David"/>
          <w:sz w:val="24"/>
          <w:szCs w:val="24"/>
          <w:rtl/>
        </w:rPr>
        <w:t xml:space="preserve"> (הביטוי המקראי לנישואין). </w:t>
      </w:r>
      <w:r>
        <w:rPr>
          <w:rFonts w:ascii="David" w:cs="David" w:eastAsia="David" w:hAnsi="David"/>
          <w:b/>
          <w:bCs/>
          <w:sz w:val="24"/>
          <w:szCs w:val="24"/>
          <w:rtl/>
        </w:rPr>
        <w:t xml:space="preserve">בימינו: </w:t>
      </w:r>
      <w:r>
        <w:rPr>
          <w:rFonts w:ascii="David" w:cs="David" w:eastAsia="David" w:hAnsi="David"/>
          <w:sz w:val="24"/>
          <w:szCs w:val="24"/>
          <w:rtl/>
        </w:rPr>
        <w:t xml:space="preserve">„לשאת אישה” לשון גבוהה בלבד; הרווח „התחתן” (וראו מילון).</w:t>
      </w:r>
    </w:p>
    <w:p>
      <w:pPr>
        <w:pStyle w:val="ListParagraph"/>
        <w:numPr>
          <w:ilvl w:val="0"/>
          <w:numId w:val="2"/>
        </w:numPr>
        <w:bidi/>
        <w:spacing w:after="80" w:line="300"/>
        <w:jc w:val="both"/>
      </w:pPr>
      <w:r>
        <w:rPr>
          <w:rFonts w:ascii="David" w:cs="David" w:eastAsia="David" w:hAnsi="David"/>
          <w:b/>
          <w:bCs/>
          <w:sz w:val="24"/>
          <w:szCs w:val="24"/>
          <w:rtl/>
        </w:rPr>
        <w:t xml:space="preserve">וַיֵּשְׁבוּ</w:t>
      </w:r>
      <w:r>
        <w:rPr>
          <w:rFonts w:ascii="David" w:cs="David" w:eastAsia="David" w:hAnsi="David"/>
          <w:sz w:val="24"/>
          <w:szCs w:val="24"/>
          <w:rtl/>
        </w:rPr>
        <w:t xml:space="preserve"> — וי“ו ההיפוך (יש’ב, קל). </w:t>
      </w:r>
      <w:r>
        <w:rPr>
          <w:rFonts w:ascii="David" w:cs="David" w:eastAsia="David" w:hAnsi="David"/>
          <w:b/>
          <w:bCs/>
          <w:sz w:val="24"/>
          <w:szCs w:val="24"/>
          <w:rtl/>
        </w:rPr>
        <w:t xml:space="preserve">כְּעֶשֶׂר שָׁנִים</w:t>
      </w:r>
      <w:r>
        <w:rPr>
          <w:rFonts w:ascii="David" w:cs="David" w:eastAsia="David" w:hAnsi="David"/>
          <w:sz w:val="24"/>
          <w:szCs w:val="24"/>
          <w:rtl/>
        </w:rPr>
        <w:t xml:space="preserve"> — כ’ הקירוב.</w:t>
      </w:r>
    </w:p>
    <w:p>
      <w:pPr>
        <w:bidi/>
        <w:spacing w:after="80" w:before="200" w:line="340"/>
        <w:jc w:val="right"/>
      </w:pPr>
      <w:r>
        <w:rPr>
          <w:rFonts w:ascii="David" w:cs="David" w:eastAsia="David" w:hAnsi="David"/>
          <w:b/>
          <w:bCs/>
          <w:sz w:val="24"/>
          <w:szCs w:val="24"/>
          <w:rtl/>
        </w:rPr>
        <w:t xml:space="preserve">(ה)  </w:t>
      </w:r>
      <w:r>
        <w:rPr>
          <w:rFonts w:ascii="David" w:cs="David" w:eastAsia="David" w:hAnsi="David"/>
          <w:b/>
          <w:bCs/>
          <w:sz w:val="24"/>
          <w:szCs w:val="24"/>
          <w:rtl/>
        </w:rPr>
        <w:t xml:space="preserve">וַיָּמֻתוּ גַם שְׁנֵיהֶם מַחְלוֹן וְכִלְיוֹן וַתִּשָּׁאֵר הָאִשָּׁה מִשְּׁנֵי יְלָדֶיהָ וּמֵאִישָׁהּ.</w:t>
      </w:r>
    </w:p>
    <w:p>
      <w:pPr>
        <w:pStyle w:val="ListParagraph"/>
        <w:numPr>
          <w:ilvl w:val="0"/>
          <w:numId w:val="2"/>
        </w:numPr>
        <w:bidi/>
        <w:spacing w:after="80" w:line="300"/>
        <w:jc w:val="both"/>
      </w:pPr>
      <w:r>
        <w:rPr>
          <w:rFonts w:ascii="David" w:cs="David" w:eastAsia="David" w:hAnsi="David"/>
          <w:b/>
          <w:bCs/>
          <w:sz w:val="24"/>
          <w:szCs w:val="24"/>
          <w:rtl/>
        </w:rPr>
        <w:t xml:space="preserve">וַיָּמֻתוּ</w:t>
      </w:r>
      <w:r>
        <w:rPr>
          <w:rFonts w:ascii="David" w:cs="David" w:eastAsia="David" w:hAnsi="David"/>
          <w:sz w:val="24"/>
          <w:szCs w:val="24"/>
          <w:rtl/>
        </w:rPr>
        <w:t xml:space="preserve"> — וי“ו ההיפוך ברבים (מו’ת). </w:t>
      </w:r>
      <w:r>
        <w:rPr>
          <w:rFonts w:ascii="David" w:cs="David" w:eastAsia="David" w:hAnsi="David"/>
          <w:b/>
          <w:bCs/>
          <w:sz w:val="24"/>
          <w:szCs w:val="24"/>
          <w:rtl/>
        </w:rPr>
        <w:t xml:space="preserve">וַתִּשָּׁאֵר</w:t>
      </w:r>
      <w:r>
        <w:rPr>
          <w:rFonts w:ascii="David" w:cs="David" w:eastAsia="David" w:hAnsi="David"/>
          <w:sz w:val="24"/>
          <w:szCs w:val="24"/>
          <w:rtl/>
        </w:rPr>
        <w:t xml:space="preserve"> — נפעל, כבפס׳ ג.</w:t>
      </w:r>
    </w:p>
    <w:p>
      <w:pPr>
        <w:pStyle w:val="ListParagraph"/>
        <w:numPr>
          <w:ilvl w:val="0"/>
          <w:numId w:val="2"/>
        </w:numPr>
        <w:bidi/>
        <w:spacing w:after="80" w:line="300"/>
        <w:jc w:val="both"/>
      </w:pPr>
      <w:r>
        <w:rPr>
          <w:rFonts w:ascii="David" w:cs="David" w:eastAsia="David" w:hAnsi="David"/>
          <w:b/>
          <w:bCs/>
          <w:sz w:val="24"/>
          <w:szCs w:val="24"/>
          <w:rtl/>
        </w:rPr>
        <w:t xml:space="preserve">מִשְּׁנֵי יְלָדֶיהָ</w:t>
      </w:r>
      <w:r>
        <w:rPr>
          <w:rFonts w:ascii="David" w:cs="David" w:eastAsia="David" w:hAnsi="David"/>
          <w:sz w:val="24"/>
          <w:szCs w:val="24"/>
          <w:rtl/>
        </w:rPr>
        <w:t xml:space="preserve"> — </w:t>
      </w:r>
      <w:r>
        <w:rPr>
          <w:rFonts w:ascii="David" w:cs="David" w:eastAsia="David" w:hAnsi="David"/>
          <w:b/>
          <w:bCs/>
          <w:sz w:val="24"/>
          <w:szCs w:val="24"/>
          <w:rtl/>
        </w:rPr>
        <w:t xml:space="preserve">מ’ השלילה/החֶסֶר</w:t>
      </w:r>
      <w:r>
        <w:rPr>
          <w:rFonts w:ascii="David" w:cs="David" w:eastAsia="David" w:hAnsi="David"/>
          <w:sz w:val="24"/>
          <w:szCs w:val="24"/>
          <w:rtl/>
        </w:rPr>
        <w:t xml:space="preserve">: „נותרה בלא שני ילדיה”. </w:t>
      </w:r>
      <w:r>
        <w:rPr>
          <w:rFonts w:ascii="David" w:cs="David" w:eastAsia="David" w:hAnsi="David"/>
          <w:b/>
          <w:bCs/>
          <w:sz w:val="24"/>
          <w:szCs w:val="24"/>
          <w:rtl/>
        </w:rPr>
        <w:t xml:space="preserve">בימינו: </w:t>
      </w:r>
      <w:r>
        <w:rPr>
          <w:rFonts w:ascii="David" w:cs="David" w:eastAsia="David" w:hAnsi="David"/>
          <w:sz w:val="24"/>
          <w:szCs w:val="24"/>
          <w:rtl/>
        </w:rPr>
        <w:t xml:space="preserve">„ללא”/„בלי”. </w:t>
      </w:r>
      <w:r>
        <w:rPr>
          <w:rFonts w:ascii="David" w:cs="David" w:eastAsia="David" w:hAnsi="David"/>
          <w:b/>
          <w:bCs/>
          <w:sz w:val="24"/>
          <w:szCs w:val="24"/>
          <w:rtl/>
        </w:rPr>
        <w:t xml:space="preserve">יְלָדֶיהָ</w:t>
      </w:r>
      <w:r>
        <w:rPr>
          <w:rFonts w:ascii="David" w:cs="David" w:eastAsia="David" w:hAnsi="David"/>
          <w:sz w:val="24"/>
          <w:szCs w:val="24"/>
          <w:rtl/>
        </w:rPr>
        <w:t xml:space="preserve"> כאן = בניה הבוגרים (וראו מילון).</w:t>
      </w:r>
    </w:p>
    <w:p>
      <w:pPr>
        <w:bidi/>
        <w:spacing w:after="80" w:before="200" w:line="340"/>
        <w:jc w:val="right"/>
      </w:pPr>
      <w:r>
        <w:rPr>
          <w:rFonts w:ascii="David" w:cs="David" w:eastAsia="David" w:hAnsi="David"/>
          <w:b/>
          <w:bCs/>
          <w:sz w:val="24"/>
          <w:szCs w:val="24"/>
          <w:rtl/>
        </w:rPr>
        <w:t xml:space="preserve">(ו)  </w:t>
      </w:r>
      <w:r>
        <w:rPr>
          <w:rFonts w:ascii="David" w:cs="David" w:eastAsia="David" w:hAnsi="David"/>
          <w:b/>
          <w:bCs/>
          <w:sz w:val="24"/>
          <w:szCs w:val="24"/>
          <w:rtl/>
        </w:rPr>
        <w:t xml:space="preserve">וַתָּקָם הִיא וְכַלֹּתֶיהָ וַתָּשָׁב מִשְּׂדֵי מוֹאָב כִּי שָׁמְעָה בִּשְׂדֵה מוֹאָב כִּי פָקַד יְהוָה אֶת עַמּוֹ לָתֵת לָהֶם לָחֶם.</w:t>
      </w:r>
    </w:p>
    <w:p>
      <w:pPr>
        <w:pStyle w:val="ListParagraph"/>
        <w:numPr>
          <w:ilvl w:val="0"/>
          <w:numId w:val="2"/>
        </w:numPr>
        <w:bidi/>
        <w:spacing w:after="80" w:line="300"/>
        <w:jc w:val="both"/>
      </w:pPr>
      <w:r>
        <w:rPr>
          <w:rFonts w:ascii="David" w:cs="David" w:eastAsia="David" w:hAnsi="David"/>
          <w:b/>
          <w:bCs/>
          <w:sz w:val="24"/>
          <w:szCs w:val="24"/>
          <w:rtl/>
        </w:rPr>
        <w:t xml:space="preserve">וַתָּקָם / וַתָּשָׁב</w:t>
      </w:r>
      <w:r>
        <w:rPr>
          <w:rFonts w:ascii="David" w:cs="David" w:eastAsia="David" w:hAnsi="David"/>
          <w:sz w:val="24"/>
          <w:szCs w:val="24"/>
          <w:rtl/>
        </w:rPr>
        <w:t xml:space="preserve"> — וי“ו ההיפוך בגזרת ע“ו (קו’ם; שו’ב), בתבנית ניקוד מקראית אופיינית (קמץ בפ’ הפועל). </w:t>
      </w:r>
    </w:p>
    <w:p>
      <w:pPr>
        <w:pStyle w:val="ListParagraph"/>
        <w:numPr>
          <w:ilvl w:val="0"/>
          <w:numId w:val="2"/>
        </w:numPr>
        <w:bidi/>
        <w:spacing w:after="80" w:line="300"/>
        <w:jc w:val="both"/>
      </w:pPr>
      <w:r>
        <w:rPr>
          <w:rFonts w:ascii="David" w:cs="David" w:eastAsia="David" w:hAnsi="David"/>
          <w:b/>
          <w:bCs/>
          <w:sz w:val="24"/>
          <w:szCs w:val="24"/>
          <w:rtl/>
        </w:rPr>
        <w:t xml:space="preserve">כִּי שָׁמְעָה ... כִּי פָקַד</w:t>
      </w:r>
      <w:r>
        <w:rPr>
          <w:rFonts w:ascii="David" w:cs="David" w:eastAsia="David" w:hAnsi="David"/>
          <w:sz w:val="24"/>
          <w:szCs w:val="24"/>
          <w:rtl/>
        </w:rPr>
        <w:t xml:space="preserve"> — </w:t>
      </w:r>
      <w:r>
        <w:rPr>
          <w:rFonts w:ascii="David" w:cs="David" w:eastAsia="David" w:hAnsi="David"/>
          <w:b/>
          <w:bCs/>
          <w:sz w:val="24"/>
          <w:szCs w:val="24"/>
          <w:rtl/>
        </w:rPr>
        <w:t xml:space="preserve">עבר (קָטַל) בפסוקית סיבה</w:t>
      </w:r>
      <w:r>
        <w:rPr>
          <w:rFonts w:ascii="David" w:cs="David" w:eastAsia="David" w:hAnsi="David"/>
          <w:sz w:val="24"/>
          <w:szCs w:val="24"/>
          <w:rtl/>
        </w:rPr>
        <w:t xml:space="preserve"> הפותחת ב„כי”; העבר מציין פעולה שקדמה. </w:t>
      </w:r>
      <w:r>
        <w:rPr>
          <w:rFonts w:ascii="David" w:cs="David" w:eastAsia="David" w:hAnsi="David"/>
          <w:b/>
          <w:bCs/>
          <w:sz w:val="24"/>
          <w:szCs w:val="24"/>
          <w:rtl/>
        </w:rPr>
        <w:t xml:space="preserve">בימינו: </w:t>
      </w:r>
      <w:r>
        <w:rPr>
          <w:rFonts w:ascii="David" w:cs="David" w:eastAsia="David" w:hAnsi="David"/>
          <w:sz w:val="24"/>
          <w:szCs w:val="24"/>
          <w:rtl/>
        </w:rPr>
        <w:t xml:space="preserve">„כי שמעה... שפקד” — מבנה דומה, בעבר פשוט.</w:t>
      </w:r>
    </w:p>
    <w:p>
      <w:pPr>
        <w:pStyle w:val="ListParagraph"/>
        <w:numPr>
          <w:ilvl w:val="0"/>
          <w:numId w:val="2"/>
        </w:numPr>
        <w:bidi/>
        <w:spacing w:after="80" w:line="300"/>
        <w:jc w:val="both"/>
      </w:pPr>
      <w:r>
        <w:rPr>
          <w:rFonts w:ascii="David" w:cs="David" w:eastAsia="David" w:hAnsi="David"/>
          <w:b/>
          <w:bCs/>
          <w:sz w:val="24"/>
          <w:szCs w:val="24"/>
          <w:rtl/>
        </w:rPr>
        <w:t xml:space="preserve">לָתֵת</w:t>
      </w:r>
      <w:r>
        <w:rPr>
          <w:rFonts w:ascii="David" w:cs="David" w:eastAsia="David" w:hAnsi="David"/>
          <w:sz w:val="24"/>
          <w:szCs w:val="24"/>
          <w:rtl/>
        </w:rPr>
        <w:t xml:space="preserve"> — </w:t>
      </w:r>
      <w:r>
        <w:rPr>
          <w:rFonts w:ascii="David" w:cs="David" w:eastAsia="David" w:hAnsi="David"/>
          <w:b/>
          <w:bCs/>
          <w:sz w:val="24"/>
          <w:szCs w:val="24"/>
          <w:rtl/>
        </w:rPr>
        <w:t xml:space="preserve">מקור נטוי</w:t>
      </w:r>
      <w:r>
        <w:rPr>
          <w:rFonts w:ascii="David" w:cs="David" w:eastAsia="David" w:hAnsi="David"/>
          <w:sz w:val="24"/>
          <w:szCs w:val="24"/>
          <w:rtl/>
        </w:rPr>
        <w:t xml:space="preserve"> (נת’ן, קל; נו“ן ראשונה נטמעה) עם לְ’ התכלית = „כדי לתת”. </w:t>
      </w:r>
      <w:r>
        <w:rPr>
          <w:rFonts w:ascii="David" w:cs="David" w:eastAsia="David" w:hAnsi="David"/>
          <w:b/>
          <w:bCs/>
          <w:sz w:val="24"/>
          <w:szCs w:val="24"/>
          <w:rtl/>
        </w:rPr>
        <w:t xml:space="preserve">בימינו: </w:t>
      </w:r>
      <w:r>
        <w:rPr>
          <w:rFonts w:ascii="David" w:cs="David" w:eastAsia="David" w:hAnsi="David"/>
          <w:sz w:val="24"/>
          <w:szCs w:val="24"/>
          <w:rtl/>
        </w:rPr>
        <w:t xml:space="preserve">לָתֵת — הצורה נשתמרה.</w:t>
      </w:r>
    </w:p>
    <w:p>
      <w:pPr>
        <w:pStyle w:val="ListParagraph"/>
        <w:numPr>
          <w:ilvl w:val="0"/>
          <w:numId w:val="2"/>
        </w:numPr>
        <w:bidi/>
        <w:spacing w:after="80" w:line="300"/>
        <w:jc w:val="both"/>
      </w:pPr>
      <w:r>
        <w:rPr>
          <w:rFonts w:ascii="David" w:cs="David" w:eastAsia="David" w:hAnsi="David"/>
          <w:b/>
          <w:bCs/>
          <w:sz w:val="24"/>
          <w:szCs w:val="24"/>
          <w:rtl/>
        </w:rPr>
        <w:t xml:space="preserve">פָקַד</w:t>
      </w:r>
      <w:r>
        <w:rPr>
          <w:rFonts w:ascii="David" w:cs="David" w:eastAsia="David" w:hAnsi="David"/>
          <w:sz w:val="24"/>
          <w:szCs w:val="24"/>
          <w:rtl/>
        </w:rPr>
        <w:t xml:space="preserve"> — כאן „נתן דעתו לטובה, זכר”; משמעות שהשתנתה מאוד בימינו (מילון).</w:t>
      </w:r>
    </w:p>
    <w:p>
      <w:pPr>
        <w:bidi/>
        <w:spacing w:after="80" w:before="200" w:line="340"/>
        <w:jc w:val="right"/>
      </w:pPr>
      <w:r>
        <w:rPr>
          <w:rFonts w:ascii="David" w:cs="David" w:eastAsia="David" w:hAnsi="David"/>
          <w:b/>
          <w:bCs/>
          <w:sz w:val="24"/>
          <w:szCs w:val="24"/>
          <w:rtl/>
        </w:rPr>
        <w:t xml:space="preserve">(ז)  </w:t>
      </w:r>
      <w:r>
        <w:rPr>
          <w:rFonts w:ascii="David" w:cs="David" w:eastAsia="David" w:hAnsi="David"/>
          <w:b/>
          <w:bCs/>
          <w:sz w:val="24"/>
          <w:szCs w:val="24"/>
          <w:rtl/>
        </w:rPr>
        <w:t xml:space="preserve">וַתֵּצֵא מִן הַמָּקוֹם אֲשֶׁר הָיְתָה שָּׁמָּה וּשְׁתֵּי כַלֹּתֶיהָ עִמָּהּ וַתֵּלַכְנָה בַדֶּרֶךְ לָשׁוּב אֶל אֶרֶץ יְהוּדָה.</w:t>
      </w:r>
    </w:p>
    <w:p>
      <w:pPr>
        <w:pStyle w:val="ListParagraph"/>
        <w:numPr>
          <w:ilvl w:val="0"/>
          <w:numId w:val="2"/>
        </w:numPr>
        <w:bidi/>
        <w:spacing w:after="80" w:line="300"/>
        <w:jc w:val="both"/>
      </w:pPr>
      <w:r>
        <w:rPr>
          <w:rFonts w:ascii="David" w:cs="David" w:eastAsia="David" w:hAnsi="David"/>
          <w:b/>
          <w:bCs/>
          <w:sz w:val="24"/>
          <w:szCs w:val="24"/>
          <w:rtl/>
        </w:rPr>
        <w:t xml:space="preserve">וַתֵּצֵא</w:t>
      </w:r>
      <w:r>
        <w:rPr>
          <w:rFonts w:ascii="David" w:cs="David" w:eastAsia="David" w:hAnsi="David"/>
          <w:sz w:val="24"/>
          <w:szCs w:val="24"/>
          <w:rtl/>
        </w:rPr>
        <w:t xml:space="preserve"> — וי“ו ההיפוך (יצ’א, קל).</w:t>
      </w:r>
    </w:p>
    <w:p>
      <w:pPr>
        <w:pStyle w:val="ListParagraph"/>
        <w:numPr>
          <w:ilvl w:val="0"/>
          <w:numId w:val="2"/>
        </w:numPr>
        <w:bidi/>
        <w:spacing w:after="80" w:line="300"/>
        <w:jc w:val="both"/>
      </w:pPr>
      <w:r>
        <w:rPr>
          <w:rFonts w:ascii="David" w:cs="David" w:eastAsia="David" w:hAnsi="David"/>
          <w:b/>
          <w:bCs/>
          <w:sz w:val="24"/>
          <w:szCs w:val="24"/>
          <w:rtl/>
        </w:rPr>
        <w:t xml:space="preserve">אֲשֶׁר הָיְתָה שָּׁמָּה</w:t>
      </w:r>
      <w:r>
        <w:rPr>
          <w:rFonts w:ascii="David" w:cs="David" w:eastAsia="David" w:hAnsi="David"/>
          <w:sz w:val="24"/>
          <w:szCs w:val="24"/>
          <w:rtl/>
        </w:rPr>
        <w:t xml:space="preserve"> — פסוקית זיקה עם </w:t>
      </w:r>
      <w:r>
        <w:rPr>
          <w:rFonts w:ascii="David" w:cs="David" w:eastAsia="David" w:hAnsi="David"/>
          <w:b/>
          <w:bCs/>
          <w:sz w:val="24"/>
          <w:szCs w:val="24"/>
          <w:rtl/>
        </w:rPr>
        <w:t xml:space="preserve">כינוי חוזר תיאורי „שָׁמָּה”</w:t>
      </w:r>
      <w:r>
        <w:rPr>
          <w:rFonts w:ascii="David" w:cs="David" w:eastAsia="David" w:hAnsi="David"/>
          <w:sz w:val="24"/>
          <w:szCs w:val="24"/>
          <w:rtl/>
        </w:rPr>
        <w:t xml:space="preserve"> („המקום אשר הייתה שם”); שָׁמָּה בה“א הכיוון. </w:t>
      </w:r>
      <w:r>
        <w:rPr>
          <w:rFonts w:ascii="David" w:cs="David" w:eastAsia="David" w:hAnsi="David"/>
          <w:b/>
          <w:bCs/>
          <w:sz w:val="24"/>
          <w:szCs w:val="24"/>
          <w:rtl/>
        </w:rPr>
        <w:t xml:space="preserve">בימינו: </w:t>
      </w:r>
      <w:r>
        <w:rPr>
          <w:rFonts w:ascii="David" w:cs="David" w:eastAsia="David" w:hAnsi="David"/>
          <w:sz w:val="24"/>
          <w:szCs w:val="24"/>
          <w:rtl/>
        </w:rPr>
        <w:t xml:space="preserve">„המקום שבו הייתה”.</w:t>
      </w:r>
    </w:p>
    <w:p>
      <w:pPr>
        <w:pStyle w:val="ListParagraph"/>
        <w:numPr>
          <w:ilvl w:val="0"/>
          <w:numId w:val="2"/>
        </w:numPr>
        <w:bidi/>
        <w:spacing w:after="80" w:line="300"/>
        <w:jc w:val="both"/>
      </w:pPr>
      <w:r>
        <w:rPr>
          <w:rFonts w:ascii="David" w:cs="David" w:eastAsia="David" w:hAnsi="David"/>
          <w:b/>
          <w:bCs/>
          <w:sz w:val="24"/>
          <w:szCs w:val="24"/>
          <w:rtl/>
        </w:rPr>
        <w:t xml:space="preserve">וַתֵּלַכְנָה</w:t>
      </w:r>
      <w:r>
        <w:rPr>
          <w:rFonts w:ascii="David" w:cs="David" w:eastAsia="David" w:hAnsi="David"/>
          <w:sz w:val="24"/>
          <w:szCs w:val="24"/>
          <w:rtl/>
        </w:rPr>
        <w:t xml:space="preserve"> — </w:t>
      </w:r>
      <w:r>
        <w:rPr>
          <w:rFonts w:ascii="David" w:cs="David" w:eastAsia="David" w:hAnsi="David"/>
          <w:b/>
          <w:bCs/>
          <w:sz w:val="24"/>
          <w:szCs w:val="24"/>
          <w:rtl/>
        </w:rPr>
        <w:t xml:space="preserve">וי“ו ההיפוך בנקבות רבות (סיומת -נָה)</w:t>
      </w:r>
      <w:r>
        <w:rPr>
          <w:rFonts w:ascii="David" w:cs="David" w:eastAsia="David" w:hAnsi="David"/>
          <w:sz w:val="24"/>
          <w:szCs w:val="24"/>
          <w:rtl/>
        </w:rPr>
        <w:t xml:space="preserve">. צורה זו כמעט אבדה בעברית המדוברת בת-ימינו, שבה הנקבה מתלכדת עם הזכר („הלכו”). </w:t>
      </w:r>
      <w:r>
        <w:rPr>
          <w:rFonts w:ascii="David" w:cs="David" w:eastAsia="David" w:hAnsi="David"/>
          <w:b/>
          <w:bCs/>
          <w:sz w:val="24"/>
          <w:szCs w:val="24"/>
          <w:rtl/>
        </w:rPr>
        <w:t xml:space="preserve">בימינו: </w:t>
      </w:r>
      <w:r>
        <w:rPr>
          <w:rFonts w:ascii="David" w:cs="David" w:eastAsia="David" w:hAnsi="David"/>
          <w:sz w:val="24"/>
          <w:szCs w:val="24"/>
          <w:rtl/>
        </w:rPr>
        <w:t xml:space="preserve">„והלכו”.</w:t>
      </w:r>
    </w:p>
    <w:p>
      <w:pPr>
        <w:pStyle w:val="ListParagraph"/>
        <w:numPr>
          <w:ilvl w:val="0"/>
          <w:numId w:val="2"/>
        </w:numPr>
        <w:bidi/>
        <w:spacing w:after="80" w:line="300"/>
        <w:jc w:val="both"/>
      </w:pPr>
      <w:r>
        <w:rPr>
          <w:rFonts w:ascii="David" w:cs="David" w:eastAsia="David" w:hAnsi="David"/>
          <w:b/>
          <w:bCs/>
          <w:sz w:val="24"/>
          <w:szCs w:val="24"/>
          <w:rtl/>
        </w:rPr>
        <w:t xml:space="preserve">לָשׁוּב</w:t>
      </w:r>
      <w:r>
        <w:rPr>
          <w:rFonts w:ascii="David" w:cs="David" w:eastAsia="David" w:hAnsi="David"/>
          <w:sz w:val="24"/>
          <w:szCs w:val="24"/>
          <w:rtl/>
        </w:rPr>
        <w:t xml:space="preserve"> — מקור נטוי (שו’ב) עם לְ’ התכלית.</w:t>
      </w:r>
    </w:p>
    <w:p>
      <w:pPr>
        <w:bidi/>
        <w:spacing w:after="80" w:before="200" w:line="340"/>
        <w:jc w:val="right"/>
      </w:pPr>
      <w:r>
        <w:rPr>
          <w:rFonts w:ascii="David" w:cs="David" w:eastAsia="David" w:hAnsi="David"/>
          <w:b/>
          <w:bCs/>
          <w:sz w:val="24"/>
          <w:szCs w:val="24"/>
          <w:rtl/>
        </w:rPr>
        <w:t xml:space="preserve">(ח)  </w:t>
      </w:r>
      <w:r>
        <w:rPr>
          <w:rFonts w:ascii="David" w:cs="David" w:eastAsia="David" w:hAnsi="David"/>
          <w:b/>
          <w:bCs/>
          <w:sz w:val="24"/>
          <w:szCs w:val="24"/>
          <w:rtl/>
        </w:rPr>
        <w:t xml:space="preserve">וַתֹּאמֶר נָעֳמִי לִשְׁתֵּי כַלֹּתֶיהָ לֵכְנָה שֹּׁבְנָה אִשָּׁה לְבֵית אִמָּהּ יַעַשׂ [כתיב: יעשה] יְהוָה עִמָּכֶם חֶסֶד כַּאֲשֶׁר עֲשִׂיתֶם עִם הַמֵּתִים וְעִמָּדִי.</w:t>
      </w:r>
    </w:p>
    <w:p>
      <w:pPr>
        <w:pStyle w:val="ListParagraph"/>
        <w:numPr>
          <w:ilvl w:val="0"/>
          <w:numId w:val="2"/>
        </w:numPr>
        <w:bidi/>
        <w:spacing w:after="80" w:line="300"/>
        <w:jc w:val="both"/>
      </w:pPr>
      <w:r>
        <w:rPr>
          <w:rFonts w:ascii="David" w:cs="David" w:eastAsia="David" w:hAnsi="David"/>
          <w:b/>
          <w:bCs/>
          <w:sz w:val="24"/>
          <w:szCs w:val="24"/>
          <w:rtl/>
        </w:rPr>
        <w:t xml:space="preserve">לֵכְנָה, שֹּׁבְנָה</w:t>
      </w:r>
      <w:r>
        <w:rPr>
          <w:rFonts w:ascii="David" w:cs="David" w:eastAsia="David" w:hAnsi="David"/>
          <w:sz w:val="24"/>
          <w:szCs w:val="24"/>
          <w:rtl/>
        </w:rPr>
        <w:t xml:space="preserve"> — </w:t>
      </w:r>
      <w:r>
        <w:rPr>
          <w:rFonts w:ascii="David" w:cs="David" w:eastAsia="David" w:hAnsi="David"/>
          <w:b/>
          <w:bCs/>
          <w:sz w:val="24"/>
          <w:szCs w:val="24"/>
          <w:rtl/>
        </w:rPr>
        <w:t xml:space="preserve">ציווי נוכחות (נקבה רבות)</w:t>
      </w:r>
      <w:r>
        <w:rPr>
          <w:rFonts w:ascii="David" w:cs="David" w:eastAsia="David" w:hAnsi="David"/>
          <w:sz w:val="24"/>
          <w:szCs w:val="24"/>
          <w:rtl/>
        </w:rPr>
        <w:t xml:space="preserve">, סיומת -נָה; צורות שרובן נעלמו מלשון הדיבור. </w:t>
      </w:r>
      <w:r>
        <w:rPr>
          <w:rFonts w:ascii="David" w:cs="David" w:eastAsia="David" w:hAnsi="David"/>
          <w:b/>
          <w:bCs/>
          <w:sz w:val="24"/>
          <w:szCs w:val="24"/>
          <w:rtl/>
        </w:rPr>
        <w:t xml:space="preserve">אִשָּׁה</w:t>
      </w:r>
      <w:r>
        <w:rPr>
          <w:rFonts w:ascii="David" w:cs="David" w:eastAsia="David" w:hAnsi="David"/>
          <w:sz w:val="24"/>
          <w:szCs w:val="24"/>
          <w:rtl/>
        </w:rPr>
        <w:t xml:space="preserve"> = כינוי חלוקה („כל אחת”).</w:t>
      </w:r>
    </w:p>
    <w:p>
      <w:pPr>
        <w:pStyle w:val="ListParagraph"/>
        <w:numPr>
          <w:ilvl w:val="0"/>
          <w:numId w:val="2"/>
        </w:numPr>
        <w:bidi/>
        <w:spacing w:after="80" w:line="300"/>
        <w:jc w:val="both"/>
      </w:pPr>
      <w:r>
        <w:rPr>
          <w:rFonts w:ascii="David" w:cs="David" w:eastAsia="David" w:hAnsi="David"/>
          <w:b/>
          <w:bCs/>
          <w:sz w:val="24"/>
          <w:szCs w:val="24"/>
          <w:rtl/>
        </w:rPr>
        <w:t xml:space="preserve">יַעַשׂ</w:t>
      </w:r>
      <w:r>
        <w:rPr>
          <w:rFonts w:ascii="David" w:cs="David" w:eastAsia="David" w:hAnsi="David"/>
          <w:sz w:val="24"/>
          <w:szCs w:val="24"/>
          <w:rtl/>
        </w:rPr>
        <w:t xml:space="preserve"> (קרי; כתיב „יעשה”) — </w:t>
      </w:r>
      <w:r>
        <w:rPr>
          <w:rFonts w:ascii="David" w:cs="David" w:eastAsia="David" w:hAnsi="David"/>
          <w:b/>
          <w:bCs/>
          <w:sz w:val="24"/>
          <w:szCs w:val="24"/>
          <w:rtl/>
        </w:rPr>
        <w:t xml:space="preserve">צורת עתיד מקוצרת (jussive) להבעת משאלה</w:t>
      </w:r>
      <w:r>
        <w:rPr>
          <w:rFonts w:ascii="David" w:cs="David" w:eastAsia="David" w:hAnsi="David"/>
          <w:sz w:val="24"/>
          <w:szCs w:val="24"/>
          <w:rtl/>
        </w:rPr>
        <w:t xml:space="preserve">: „יעש/יעשה ה’ עמכם חסד”, וגם דוגמת כתיב-וקרי. </w:t>
      </w:r>
      <w:r>
        <w:rPr>
          <w:rFonts w:ascii="David" w:cs="David" w:eastAsia="David" w:hAnsi="David"/>
          <w:b/>
          <w:bCs/>
          <w:sz w:val="24"/>
          <w:szCs w:val="24"/>
          <w:rtl/>
        </w:rPr>
        <w:t xml:space="preserve">בימינו: </w:t>
      </w:r>
      <w:r>
        <w:rPr>
          <w:rFonts w:ascii="David" w:cs="David" w:eastAsia="David" w:hAnsi="David"/>
          <w:sz w:val="24"/>
          <w:szCs w:val="24"/>
          <w:rtl/>
        </w:rPr>
        <w:t xml:space="preserve">„יעשה” — בלא צורת קיצור מיוחדת, לרוב „שה’ יעשה”.</w:t>
      </w:r>
    </w:p>
    <w:p>
      <w:pPr>
        <w:pStyle w:val="ListParagraph"/>
        <w:numPr>
          <w:ilvl w:val="0"/>
          <w:numId w:val="2"/>
        </w:numPr>
        <w:bidi/>
        <w:spacing w:after="80" w:line="300"/>
        <w:jc w:val="both"/>
      </w:pPr>
      <w:r>
        <w:rPr>
          <w:rFonts w:ascii="David" w:cs="David" w:eastAsia="David" w:hAnsi="David"/>
          <w:b/>
          <w:bCs/>
          <w:sz w:val="24"/>
          <w:szCs w:val="24"/>
          <w:rtl/>
        </w:rPr>
        <w:t xml:space="preserve">עֲשִׂיתֶם</w:t>
      </w:r>
      <w:r>
        <w:rPr>
          <w:rFonts w:ascii="David" w:cs="David" w:eastAsia="David" w:hAnsi="David"/>
          <w:sz w:val="24"/>
          <w:szCs w:val="24"/>
          <w:rtl/>
        </w:rPr>
        <w:t xml:space="preserve"> — עבר, גוף שני; מובא בזכר אף שהנמענות נקבות — תופעת נטייה מקראית (זכר במקום נקבה). </w:t>
      </w:r>
      <w:r>
        <w:rPr>
          <w:rFonts w:ascii="David" w:cs="David" w:eastAsia="David" w:hAnsi="David"/>
          <w:b/>
          <w:bCs/>
          <w:sz w:val="24"/>
          <w:szCs w:val="24"/>
          <w:rtl/>
        </w:rPr>
        <w:t xml:space="preserve">עִמָּדִי</w:t>
      </w:r>
      <w:r>
        <w:rPr>
          <w:rFonts w:ascii="David" w:cs="David" w:eastAsia="David" w:hAnsi="David"/>
          <w:sz w:val="24"/>
          <w:szCs w:val="24"/>
          <w:rtl/>
        </w:rPr>
        <w:t xml:space="preserve"> — צורת לוואי ארכאית של „עמי”. </w:t>
      </w:r>
      <w:r>
        <w:rPr>
          <w:rFonts w:ascii="David" w:cs="David" w:eastAsia="David" w:hAnsi="David"/>
          <w:b/>
          <w:bCs/>
          <w:sz w:val="24"/>
          <w:szCs w:val="24"/>
          <w:rtl/>
        </w:rPr>
        <w:t xml:space="preserve">בימינו: </w:t>
      </w:r>
      <w:r>
        <w:rPr>
          <w:rFonts w:ascii="David" w:cs="David" w:eastAsia="David" w:hAnsi="David"/>
          <w:sz w:val="24"/>
          <w:szCs w:val="24"/>
          <w:rtl/>
        </w:rPr>
        <w:t xml:space="preserve">„איתי”/„עמי”.</w:t>
      </w:r>
    </w:p>
    <w:p>
      <w:pPr>
        <w:bidi/>
        <w:spacing w:after="80" w:before="200" w:line="340"/>
        <w:jc w:val="right"/>
      </w:pPr>
      <w:r>
        <w:rPr>
          <w:rFonts w:ascii="David" w:cs="David" w:eastAsia="David" w:hAnsi="David"/>
          <w:b/>
          <w:bCs/>
          <w:sz w:val="24"/>
          <w:szCs w:val="24"/>
          <w:rtl/>
        </w:rPr>
        <w:t xml:space="preserve">(ט)  </w:t>
      </w:r>
      <w:r>
        <w:rPr>
          <w:rFonts w:ascii="David" w:cs="David" w:eastAsia="David" w:hAnsi="David"/>
          <w:b/>
          <w:bCs/>
          <w:sz w:val="24"/>
          <w:szCs w:val="24"/>
          <w:rtl/>
        </w:rPr>
        <w:t xml:space="preserve">יִתֵּן יְהוָה לָכֶם וּמְצֶאןָ מְנוּחָה אִשָּׁה בֵּית אִישָׁהּ וַתִּשַּׁק לָהֶן וַתִּשֶּׂאנָה קוֹלָן וַתִּבְכֶּינָה.</w:t>
      </w:r>
    </w:p>
    <w:p>
      <w:pPr>
        <w:pStyle w:val="ListParagraph"/>
        <w:numPr>
          <w:ilvl w:val="0"/>
          <w:numId w:val="2"/>
        </w:numPr>
        <w:bidi/>
        <w:spacing w:after="80" w:line="300"/>
        <w:jc w:val="both"/>
      </w:pPr>
      <w:r>
        <w:rPr>
          <w:rFonts w:ascii="David" w:cs="David" w:eastAsia="David" w:hAnsi="David"/>
          <w:b/>
          <w:bCs/>
          <w:sz w:val="24"/>
          <w:szCs w:val="24"/>
          <w:rtl/>
        </w:rPr>
        <w:t xml:space="preserve">יִתֵּן</w:t>
      </w:r>
      <w:r>
        <w:rPr>
          <w:rFonts w:ascii="David" w:cs="David" w:eastAsia="David" w:hAnsi="David"/>
          <w:sz w:val="24"/>
          <w:szCs w:val="24"/>
          <w:rtl/>
        </w:rPr>
        <w:t xml:space="preserve"> — </w:t>
      </w:r>
      <w:r>
        <w:rPr>
          <w:rFonts w:ascii="David" w:cs="David" w:eastAsia="David" w:hAnsi="David"/>
          <w:b/>
          <w:bCs/>
          <w:sz w:val="24"/>
          <w:szCs w:val="24"/>
          <w:rtl/>
        </w:rPr>
        <w:t xml:space="preserve">עתיד/מקוצר בהוראת משאלה</w:t>
      </w:r>
      <w:r>
        <w:rPr>
          <w:rFonts w:ascii="David" w:cs="David" w:eastAsia="David" w:hAnsi="David"/>
          <w:sz w:val="24"/>
          <w:szCs w:val="24"/>
          <w:rtl/>
        </w:rPr>
        <w:t xml:space="preserve"> (נת’ן): „ייתן ה’”. </w:t>
      </w:r>
    </w:p>
    <w:p>
      <w:pPr>
        <w:pStyle w:val="ListParagraph"/>
        <w:numPr>
          <w:ilvl w:val="0"/>
          <w:numId w:val="2"/>
        </w:numPr>
        <w:bidi/>
        <w:spacing w:after="80" w:line="300"/>
        <w:jc w:val="both"/>
      </w:pPr>
      <w:r>
        <w:rPr>
          <w:rFonts w:ascii="David" w:cs="David" w:eastAsia="David" w:hAnsi="David"/>
          <w:b/>
          <w:bCs/>
          <w:sz w:val="24"/>
          <w:szCs w:val="24"/>
          <w:rtl/>
        </w:rPr>
        <w:t xml:space="preserve">וּמְצֶאןָ</w:t>
      </w:r>
      <w:r>
        <w:rPr>
          <w:rFonts w:ascii="David" w:cs="David" w:eastAsia="David" w:hAnsi="David"/>
          <w:sz w:val="24"/>
          <w:szCs w:val="24"/>
          <w:rtl/>
        </w:rPr>
        <w:t xml:space="preserve"> (קרי; כתיב „ומצאן”) — </w:t>
      </w:r>
      <w:r>
        <w:rPr>
          <w:rFonts w:ascii="David" w:cs="David" w:eastAsia="David" w:hAnsi="David"/>
          <w:b/>
          <w:bCs/>
          <w:sz w:val="24"/>
          <w:szCs w:val="24"/>
          <w:rtl/>
        </w:rPr>
        <w:t xml:space="preserve">וי“ו ההיפוך לעתיד/וְקָטַל בהוראת משאלה</w:t>
      </w:r>
      <w:r>
        <w:rPr>
          <w:rFonts w:ascii="David" w:cs="David" w:eastAsia="David" w:hAnsi="David"/>
          <w:sz w:val="24"/>
          <w:szCs w:val="24"/>
          <w:rtl/>
        </w:rPr>
        <w:t xml:space="preserve">, גוף שני נקבה רבות (מצ’א): „ותמצאנה”. דוגמת כתיב-וקרי נוספת ורצף וֹלוֹנטיבי. </w:t>
      </w:r>
      <w:r>
        <w:rPr>
          <w:rFonts w:ascii="David" w:cs="David" w:eastAsia="David" w:hAnsi="David"/>
          <w:b/>
          <w:bCs/>
          <w:sz w:val="24"/>
          <w:szCs w:val="24"/>
          <w:rtl/>
        </w:rPr>
        <w:t xml:space="preserve">בימינו: </w:t>
      </w:r>
      <w:r>
        <w:rPr>
          <w:rFonts w:ascii="David" w:cs="David" w:eastAsia="David" w:hAnsi="David"/>
          <w:sz w:val="24"/>
          <w:szCs w:val="24"/>
          <w:rtl/>
        </w:rPr>
        <w:t xml:space="preserve">„ושתמצאנה/שתמצאו”.</w:t>
      </w:r>
    </w:p>
    <w:p>
      <w:pPr>
        <w:pStyle w:val="ListParagraph"/>
        <w:numPr>
          <w:ilvl w:val="0"/>
          <w:numId w:val="2"/>
        </w:numPr>
        <w:bidi/>
        <w:spacing w:after="80" w:line="300"/>
        <w:jc w:val="both"/>
      </w:pPr>
      <w:r>
        <w:rPr>
          <w:rFonts w:ascii="David" w:cs="David" w:eastAsia="David" w:hAnsi="David"/>
          <w:b/>
          <w:bCs/>
          <w:sz w:val="24"/>
          <w:szCs w:val="24"/>
          <w:rtl/>
        </w:rPr>
        <w:t xml:space="preserve">בֵּית אִישָׁהּ</w:t>
      </w:r>
      <w:r>
        <w:rPr>
          <w:rFonts w:ascii="David" w:cs="David" w:eastAsia="David" w:hAnsi="David"/>
          <w:sz w:val="24"/>
          <w:szCs w:val="24"/>
          <w:rtl/>
        </w:rPr>
        <w:t xml:space="preserve"> — </w:t>
      </w:r>
      <w:r>
        <w:rPr>
          <w:rFonts w:ascii="David" w:cs="David" w:eastAsia="David" w:hAnsi="David"/>
          <w:b/>
          <w:bCs/>
          <w:sz w:val="24"/>
          <w:szCs w:val="24"/>
          <w:rtl/>
        </w:rPr>
        <w:t xml:space="preserve">תיאור מקום בלא מילת יחס</w:t>
      </w:r>
      <w:r>
        <w:rPr>
          <w:rFonts w:ascii="David" w:cs="David" w:eastAsia="David" w:hAnsi="David"/>
          <w:sz w:val="24"/>
          <w:szCs w:val="24"/>
          <w:rtl/>
        </w:rPr>
        <w:t xml:space="preserve"> („[ב]בית אישה”). </w:t>
      </w:r>
      <w:r>
        <w:rPr>
          <w:rFonts w:ascii="David" w:cs="David" w:eastAsia="David" w:hAnsi="David"/>
          <w:b/>
          <w:bCs/>
          <w:sz w:val="24"/>
          <w:szCs w:val="24"/>
          <w:rtl/>
        </w:rPr>
        <w:t xml:space="preserve">בימינו: </w:t>
      </w:r>
      <w:r>
        <w:rPr>
          <w:rFonts w:ascii="David" w:cs="David" w:eastAsia="David" w:hAnsi="David"/>
          <w:sz w:val="24"/>
          <w:szCs w:val="24"/>
          <w:rtl/>
        </w:rPr>
        <w:t xml:space="preserve">„בבית בעלה”.</w:t>
      </w:r>
    </w:p>
    <w:p>
      <w:pPr>
        <w:pStyle w:val="ListParagraph"/>
        <w:numPr>
          <w:ilvl w:val="0"/>
          <w:numId w:val="2"/>
        </w:numPr>
        <w:bidi/>
        <w:spacing w:after="80" w:line="300"/>
        <w:jc w:val="both"/>
      </w:pPr>
      <w:r>
        <w:rPr>
          <w:rFonts w:ascii="David" w:cs="David" w:eastAsia="David" w:hAnsi="David"/>
          <w:b/>
          <w:bCs/>
          <w:sz w:val="24"/>
          <w:szCs w:val="24"/>
          <w:rtl/>
        </w:rPr>
        <w:t xml:space="preserve">וַתִּשַּׁק / וַתִּשֶּׂאנָה / וַתִּבְכֶּינָה</w:t>
      </w:r>
      <w:r>
        <w:rPr>
          <w:rFonts w:ascii="David" w:cs="David" w:eastAsia="David" w:hAnsi="David"/>
          <w:sz w:val="24"/>
          <w:szCs w:val="24"/>
          <w:rtl/>
        </w:rPr>
        <w:t xml:space="preserve"> — וי“ו ההיפוך; היחיד/ה בזכר-לשעבר („ותשק”, יחיד) ואחריו </w:t>
      </w:r>
      <w:r>
        <w:rPr>
          <w:rFonts w:ascii="David" w:cs="David" w:eastAsia="David" w:hAnsi="David"/>
          <w:b/>
          <w:bCs/>
          <w:sz w:val="24"/>
          <w:szCs w:val="24"/>
          <w:rtl/>
        </w:rPr>
        <w:t xml:space="preserve">נקבות רבות בסיומת -נָה</w:t>
      </w:r>
      <w:r>
        <w:rPr>
          <w:rFonts w:ascii="David" w:cs="David" w:eastAsia="David" w:hAnsi="David"/>
          <w:sz w:val="24"/>
          <w:szCs w:val="24"/>
          <w:rtl/>
        </w:rPr>
        <w:t xml:space="preserve"> („ותשאנה”, „ותבכינה”) — עדות מובהקת לנטיית הנקבה הרבה במקרא.</w:t>
      </w:r>
    </w:p>
    <w:p>
      <w:pPr>
        <w:bidi/>
        <w:spacing w:after="80" w:before="200" w:line="340"/>
        <w:jc w:val="right"/>
      </w:pPr>
      <w:r>
        <w:rPr>
          <w:rFonts w:ascii="David" w:cs="David" w:eastAsia="David" w:hAnsi="David"/>
          <w:b/>
          <w:bCs/>
          <w:sz w:val="24"/>
          <w:szCs w:val="24"/>
          <w:rtl/>
        </w:rPr>
        <w:t xml:space="preserve">(י)  </w:t>
      </w:r>
      <w:r>
        <w:rPr>
          <w:rFonts w:ascii="David" w:cs="David" w:eastAsia="David" w:hAnsi="David"/>
          <w:b/>
          <w:bCs/>
          <w:sz w:val="24"/>
          <w:szCs w:val="24"/>
          <w:rtl/>
        </w:rPr>
        <w:t xml:space="preserve">וַתֹּאמַרְנָה לָּהּ כִּי אִתָּךְ נָשׁוּב לְעַמֵּךְ.</w:t>
      </w:r>
    </w:p>
    <w:p>
      <w:pPr>
        <w:pStyle w:val="ListParagraph"/>
        <w:numPr>
          <w:ilvl w:val="0"/>
          <w:numId w:val="2"/>
        </w:numPr>
        <w:bidi/>
        <w:spacing w:after="80" w:line="300"/>
        <w:jc w:val="both"/>
      </w:pPr>
      <w:r>
        <w:rPr>
          <w:rFonts w:ascii="David" w:cs="David" w:eastAsia="David" w:hAnsi="David"/>
          <w:b/>
          <w:bCs/>
          <w:sz w:val="24"/>
          <w:szCs w:val="24"/>
          <w:rtl/>
        </w:rPr>
        <w:t xml:space="preserve">וַתֹּאמַרְנָה</w:t>
      </w:r>
      <w:r>
        <w:rPr>
          <w:rFonts w:ascii="David" w:cs="David" w:eastAsia="David" w:hAnsi="David"/>
          <w:sz w:val="24"/>
          <w:szCs w:val="24"/>
          <w:rtl/>
        </w:rPr>
        <w:t xml:space="preserve"> — וי“ו ההיפוך, נקבות רבות (אמ’ר). </w:t>
      </w:r>
      <w:r>
        <w:rPr>
          <w:rFonts w:ascii="David" w:cs="David" w:eastAsia="David" w:hAnsi="David"/>
          <w:b/>
          <w:bCs/>
          <w:sz w:val="24"/>
          <w:szCs w:val="24"/>
          <w:rtl/>
        </w:rPr>
        <w:t xml:space="preserve">בימינו: </w:t>
      </w:r>
      <w:r>
        <w:rPr>
          <w:rFonts w:ascii="David" w:cs="David" w:eastAsia="David" w:hAnsi="David"/>
          <w:sz w:val="24"/>
          <w:szCs w:val="24"/>
          <w:rtl/>
        </w:rPr>
        <w:t xml:space="preserve">„ואמרו”.</w:t>
      </w:r>
    </w:p>
    <w:p>
      <w:pPr>
        <w:pStyle w:val="ListParagraph"/>
        <w:numPr>
          <w:ilvl w:val="0"/>
          <w:numId w:val="2"/>
        </w:numPr>
        <w:bidi/>
        <w:spacing w:after="80" w:line="300"/>
        <w:jc w:val="both"/>
      </w:pPr>
      <w:r>
        <w:rPr>
          <w:rFonts w:ascii="David" w:cs="David" w:eastAsia="David" w:hAnsi="David"/>
          <w:b/>
          <w:bCs/>
          <w:sz w:val="24"/>
          <w:szCs w:val="24"/>
          <w:rtl/>
        </w:rPr>
        <w:t xml:space="preserve">כִּי אִתָּךְ נָשׁוּב</w:t>
      </w:r>
      <w:r>
        <w:rPr>
          <w:rFonts w:ascii="David" w:cs="David" w:eastAsia="David" w:hAnsi="David"/>
          <w:sz w:val="24"/>
          <w:szCs w:val="24"/>
          <w:rtl/>
        </w:rPr>
        <w:t xml:space="preserve"> — </w:t>
      </w:r>
      <w:r>
        <w:rPr>
          <w:rFonts w:ascii="David" w:cs="David" w:eastAsia="David" w:hAnsi="David"/>
          <w:b/>
          <w:bCs/>
          <w:sz w:val="24"/>
          <w:szCs w:val="24"/>
          <w:rtl/>
        </w:rPr>
        <w:t xml:space="preserve">„כי” בהוראת חיוב/הדגשה</w:t>
      </w:r>
      <w:r>
        <w:rPr>
          <w:rFonts w:ascii="David" w:cs="David" w:eastAsia="David" w:hAnsi="David"/>
          <w:sz w:val="24"/>
          <w:szCs w:val="24"/>
          <w:rtl/>
        </w:rPr>
        <w:t xml:space="preserve"> („כי אם”, „אלא”/„אכן”), לא סיבה. </w:t>
      </w:r>
      <w:r>
        <w:rPr>
          <w:rFonts w:ascii="David" w:cs="David" w:eastAsia="David" w:hAnsi="David"/>
          <w:b/>
          <w:bCs/>
          <w:sz w:val="24"/>
          <w:szCs w:val="24"/>
          <w:rtl/>
        </w:rPr>
        <w:t xml:space="preserve">נָשׁוּב</w:t>
      </w:r>
      <w:r>
        <w:rPr>
          <w:rFonts w:ascii="David" w:cs="David" w:eastAsia="David" w:hAnsi="David"/>
          <w:sz w:val="24"/>
          <w:szCs w:val="24"/>
          <w:rtl/>
        </w:rPr>
        <w:t xml:space="preserve"> — עתיד גוף ראשון רבים (שו’ב).</w:t>
      </w:r>
    </w:p>
    <w:p>
      <w:pPr>
        <w:bidi/>
        <w:spacing w:after="80" w:before="200" w:line="340"/>
        <w:jc w:val="right"/>
      </w:pPr>
      <w:r>
        <w:rPr>
          <w:rFonts w:ascii="David" w:cs="David" w:eastAsia="David" w:hAnsi="David"/>
          <w:b/>
          <w:bCs/>
          <w:sz w:val="24"/>
          <w:szCs w:val="24"/>
          <w:rtl/>
        </w:rPr>
        <w:t xml:space="preserve">(יא)  </w:t>
      </w:r>
      <w:r>
        <w:rPr>
          <w:rFonts w:ascii="David" w:cs="David" w:eastAsia="David" w:hAnsi="David"/>
          <w:b/>
          <w:bCs/>
          <w:sz w:val="24"/>
          <w:szCs w:val="24"/>
          <w:rtl/>
        </w:rPr>
        <w:t xml:space="preserve">וַתֹּאמֶר נָעֳמִי שֹׁבְנָה בְנֹתַי לָמָּה תֵלַכְנָה עִמִּי הַעוֹד לִי בָנִים בְּמֵעַי וְהָיוּ לָכֶם לַאֲנָשִׁים.</w:t>
      </w:r>
    </w:p>
    <w:p>
      <w:pPr>
        <w:pStyle w:val="ListParagraph"/>
        <w:numPr>
          <w:ilvl w:val="0"/>
          <w:numId w:val="2"/>
        </w:numPr>
        <w:bidi/>
        <w:spacing w:after="80" w:line="300"/>
        <w:jc w:val="both"/>
      </w:pPr>
      <w:r>
        <w:rPr>
          <w:rFonts w:ascii="David" w:cs="David" w:eastAsia="David" w:hAnsi="David"/>
          <w:b/>
          <w:bCs/>
          <w:sz w:val="24"/>
          <w:szCs w:val="24"/>
          <w:rtl/>
        </w:rPr>
        <w:t xml:space="preserve">שֹׁבְנָה</w:t>
      </w:r>
      <w:r>
        <w:rPr>
          <w:rFonts w:ascii="David" w:cs="David" w:eastAsia="David" w:hAnsi="David"/>
          <w:sz w:val="24"/>
          <w:szCs w:val="24"/>
          <w:rtl/>
        </w:rPr>
        <w:t xml:space="preserve"> — ציווי נקבות רבות. </w:t>
      </w:r>
      <w:r>
        <w:rPr>
          <w:rFonts w:ascii="David" w:cs="David" w:eastAsia="David" w:hAnsi="David"/>
          <w:b/>
          <w:bCs/>
          <w:sz w:val="24"/>
          <w:szCs w:val="24"/>
          <w:rtl/>
        </w:rPr>
        <w:t xml:space="preserve">תֵלַכְנָה</w:t>
      </w:r>
      <w:r>
        <w:rPr>
          <w:rFonts w:ascii="David" w:cs="David" w:eastAsia="David" w:hAnsi="David"/>
          <w:sz w:val="24"/>
          <w:szCs w:val="24"/>
          <w:rtl/>
        </w:rPr>
        <w:t xml:space="preserve"> — עתיד נקבות רבות (הל’ך). </w:t>
      </w:r>
      <w:r>
        <w:rPr>
          <w:rFonts w:ascii="David" w:cs="David" w:eastAsia="David" w:hAnsi="David"/>
          <w:b/>
          <w:bCs/>
          <w:sz w:val="24"/>
          <w:szCs w:val="24"/>
          <w:rtl/>
        </w:rPr>
        <w:t xml:space="preserve">בימינו: </w:t>
      </w:r>
      <w:r>
        <w:rPr>
          <w:rFonts w:ascii="David" w:cs="David" w:eastAsia="David" w:hAnsi="David"/>
          <w:sz w:val="24"/>
          <w:szCs w:val="24"/>
          <w:rtl/>
        </w:rPr>
        <w:t xml:space="preserve">„תלכו” (התלכדות עם הזכר).</w:t>
      </w:r>
    </w:p>
    <w:p>
      <w:pPr>
        <w:pStyle w:val="ListParagraph"/>
        <w:numPr>
          <w:ilvl w:val="0"/>
          <w:numId w:val="2"/>
        </w:numPr>
        <w:bidi/>
        <w:spacing w:after="80" w:line="300"/>
        <w:jc w:val="both"/>
      </w:pPr>
      <w:r>
        <w:rPr>
          <w:rFonts w:ascii="David" w:cs="David" w:eastAsia="David" w:hAnsi="David"/>
          <w:b/>
          <w:bCs/>
          <w:sz w:val="24"/>
          <w:szCs w:val="24"/>
          <w:rtl/>
        </w:rPr>
        <w:t xml:space="preserve">הַעוֹד לִי בָנִים</w:t>
      </w:r>
      <w:r>
        <w:rPr>
          <w:rFonts w:ascii="David" w:cs="David" w:eastAsia="David" w:hAnsi="David"/>
          <w:sz w:val="24"/>
          <w:szCs w:val="24"/>
          <w:rtl/>
        </w:rPr>
        <w:t xml:space="preserve"> — </w:t>
      </w:r>
      <w:r>
        <w:rPr>
          <w:rFonts w:ascii="David" w:cs="David" w:eastAsia="David" w:hAnsi="David"/>
          <w:b/>
          <w:bCs/>
          <w:sz w:val="24"/>
          <w:szCs w:val="24"/>
          <w:rtl/>
        </w:rPr>
        <w:t xml:space="preserve">שאלה רטורית בה“א השאלה</w:t>
      </w:r>
      <w:r>
        <w:rPr>
          <w:rFonts w:ascii="David" w:cs="David" w:eastAsia="David" w:hAnsi="David"/>
          <w:sz w:val="24"/>
          <w:szCs w:val="24"/>
          <w:rtl/>
        </w:rPr>
        <w:t xml:space="preserve">.</w:t>
      </w:r>
    </w:p>
    <w:p>
      <w:pPr>
        <w:pStyle w:val="ListParagraph"/>
        <w:numPr>
          <w:ilvl w:val="0"/>
          <w:numId w:val="2"/>
        </w:numPr>
        <w:bidi/>
        <w:spacing w:after="80" w:line="300"/>
        <w:jc w:val="both"/>
      </w:pPr>
      <w:r>
        <w:rPr>
          <w:rFonts w:ascii="David" w:cs="David" w:eastAsia="David" w:hAnsi="David"/>
          <w:b/>
          <w:bCs/>
          <w:sz w:val="24"/>
          <w:szCs w:val="24"/>
          <w:rtl/>
        </w:rPr>
        <w:t xml:space="preserve">וְהָיוּ לָכֶם לַאֲנָשִׁים</w:t>
      </w:r>
      <w:r>
        <w:rPr>
          <w:rFonts w:ascii="David" w:cs="David" w:eastAsia="David" w:hAnsi="David"/>
          <w:sz w:val="24"/>
          <w:szCs w:val="24"/>
          <w:rtl/>
        </w:rPr>
        <w:t xml:space="preserve"> — </w:t>
      </w:r>
      <w:r>
        <w:rPr>
          <w:rFonts w:ascii="David" w:cs="David" w:eastAsia="David" w:hAnsi="David"/>
          <w:b/>
          <w:bCs/>
          <w:sz w:val="24"/>
          <w:szCs w:val="24"/>
          <w:rtl/>
        </w:rPr>
        <w:t xml:space="preserve">וְקָטַל (וי“ו ההיפוך לעתיד)</w:t>
      </w:r>
      <w:r>
        <w:rPr>
          <w:rFonts w:ascii="David" w:cs="David" w:eastAsia="David" w:hAnsi="David"/>
          <w:sz w:val="24"/>
          <w:szCs w:val="24"/>
          <w:rtl/>
        </w:rPr>
        <w:t xml:space="preserve"> בהוראת עתיד/תוצאה: „ושיהיו לכם לבעלים”. </w:t>
      </w:r>
      <w:r>
        <w:rPr>
          <w:rFonts w:ascii="David" w:cs="David" w:eastAsia="David" w:hAnsi="David"/>
          <w:b/>
          <w:bCs/>
          <w:sz w:val="24"/>
          <w:szCs w:val="24"/>
          <w:rtl/>
        </w:rPr>
        <w:t xml:space="preserve">הָיָה לְ</w:t>
      </w:r>
      <w:r>
        <w:rPr>
          <w:rFonts w:ascii="David" w:cs="David" w:eastAsia="David" w:hAnsi="David"/>
          <w:sz w:val="24"/>
          <w:szCs w:val="24"/>
          <w:rtl/>
        </w:rPr>
        <w:t xml:space="preserve"> = „נעשה, הפך ל-”; </w:t>
      </w:r>
      <w:r>
        <w:rPr>
          <w:rFonts w:ascii="David" w:cs="David" w:eastAsia="David" w:hAnsi="David"/>
          <w:b/>
          <w:bCs/>
          <w:sz w:val="24"/>
          <w:szCs w:val="24"/>
          <w:rtl/>
        </w:rPr>
        <w:t xml:space="preserve">אֲנָשִׁים</w:t>
      </w:r>
      <w:r>
        <w:rPr>
          <w:rFonts w:ascii="David" w:cs="David" w:eastAsia="David" w:hAnsi="David"/>
          <w:sz w:val="24"/>
          <w:szCs w:val="24"/>
          <w:rtl/>
        </w:rPr>
        <w:t xml:space="preserve"> = בעלים (איש=בעל; מילון). </w:t>
      </w:r>
      <w:r>
        <w:rPr>
          <w:rFonts w:ascii="David" w:cs="David" w:eastAsia="David" w:hAnsi="David"/>
          <w:b/>
          <w:bCs/>
          <w:sz w:val="24"/>
          <w:szCs w:val="24"/>
          <w:rtl/>
        </w:rPr>
        <w:t xml:space="preserve">בימינו: </w:t>
      </w:r>
      <w:r>
        <w:rPr>
          <w:rFonts w:ascii="David" w:cs="David" w:eastAsia="David" w:hAnsi="David"/>
          <w:sz w:val="24"/>
          <w:szCs w:val="24"/>
          <w:rtl/>
        </w:rPr>
        <w:t xml:space="preserve">„ושיהיו לכם לבעלים”.</w:t>
      </w:r>
    </w:p>
    <w:p>
      <w:pPr>
        <w:bidi/>
        <w:spacing w:after="80" w:before="200" w:line="340"/>
        <w:jc w:val="right"/>
      </w:pPr>
      <w:r>
        <w:rPr>
          <w:rFonts w:ascii="David" w:cs="David" w:eastAsia="David" w:hAnsi="David"/>
          <w:b/>
          <w:bCs/>
          <w:sz w:val="24"/>
          <w:szCs w:val="24"/>
          <w:rtl/>
        </w:rPr>
        <w:t xml:space="preserve">(יב)  </w:t>
      </w:r>
      <w:r>
        <w:rPr>
          <w:rFonts w:ascii="David" w:cs="David" w:eastAsia="David" w:hAnsi="David"/>
          <w:b/>
          <w:bCs/>
          <w:sz w:val="24"/>
          <w:szCs w:val="24"/>
          <w:rtl/>
        </w:rPr>
        <w:t xml:space="preserve">שֹׁבְנָה בְנֹתַי לֵכְןָ כִּי זָקַנְתִּי מִהְיוֹת לְאִישׁ כִּי אָמַרְתִּי יֶשׁ לִי תִקְוָה גַּם הָיִיתִי הַלַּיְלָה לְאִישׁ וְגַם יָלַדְתִּי בָנִים.</w:t>
      </w:r>
    </w:p>
    <w:p>
      <w:pPr>
        <w:pStyle w:val="ListParagraph"/>
        <w:numPr>
          <w:ilvl w:val="0"/>
          <w:numId w:val="2"/>
        </w:numPr>
        <w:bidi/>
        <w:spacing w:after="80" w:line="300"/>
        <w:jc w:val="both"/>
      </w:pPr>
      <w:r>
        <w:rPr>
          <w:rFonts w:ascii="David" w:cs="David" w:eastAsia="David" w:hAnsi="David"/>
          <w:b/>
          <w:bCs/>
          <w:sz w:val="24"/>
          <w:szCs w:val="24"/>
          <w:rtl/>
        </w:rPr>
        <w:t xml:space="preserve">לֵכְןָ</w:t>
      </w:r>
      <w:r>
        <w:rPr>
          <w:rFonts w:ascii="David" w:cs="David" w:eastAsia="David" w:hAnsi="David"/>
          <w:sz w:val="24"/>
          <w:szCs w:val="24"/>
          <w:rtl/>
        </w:rPr>
        <w:t xml:space="preserve"> (כתיב „לכן”) — ציווי נקבות רבות בכתיב חסר; דוגמת כתיב-וקרי.</w:t>
      </w:r>
    </w:p>
    <w:p>
      <w:pPr>
        <w:pStyle w:val="ListParagraph"/>
        <w:numPr>
          <w:ilvl w:val="0"/>
          <w:numId w:val="2"/>
        </w:numPr>
        <w:bidi/>
        <w:spacing w:after="80" w:line="300"/>
        <w:jc w:val="both"/>
      </w:pPr>
      <w:r>
        <w:rPr>
          <w:rFonts w:ascii="David" w:cs="David" w:eastAsia="David" w:hAnsi="David"/>
          <w:b/>
          <w:bCs/>
          <w:sz w:val="24"/>
          <w:szCs w:val="24"/>
          <w:rtl/>
        </w:rPr>
        <w:t xml:space="preserve">זָקַנְתִּי</w:t>
      </w:r>
      <w:r>
        <w:rPr>
          <w:rFonts w:ascii="David" w:cs="David" w:eastAsia="David" w:hAnsi="David"/>
          <w:sz w:val="24"/>
          <w:szCs w:val="24"/>
          <w:rtl/>
        </w:rPr>
        <w:t xml:space="preserve"> — עבר גוף ראשון. </w:t>
      </w:r>
      <w:r>
        <w:rPr>
          <w:rFonts w:ascii="David" w:cs="David" w:eastAsia="David" w:hAnsi="David"/>
          <w:b/>
          <w:bCs/>
          <w:sz w:val="24"/>
          <w:szCs w:val="24"/>
          <w:rtl/>
        </w:rPr>
        <w:t xml:space="preserve">מִהְיוֹת</w:t>
      </w:r>
      <w:r>
        <w:rPr>
          <w:rFonts w:ascii="David" w:cs="David" w:eastAsia="David" w:hAnsi="David"/>
          <w:sz w:val="24"/>
          <w:szCs w:val="24"/>
          <w:rtl/>
        </w:rPr>
        <w:t xml:space="preserve"> — </w:t>
      </w:r>
      <w:r>
        <w:rPr>
          <w:rFonts w:ascii="David" w:cs="David" w:eastAsia="David" w:hAnsi="David"/>
          <w:b/>
          <w:bCs/>
          <w:sz w:val="24"/>
          <w:szCs w:val="24"/>
          <w:rtl/>
        </w:rPr>
        <w:t xml:space="preserve">מ’ היחס + מקור נטוי</w:t>
      </w:r>
      <w:r>
        <w:rPr>
          <w:rFonts w:ascii="David" w:cs="David" w:eastAsia="David" w:hAnsi="David"/>
          <w:sz w:val="24"/>
          <w:szCs w:val="24"/>
          <w:rtl/>
        </w:rPr>
        <w:t xml:space="preserve"> (הי’ה) בהוראת שלילה/מניעה: „זקנתי מכדי להיות”. פסוקית אופן/תוצאה בצורת מקור. </w:t>
      </w:r>
      <w:r>
        <w:rPr>
          <w:rFonts w:ascii="David" w:cs="David" w:eastAsia="David" w:hAnsi="David"/>
          <w:b/>
          <w:bCs/>
          <w:sz w:val="24"/>
          <w:szCs w:val="24"/>
          <w:rtl/>
        </w:rPr>
        <w:t xml:space="preserve">בימינו: </w:t>
      </w:r>
      <w:r>
        <w:rPr>
          <w:rFonts w:ascii="David" w:cs="David" w:eastAsia="David" w:hAnsi="David"/>
          <w:sz w:val="24"/>
          <w:szCs w:val="24"/>
          <w:rtl/>
        </w:rPr>
        <w:t xml:space="preserve">„מכדי להיות”/„מלהיות”.</w:t>
      </w:r>
    </w:p>
    <w:p>
      <w:pPr>
        <w:pStyle w:val="ListParagraph"/>
        <w:numPr>
          <w:ilvl w:val="0"/>
          <w:numId w:val="2"/>
        </w:numPr>
        <w:bidi/>
        <w:spacing w:after="80" w:line="300"/>
        <w:jc w:val="both"/>
      </w:pPr>
      <w:r>
        <w:rPr>
          <w:rFonts w:ascii="David" w:cs="David" w:eastAsia="David" w:hAnsi="David"/>
          <w:b/>
          <w:bCs/>
          <w:sz w:val="24"/>
          <w:szCs w:val="24"/>
          <w:rtl/>
        </w:rPr>
        <w:t xml:space="preserve">אָמַרְתִּי</w:t>
      </w:r>
      <w:r>
        <w:rPr>
          <w:rFonts w:ascii="David" w:cs="David" w:eastAsia="David" w:hAnsi="David"/>
          <w:sz w:val="24"/>
          <w:szCs w:val="24"/>
          <w:rtl/>
        </w:rPr>
        <w:t xml:space="preserve"> — עבר, כאן „חשבתי, סברתי”. </w:t>
      </w:r>
      <w:r>
        <w:rPr>
          <w:rFonts w:ascii="David" w:cs="David" w:eastAsia="David" w:hAnsi="David"/>
          <w:b/>
          <w:bCs/>
          <w:sz w:val="24"/>
          <w:szCs w:val="24"/>
          <w:rtl/>
        </w:rPr>
        <w:t xml:space="preserve">הָיִיתִי ... יָלַדְתִּי</w:t>
      </w:r>
      <w:r>
        <w:rPr>
          <w:rFonts w:ascii="David" w:cs="David" w:eastAsia="David" w:hAnsi="David"/>
          <w:sz w:val="24"/>
          <w:szCs w:val="24"/>
          <w:rtl/>
        </w:rPr>
        <w:t xml:space="preserve"> — </w:t>
      </w:r>
      <w:r>
        <w:rPr>
          <w:rFonts w:ascii="David" w:cs="David" w:eastAsia="David" w:hAnsi="David"/>
          <w:b/>
          <w:bCs/>
          <w:sz w:val="24"/>
          <w:szCs w:val="24"/>
          <w:rtl/>
        </w:rPr>
        <w:t xml:space="preserve">עבר בהוראת תנאי בטל (מודוס איריאלי)</w:t>
      </w:r>
      <w:r>
        <w:rPr>
          <w:rFonts w:ascii="David" w:cs="David" w:eastAsia="David" w:hAnsi="David"/>
          <w:sz w:val="24"/>
          <w:szCs w:val="24"/>
          <w:rtl/>
        </w:rPr>
        <w:t xml:space="preserve">: „אילו הייתי... ואילו ילדתי”.</w:t>
      </w:r>
    </w:p>
    <w:p>
      <w:pPr>
        <w:bidi/>
        <w:spacing w:after="80" w:before="200" w:line="340"/>
        <w:jc w:val="right"/>
      </w:pPr>
      <w:r>
        <w:rPr>
          <w:rFonts w:ascii="David" w:cs="David" w:eastAsia="David" w:hAnsi="David"/>
          <w:b/>
          <w:bCs/>
          <w:sz w:val="24"/>
          <w:szCs w:val="24"/>
          <w:rtl/>
        </w:rPr>
        <w:t xml:space="preserve">(יג)  </w:t>
      </w:r>
      <w:r>
        <w:rPr>
          <w:rFonts w:ascii="David" w:cs="David" w:eastAsia="David" w:hAnsi="David"/>
          <w:b/>
          <w:bCs/>
          <w:sz w:val="24"/>
          <w:szCs w:val="24"/>
          <w:rtl/>
        </w:rPr>
        <w:t xml:space="preserve">הֲלָהֵן תְּשַׂבֵּרְנָה עַד אֲשֶׁר יִגְדָּלוּ הֲלָהֵן תֵּעָגֵנָה לְבִלְתִּי הֱיוֹת לְאִישׁ אַל בְּנֹתַי כִּי מַר לִי מְאֹד מִכֶּם כִּי יָצְאָה בִי יַד יְהוָה.</w:t>
      </w:r>
    </w:p>
    <w:p>
      <w:pPr>
        <w:pStyle w:val="ListParagraph"/>
        <w:numPr>
          <w:ilvl w:val="0"/>
          <w:numId w:val="2"/>
        </w:numPr>
        <w:bidi/>
        <w:spacing w:after="80" w:line="300"/>
        <w:jc w:val="both"/>
      </w:pPr>
      <w:r>
        <w:rPr>
          <w:rFonts w:ascii="David" w:cs="David" w:eastAsia="David" w:hAnsi="David"/>
          <w:b/>
          <w:bCs/>
          <w:sz w:val="24"/>
          <w:szCs w:val="24"/>
          <w:rtl/>
        </w:rPr>
        <w:t xml:space="preserve">תְּשַׂבֵּרְנָה</w:t>
      </w:r>
      <w:r>
        <w:rPr>
          <w:rFonts w:ascii="David" w:cs="David" w:eastAsia="David" w:hAnsi="David"/>
          <w:sz w:val="24"/>
          <w:szCs w:val="24"/>
          <w:rtl/>
        </w:rPr>
        <w:t xml:space="preserve"> — עתיד נקבות רבות </w:t>
      </w:r>
      <w:r>
        <w:rPr>
          <w:rFonts w:ascii="David" w:cs="David" w:eastAsia="David" w:hAnsi="David"/>
          <w:b/>
          <w:bCs/>
          <w:sz w:val="24"/>
          <w:szCs w:val="24"/>
          <w:rtl/>
        </w:rPr>
        <w:t xml:space="preserve">בבניין פיעל</w:t>
      </w:r>
      <w:r>
        <w:rPr>
          <w:rFonts w:ascii="David" w:cs="David" w:eastAsia="David" w:hAnsi="David"/>
          <w:sz w:val="24"/>
          <w:szCs w:val="24"/>
          <w:rtl/>
        </w:rPr>
        <w:t xml:space="preserve"> (שׂ’ב’ר, „תקוו, תמתינה”) — פועל נדיר, קרוב לארמית. </w:t>
      </w:r>
      <w:r>
        <w:rPr>
          <w:rFonts w:ascii="David" w:cs="David" w:eastAsia="David" w:hAnsi="David"/>
          <w:b/>
          <w:bCs/>
          <w:sz w:val="24"/>
          <w:szCs w:val="24"/>
          <w:rtl/>
        </w:rPr>
        <w:t xml:space="preserve">תֵּעָגֵנָה</w:t>
      </w:r>
      <w:r>
        <w:rPr>
          <w:rFonts w:ascii="David" w:cs="David" w:eastAsia="David" w:hAnsi="David"/>
          <w:sz w:val="24"/>
          <w:szCs w:val="24"/>
          <w:rtl/>
        </w:rPr>
        <w:t xml:space="preserve"> — עתיד נקבות רבות </w:t>
      </w:r>
      <w:r>
        <w:rPr>
          <w:rFonts w:ascii="David" w:cs="David" w:eastAsia="David" w:hAnsi="David"/>
          <w:b/>
          <w:bCs/>
          <w:sz w:val="24"/>
          <w:szCs w:val="24"/>
          <w:rtl/>
        </w:rPr>
        <w:t xml:space="preserve">בבניין נפעל</w:t>
      </w:r>
      <w:r>
        <w:rPr>
          <w:rFonts w:ascii="David" w:cs="David" w:eastAsia="David" w:hAnsi="David"/>
          <w:sz w:val="24"/>
          <w:szCs w:val="24"/>
          <w:rtl/>
        </w:rPr>
        <w:t xml:space="preserve"> (עג’ן, „תסתגרנה, תימנעו”), מילה יחידאית.</w:t>
      </w:r>
    </w:p>
    <w:p>
      <w:pPr>
        <w:pStyle w:val="ListParagraph"/>
        <w:numPr>
          <w:ilvl w:val="0"/>
          <w:numId w:val="2"/>
        </w:numPr>
        <w:bidi/>
        <w:spacing w:after="80" w:line="300"/>
        <w:jc w:val="both"/>
      </w:pPr>
      <w:r>
        <w:rPr>
          <w:rFonts w:ascii="David" w:cs="David" w:eastAsia="David" w:hAnsi="David"/>
          <w:b/>
          <w:bCs/>
          <w:sz w:val="24"/>
          <w:szCs w:val="24"/>
          <w:rtl/>
        </w:rPr>
        <w:t xml:space="preserve">לְבִלְתִּי הֱיוֹת</w:t>
      </w:r>
      <w:r>
        <w:rPr>
          <w:rFonts w:ascii="David" w:cs="David" w:eastAsia="David" w:hAnsi="David"/>
          <w:sz w:val="24"/>
          <w:szCs w:val="24"/>
          <w:rtl/>
        </w:rPr>
        <w:t xml:space="preserve"> — </w:t>
      </w:r>
      <w:r>
        <w:rPr>
          <w:rFonts w:ascii="David" w:cs="David" w:eastAsia="David" w:hAnsi="David"/>
          <w:b/>
          <w:bCs/>
          <w:sz w:val="24"/>
          <w:szCs w:val="24"/>
          <w:rtl/>
        </w:rPr>
        <w:t xml:space="preserve">מקור נטוי בשלילה</w:t>
      </w:r>
      <w:r>
        <w:rPr>
          <w:rFonts w:ascii="David" w:cs="David" w:eastAsia="David" w:hAnsi="David"/>
          <w:sz w:val="24"/>
          <w:szCs w:val="24"/>
          <w:rtl/>
        </w:rPr>
        <w:t xml:space="preserve">: „לבלתי” + הֱיוֹת (הי’ה) = „כדי לא להיות”. פסוקית תכלית שלילית בצורת מקור. </w:t>
      </w:r>
      <w:r>
        <w:rPr>
          <w:rFonts w:ascii="David" w:cs="David" w:eastAsia="David" w:hAnsi="David"/>
          <w:b/>
          <w:bCs/>
          <w:sz w:val="24"/>
          <w:szCs w:val="24"/>
          <w:rtl/>
        </w:rPr>
        <w:t xml:space="preserve">בימינו: </w:t>
      </w:r>
      <w:r>
        <w:rPr>
          <w:rFonts w:ascii="David" w:cs="David" w:eastAsia="David" w:hAnsi="David"/>
          <w:sz w:val="24"/>
          <w:szCs w:val="24"/>
          <w:rtl/>
        </w:rPr>
        <w:t xml:space="preserve">„כדי לא להיות”.</w:t>
      </w:r>
    </w:p>
    <w:p>
      <w:pPr>
        <w:pStyle w:val="ListParagraph"/>
        <w:numPr>
          <w:ilvl w:val="0"/>
          <w:numId w:val="2"/>
        </w:numPr>
        <w:bidi/>
        <w:spacing w:after="80" w:line="300"/>
        <w:jc w:val="both"/>
      </w:pPr>
      <w:r>
        <w:rPr>
          <w:rFonts w:ascii="David" w:cs="David" w:eastAsia="David" w:hAnsi="David"/>
          <w:b/>
          <w:bCs/>
          <w:sz w:val="24"/>
          <w:szCs w:val="24"/>
          <w:rtl/>
        </w:rPr>
        <w:t xml:space="preserve">עַד אֲשֶׁר יִגְדָּלוּ</w:t>
      </w:r>
      <w:r>
        <w:rPr>
          <w:rFonts w:ascii="David" w:cs="David" w:eastAsia="David" w:hAnsi="David"/>
          <w:sz w:val="24"/>
          <w:szCs w:val="24"/>
          <w:rtl/>
        </w:rPr>
        <w:t xml:space="preserve"> — פסוקית זמן ב„עד אשר” + עתיד. </w:t>
      </w:r>
      <w:r>
        <w:rPr>
          <w:rFonts w:ascii="David" w:cs="David" w:eastAsia="David" w:hAnsi="David"/>
          <w:b/>
          <w:bCs/>
          <w:sz w:val="24"/>
          <w:szCs w:val="24"/>
          <w:rtl/>
        </w:rPr>
        <w:t xml:space="preserve">אַל בְּנֹתַי</w:t>
      </w:r>
      <w:r>
        <w:rPr>
          <w:rFonts w:ascii="David" w:cs="David" w:eastAsia="David" w:hAnsi="David"/>
          <w:sz w:val="24"/>
          <w:szCs w:val="24"/>
          <w:rtl/>
        </w:rPr>
        <w:t xml:space="preserve"> — שלילה אליפטית („אל [תעשינה כן]”). </w:t>
      </w:r>
      <w:r>
        <w:rPr>
          <w:rFonts w:ascii="David" w:cs="David" w:eastAsia="David" w:hAnsi="David"/>
          <w:b/>
          <w:bCs/>
          <w:sz w:val="24"/>
          <w:szCs w:val="24"/>
          <w:rtl/>
        </w:rPr>
        <w:t xml:space="preserve">יָצְאָה בִי יַד ה’</w:t>
      </w:r>
      <w:r>
        <w:rPr>
          <w:rFonts w:ascii="David" w:cs="David" w:eastAsia="David" w:hAnsi="David"/>
          <w:sz w:val="24"/>
          <w:szCs w:val="24"/>
          <w:rtl/>
        </w:rPr>
        <w:t xml:space="preserve"> — עבר.</w:t>
      </w:r>
    </w:p>
    <w:p>
      <w:pPr>
        <w:bidi/>
        <w:spacing w:after="80" w:before="200" w:line="340"/>
        <w:jc w:val="right"/>
      </w:pPr>
      <w:r>
        <w:rPr>
          <w:rFonts w:ascii="David" w:cs="David" w:eastAsia="David" w:hAnsi="David"/>
          <w:b/>
          <w:bCs/>
          <w:sz w:val="24"/>
          <w:szCs w:val="24"/>
          <w:rtl/>
        </w:rPr>
        <w:t xml:space="preserve">(יד)  </w:t>
      </w:r>
      <w:r>
        <w:rPr>
          <w:rFonts w:ascii="David" w:cs="David" w:eastAsia="David" w:hAnsi="David"/>
          <w:b/>
          <w:bCs/>
          <w:sz w:val="24"/>
          <w:szCs w:val="24"/>
          <w:rtl/>
        </w:rPr>
        <w:t xml:space="preserve">וַתִּשֶּׂנָה קוֹלָן וַתִּבְכֶּינָה עוֹד וַתִּשַּׁק עָרְפָּה לַחֲמוֹתָהּ וְרוּת דָּבְקָה בָּהּ.</w:t>
      </w:r>
    </w:p>
    <w:p>
      <w:pPr>
        <w:pStyle w:val="ListParagraph"/>
        <w:numPr>
          <w:ilvl w:val="0"/>
          <w:numId w:val="2"/>
        </w:numPr>
        <w:bidi/>
        <w:spacing w:after="80" w:line="300"/>
        <w:jc w:val="both"/>
      </w:pPr>
      <w:r>
        <w:rPr>
          <w:rFonts w:ascii="David" w:cs="David" w:eastAsia="David" w:hAnsi="David"/>
          <w:b/>
          <w:bCs/>
          <w:sz w:val="24"/>
          <w:szCs w:val="24"/>
          <w:rtl/>
        </w:rPr>
        <w:t xml:space="preserve">וַתִּשֶּׂנָה / וַתִּבְכֶּינָה / וַתִּשַּׁק</w:t>
      </w:r>
      <w:r>
        <w:rPr>
          <w:rFonts w:ascii="David" w:cs="David" w:eastAsia="David" w:hAnsi="David"/>
          <w:sz w:val="24"/>
          <w:szCs w:val="24"/>
          <w:rtl/>
        </w:rPr>
        <w:t xml:space="preserve"> — וי“ו ההיפוך, נקבות רבות ואחת.</w:t>
      </w:r>
    </w:p>
    <w:p>
      <w:pPr>
        <w:pStyle w:val="ListParagraph"/>
        <w:numPr>
          <w:ilvl w:val="0"/>
          <w:numId w:val="2"/>
        </w:numPr>
        <w:bidi/>
        <w:spacing w:after="80" w:line="300"/>
        <w:jc w:val="both"/>
      </w:pPr>
      <w:r>
        <w:rPr>
          <w:rFonts w:ascii="David" w:cs="David" w:eastAsia="David" w:hAnsi="David"/>
          <w:b/>
          <w:bCs/>
          <w:sz w:val="24"/>
          <w:szCs w:val="24"/>
          <w:rtl/>
        </w:rPr>
        <w:t xml:space="preserve">וְרוּת דָּבְקָה בָּהּ</w:t>
      </w:r>
      <w:r>
        <w:rPr>
          <w:rFonts w:ascii="David" w:cs="David" w:eastAsia="David" w:hAnsi="David"/>
          <w:sz w:val="24"/>
          <w:szCs w:val="24"/>
          <w:rtl/>
        </w:rPr>
        <w:t xml:space="preserve"> — </w:t>
      </w:r>
      <w:r>
        <w:rPr>
          <w:rFonts w:ascii="David" w:cs="David" w:eastAsia="David" w:hAnsi="David"/>
          <w:b/>
          <w:bCs/>
          <w:sz w:val="24"/>
          <w:szCs w:val="24"/>
          <w:rtl/>
        </w:rPr>
        <w:t xml:space="preserve">וי“ו החיבור כסימן פיסוק בין הפסוקיות</w:t>
      </w:r>
      <w:r>
        <w:rPr>
          <w:rFonts w:ascii="David" w:cs="David" w:eastAsia="David" w:hAnsi="David"/>
          <w:sz w:val="24"/>
          <w:szCs w:val="24"/>
          <w:rtl/>
        </w:rPr>
        <w:t xml:space="preserve">: וי“ו + נושא + עבר (וְ + רוּת + דָּבְקָה) יוצרת </w:t>
      </w:r>
      <w:r>
        <w:rPr>
          <w:rFonts w:ascii="David" w:cs="David" w:eastAsia="David" w:hAnsi="David"/>
          <w:b/>
          <w:bCs/>
          <w:sz w:val="24"/>
          <w:szCs w:val="24"/>
          <w:rtl/>
        </w:rPr>
        <w:t xml:space="preserve">משפט מצב/ניגוד</w:t>
      </w:r>
      <w:r>
        <w:rPr>
          <w:rFonts w:ascii="David" w:cs="David" w:eastAsia="David" w:hAnsi="David"/>
          <w:sz w:val="24"/>
          <w:szCs w:val="24"/>
          <w:rtl/>
        </w:rPr>
        <w:t xml:space="preserve"> (סדר מוצא-נשוא הפוך מן הרצף), „ואילו רות דבקה בה”. </w:t>
      </w:r>
      <w:r>
        <w:rPr>
          <w:rFonts w:ascii="David" w:cs="David" w:eastAsia="David" w:hAnsi="David"/>
          <w:b/>
          <w:bCs/>
          <w:sz w:val="24"/>
          <w:szCs w:val="24"/>
          <w:rtl/>
        </w:rPr>
        <w:t xml:space="preserve">בימינו: </w:t>
      </w:r>
      <w:r>
        <w:rPr>
          <w:rFonts w:ascii="David" w:cs="David" w:eastAsia="David" w:hAnsi="David"/>
          <w:sz w:val="24"/>
          <w:szCs w:val="24"/>
          <w:rtl/>
        </w:rPr>
        <w:t xml:space="preserve">„אבל רות דבקה בה” — במילת ניגוד מפורשת.</w:t>
      </w:r>
    </w:p>
    <w:p>
      <w:pPr>
        <w:bidi/>
        <w:spacing w:after="80" w:before="200" w:line="340"/>
        <w:jc w:val="right"/>
      </w:pPr>
      <w:r>
        <w:rPr>
          <w:rFonts w:ascii="David" w:cs="David" w:eastAsia="David" w:hAnsi="David"/>
          <w:b/>
          <w:bCs/>
          <w:sz w:val="24"/>
          <w:szCs w:val="24"/>
          <w:rtl/>
        </w:rPr>
        <w:t xml:space="preserve">(טו)  </w:t>
      </w:r>
      <w:r>
        <w:rPr>
          <w:rFonts w:ascii="David" w:cs="David" w:eastAsia="David" w:hAnsi="David"/>
          <w:b/>
          <w:bCs/>
          <w:sz w:val="24"/>
          <w:szCs w:val="24"/>
          <w:rtl/>
        </w:rPr>
        <w:t xml:space="preserve">וַתֹּאמֶר הִנֵּה שָׁבָה יְבִמְתֵּךְ אֶל עַמָּהּ וְאֶל אֱלֹהֶיהָ שׁוּבִי אַחֲרֵי יְבִמְתֵּךְ.</w:t>
      </w:r>
    </w:p>
    <w:p>
      <w:pPr>
        <w:pStyle w:val="ListParagraph"/>
        <w:numPr>
          <w:ilvl w:val="0"/>
          <w:numId w:val="2"/>
        </w:numPr>
        <w:bidi/>
        <w:spacing w:after="80" w:line="300"/>
        <w:jc w:val="both"/>
      </w:pPr>
      <w:r>
        <w:rPr>
          <w:rFonts w:ascii="David" w:cs="David" w:eastAsia="David" w:hAnsi="David"/>
          <w:b/>
          <w:bCs/>
          <w:sz w:val="24"/>
          <w:szCs w:val="24"/>
          <w:rtl/>
        </w:rPr>
        <w:t xml:space="preserve">הִנֵּה שָׁבָה</w:t>
      </w:r>
      <w:r>
        <w:rPr>
          <w:rFonts w:ascii="David" w:cs="David" w:eastAsia="David" w:hAnsi="David"/>
          <w:sz w:val="24"/>
          <w:szCs w:val="24"/>
          <w:rtl/>
        </w:rPr>
        <w:t xml:space="preserve"> — </w:t>
      </w:r>
      <w:r>
        <w:rPr>
          <w:rFonts w:ascii="David" w:cs="David" w:eastAsia="David" w:hAnsi="David"/>
          <w:b/>
          <w:bCs/>
          <w:sz w:val="24"/>
          <w:szCs w:val="24"/>
          <w:rtl/>
        </w:rPr>
        <w:t xml:space="preserve">„הנה” המצגת + עבר</w:t>
      </w:r>
      <w:r>
        <w:rPr>
          <w:rFonts w:ascii="David" w:cs="David" w:eastAsia="David" w:hAnsi="David"/>
          <w:sz w:val="24"/>
          <w:szCs w:val="24"/>
          <w:rtl/>
        </w:rPr>
        <w:t xml:space="preserve"> בהוראת פעולה שהרגע נשלמה: „הנה שבה”. </w:t>
      </w:r>
      <w:r>
        <w:rPr>
          <w:rFonts w:ascii="David" w:cs="David" w:eastAsia="David" w:hAnsi="David"/>
          <w:b/>
          <w:bCs/>
          <w:sz w:val="24"/>
          <w:szCs w:val="24"/>
          <w:rtl/>
        </w:rPr>
        <w:t xml:space="preserve">שׁוּבִי</w:t>
      </w:r>
      <w:r>
        <w:rPr>
          <w:rFonts w:ascii="David" w:cs="David" w:eastAsia="David" w:hAnsi="David"/>
          <w:sz w:val="24"/>
          <w:szCs w:val="24"/>
          <w:rtl/>
        </w:rPr>
        <w:t xml:space="preserve"> — ציווי יחידה (שו’ב).</w:t>
      </w:r>
    </w:p>
    <w:p>
      <w:pPr>
        <w:pStyle w:val="ListParagraph"/>
        <w:numPr>
          <w:ilvl w:val="0"/>
          <w:numId w:val="2"/>
        </w:numPr>
        <w:bidi/>
        <w:spacing w:after="80" w:line="300"/>
        <w:jc w:val="both"/>
      </w:pPr>
      <w:r>
        <w:rPr>
          <w:rFonts w:ascii="David" w:cs="David" w:eastAsia="David" w:hAnsi="David"/>
          <w:b/>
          <w:bCs/>
          <w:sz w:val="24"/>
          <w:szCs w:val="24"/>
          <w:rtl/>
        </w:rPr>
        <w:t xml:space="preserve">יְבִמְתֵּךְ</w:t>
      </w:r>
      <w:r>
        <w:rPr>
          <w:rFonts w:ascii="David" w:cs="David" w:eastAsia="David" w:hAnsi="David"/>
          <w:sz w:val="24"/>
          <w:szCs w:val="24"/>
          <w:rtl/>
        </w:rPr>
        <w:t xml:space="preserve"> — „גיסתך”; משמעות מצומצמת בימינו (מילון).</w:t>
      </w:r>
    </w:p>
    <w:p>
      <w:pPr>
        <w:bidi/>
        <w:spacing w:after="80" w:before="200" w:line="340"/>
        <w:jc w:val="right"/>
      </w:pPr>
      <w:r>
        <w:rPr>
          <w:rFonts w:ascii="David" w:cs="David" w:eastAsia="David" w:hAnsi="David"/>
          <w:b/>
          <w:bCs/>
          <w:sz w:val="24"/>
          <w:szCs w:val="24"/>
          <w:rtl/>
        </w:rPr>
        <w:t xml:space="preserve">(טז)  </w:t>
      </w:r>
      <w:r>
        <w:rPr>
          <w:rFonts w:ascii="David" w:cs="David" w:eastAsia="David" w:hAnsi="David"/>
          <w:b/>
          <w:bCs/>
          <w:sz w:val="24"/>
          <w:szCs w:val="24"/>
          <w:rtl/>
        </w:rPr>
        <w:t xml:space="preserve">וַתֹּאמֶר רוּת אַל תִּפְגְּעִי בִי לְעָזְבֵךְ לָשׁוּב מֵאַחֲרָיִךְ כִּי אֶל אֲשֶׁר תֵּלְכִי אֵלֵךְ וּבַאֲשֶׁר תָּלִינִי אָלִין עַמֵּךְ עַמִּי וֵאלֹהַיִךְ אֱלֹהָי.</w:t>
      </w:r>
    </w:p>
    <w:p>
      <w:pPr>
        <w:pStyle w:val="ListParagraph"/>
        <w:numPr>
          <w:ilvl w:val="0"/>
          <w:numId w:val="2"/>
        </w:numPr>
        <w:bidi/>
        <w:spacing w:after="80" w:line="300"/>
        <w:jc w:val="both"/>
      </w:pPr>
      <w:r>
        <w:rPr>
          <w:rFonts w:ascii="David" w:cs="David" w:eastAsia="David" w:hAnsi="David"/>
          <w:b/>
          <w:bCs/>
          <w:sz w:val="24"/>
          <w:szCs w:val="24"/>
          <w:rtl/>
        </w:rPr>
        <w:t xml:space="preserve">אַל תִּפְגְּעִי בִי</w:t>
      </w:r>
      <w:r>
        <w:rPr>
          <w:rFonts w:ascii="David" w:cs="David" w:eastAsia="David" w:hAnsi="David"/>
          <w:sz w:val="24"/>
          <w:szCs w:val="24"/>
          <w:rtl/>
        </w:rPr>
        <w:t xml:space="preserve"> — </w:t>
      </w:r>
      <w:r>
        <w:rPr>
          <w:rFonts w:ascii="David" w:cs="David" w:eastAsia="David" w:hAnsi="David"/>
          <w:b/>
          <w:bCs/>
          <w:sz w:val="24"/>
          <w:szCs w:val="24"/>
          <w:rtl/>
        </w:rPr>
        <w:t xml:space="preserve">שלילת ציווי (אל + עתיד)</w:t>
      </w:r>
      <w:r>
        <w:rPr>
          <w:rFonts w:ascii="David" w:cs="David" w:eastAsia="David" w:hAnsi="David"/>
          <w:sz w:val="24"/>
          <w:szCs w:val="24"/>
          <w:rtl/>
        </w:rPr>
        <w:t xml:space="preserve">; פ’ג’ע כאן = „הפצירי, אל תאיצי בי” (מילון). </w:t>
      </w:r>
    </w:p>
    <w:p>
      <w:pPr>
        <w:pStyle w:val="ListParagraph"/>
        <w:numPr>
          <w:ilvl w:val="0"/>
          <w:numId w:val="2"/>
        </w:numPr>
        <w:bidi/>
        <w:spacing w:after="80" w:line="300"/>
        <w:jc w:val="both"/>
      </w:pPr>
      <w:r>
        <w:rPr>
          <w:rFonts w:ascii="David" w:cs="David" w:eastAsia="David" w:hAnsi="David"/>
          <w:b/>
          <w:bCs/>
          <w:sz w:val="24"/>
          <w:szCs w:val="24"/>
          <w:rtl/>
        </w:rPr>
        <w:t xml:space="preserve">לְעָזְבֵךְ</w:t>
      </w:r>
      <w:r>
        <w:rPr>
          <w:rFonts w:ascii="David" w:cs="David" w:eastAsia="David" w:hAnsi="David"/>
          <w:sz w:val="24"/>
          <w:szCs w:val="24"/>
          <w:rtl/>
        </w:rPr>
        <w:t xml:space="preserve"> — </w:t>
      </w:r>
      <w:r>
        <w:rPr>
          <w:rFonts w:ascii="David" w:cs="David" w:eastAsia="David" w:hAnsi="David"/>
          <w:b/>
          <w:bCs/>
          <w:sz w:val="24"/>
          <w:szCs w:val="24"/>
          <w:rtl/>
        </w:rPr>
        <w:t xml:space="preserve">מקור נטוי + כינוי מושא חבור</w:t>
      </w:r>
      <w:r>
        <w:rPr>
          <w:rFonts w:ascii="David" w:cs="David" w:eastAsia="David" w:hAnsi="David"/>
          <w:sz w:val="24"/>
          <w:szCs w:val="24"/>
          <w:rtl/>
        </w:rPr>
        <w:t xml:space="preserve"> (עז’ב + „ֵךְ”) = „לעזוב אותך”. </w:t>
      </w:r>
      <w:r>
        <w:rPr>
          <w:rFonts w:ascii="David" w:cs="David" w:eastAsia="David" w:hAnsi="David"/>
          <w:b/>
          <w:bCs/>
          <w:sz w:val="24"/>
          <w:szCs w:val="24"/>
          <w:rtl/>
        </w:rPr>
        <w:t xml:space="preserve">בימינו: </w:t>
      </w:r>
      <w:r>
        <w:rPr>
          <w:rFonts w:ascii="David" w:cs="David" w:eastAsia="David" w:hAnsi="David"/>
          <w:sz w:val="24"/>
          <w:szCs w:val="24"/>
          <w:rtl/>
        </w:rPr>
        <w:t xml:space="preserve">„לעזוב אותך” — הכינוי החבור למקור כמעט אינו פרודוקטיבי. </w:t>
      </w:r>
      <w:r>
        <w:rPr>
          <w:rFonts w:ascii="David" w:cs="David" w:eastAsia="David" w:hAnsi="David"/>
          <w:b/>
          <w:bCs/>
          <w:sz w:val="24"/>
          <w:szCs w:val="24"/>
          <w:rtl/>
        </w:rPr>
        <w:t xml:space="preserve">לָשׁוּב מֵאַחֲרָיִךְ</w:t>
      </w:r>
      <w:r>
        <w:rPr>
          <w:rFonts w:ascii="David" w:cs="David" w:eastAsia="David" w:hAnsi="David"/>
          <w:sz w:val="24"/>
          <w:szCs w:val="24"/>
          <w:rtl/>
        </w:rPr>
        <w:t xml:space="preserve"> — מקור נטוי נוסף.</w:t>
      </w:r>
    </w:p>
    <w:p>
      <w:pPr>
        <w:pStyle w:val="ListParagraph"/>
        <w:numPr>
          <w:ilvl w:val="0"/>
          <w:numId w:val="2"/>
        </w:numPr>
        <w:bidi/>
        <w:spacing w:after="80" w:line="300"/>
        <w:jc w:val="both"/>
      </w:pPr>
      <w:r>
        <w:rPr>
          <w:rFonts w:ascii="David" w:cs="David" w:eastAsia="David" w:hAnsi="David"/>
          <w:b/>
          <w:bCs/>
          <w:sz w:val="24"/>
          <w:szCs w:val="24"/>
          <w:rtl/>
        </w:rPr>
        <w:t xml:space="preserve">אֶל אֲשֶׁר תֵּלְכִי אֵלֵךְ ... בַּאֲשֶׁר תָּלִינִי אָלִין</w:t>
      </w:r>
      <w:r>
        <w:rPr>
          <w:rFonts w:ascii="David" w:cs="David" w:eastAsia="David" w:hAnsi="David"/>
          <w:sz w:val="24"/>
          <w:szCs w:val="24"/>
          <w:rtl/>
        </w:rPr>
        <w:t xml:space="preserve"> — </w:t>
      </w:r>
      <w:r>
        <w:rPr>
          <w:rFonts w:ascii="David" w:cs="David" w:eastAsia="David" w:hAnsi="David"/>
          <w:b/>
          <w:bCs/>
          <w:sz w:val="24"/>
          <w:szCs w:val="24"/>
          <w:rtl/>
        </w:rPr>
        <w:t xml:space="preserve">עתיד להבעת הכללה/עתיד מותנה</w:t>
      </w:r>
      <w:r>
        <w:rPr>
          <w:rFonts w:ascii="David" w:cs="David" w:eastAsia="David" w:hAnsi="David"/>
          <w:sz w:val="24"/>
          <w:szCs w:val="24"/>
          <w:rtl/>
        </w:rPr>
        <w:t xml:space="preserve"> („בכל מקום שתלכי”). </w:t>
      </w:r>
      <w:r>
        <w:rPr>
          <w:rFonts w:ascii="David" w:cs="David" w:eastAsia="David" w:hAnsi="David"/>
          <w:b/>
          <w:bCs/>
          <w:sz w:val="24"/>
          <w:szCs w:val="24"/>
          <w:rtl/>
        </w:rPr>
        <w:t xml:space="preserve">תָּלִינִי / אָלִין</w:t>
      </w:r>
      <w:r>
        <w:rPr>
          <w:rFonts w:ascii="David" w:cs="David" w:eastAsia="David" w:hAnsi="David"/>
          <w:sz w:val="24"/>
          <w:szCs w:val="24"/>
          <w:rtl/>
        </w:rPr>
        <w:t xml:space="preserve"> (לו’ן) — מילון.</w:t>
      </w:r>
    </w:p>
    <w:p>
      <w:pPr>
        <w:bidi/>
        <w:spacing w:after="80" w:before="200" w:line="340"/>
        <w:jc w:val="right"/>
      </w:pPr>
      <w:r>
        <w:rPr>
          <w:rFonts w:ascii="David" w:cs="David" w:eastAsia="David" w:hAnsi="David"/>
          <w:b/>
          <w:bCs/>
          <w:sz w:val="24"/>
          <w:szCs w:val="24"/>
          <w:rtl/>
        </w:rPr>
        <w:t xml:space="preserve">(יז)  </w:t>
      </w:r>
      <w:r>
        <w:rPr>
          <w:rFonts w:ascii="David" w:cs="David" w:eastAsia="David" w:hAnsi="David"/>
          <w:b/>
          <w:bCs/>
          <w:sz w:val="24"/>
          <w:szCs w:val="24"/>
          <w:rtl/>
        </w:rPr>
        <w:t xml:space="preserve">בַּאֲשֶׁר תָּמוּתִי אָמוּת וְשָׁם אֶקָּבֵר כֹּה יַעֲשֶׂה יְהוָה לִי וְכֹה יֹסִיף כִּי הַמָּוֶת יַפְרִיד בֵּינִי וּבֵינֵךְ.</w:t>
      </w:r>
    </w:p>
    <w:p>
      <w:pPr>
        <w:pStyle w:val="ListParagraph"/>
        <w:numPr>
          <w:ilvl w:val="0"/>
          <w:numId w:val="2"/>
        </w:numPr>
        <w:bidi/>
        <w:spacing w:after="80" w:line="300"/>
        <w:jc w:val="both"/>
      </w:pPr>
      <w:r>
        <w:rPr>
          <w:rFonts w:ascii="David" w:cs="David" w:eastAsia="David" w:hAnsi="David"/>
          <w:b/>
          <w:bCs/>
          <w:sz w:val="24"/>
          <w:szCs w:val="24"/>
          <w:rtl/>
        </w:rPr>
        <w:t xml:space="preserve">תָּמוּתִי / אָמוּת</w:t>
      </w:r>
      <w:r>
        <w:rPr>
          <w:rFonts w:ascii="David" w:cs="David" w:eastAsia="David" w:hAnsi="David"/>
          <w:sz w:val="24"/>
          <w:szCs w:val="24"/>
          <w:rtl/>
        </w:rPr>
        <w:t xml:space="preserve"> — עתיד (מו’ת). </w:t>
      </w:r>
      <w:r>
        <w:rPr>
          <w:rFonts w:ascii="David" w:cs="David" w:eastAsia="David" w:hAnsi="David"/>
          <w:b/>
          <w:bCs/>
          <w:sz w:val="24"/>
          <w:szCs w:val="24"/>
          <w:rtl/>
        </w:rPr>
        <w:t xml:space="preserve">אֶקָּבֵר</w:t>
      </w:r>
      <w:r>
        <w:rPr>
          <w:rFonts w:ascii="David" w:cs="David" w:eastAsia="David" w:hAnsi="David"/>
          <w:sz w:val="24"/>
          <w:szCs w:val="24"/>
          <w:rtl/>
        </w:rPr>
        <w:t xml:space="preserve"> — </w:t>
      </w:r>
      <w:r>
        <w:rPr>
          <w:rFonts w:ascii="David" w:cs="David" w:eastAsia="David" w:hAnsi="David"/>
          <w:b/>
          <w:bCs/>
          <w:sz w:val="24"/>
          <w:szCs w:val="24"/>
          <w:rtl/>
        </w:rPr>
        <w:t xml:space="preserve">עתיד בבניין נפעל (סביל)</w:t>
      </w:r>
      <w:r>
        <w:rPr>
          <w:rFonts w:ascii="David" w:cs="David" w:eastAsia="David" w:hAnsi="David"/>
          <w:sz w:val="24"/>
          <w:szCs w:val="24"/>
          <w:rtl/>
        </w:rPr>
        <w:t xml:space="preserve">: „איקבר”.</w:t>
      </w:r>
    </w:p>
    <w:p>
      <w:pPr>
        <w:pStyle w:val="ListParagraph"/>
        <w:numPr>
          <w:ilvl w:val="0"/>
          <w:numId w:val="2"/>
        </w:numPr>
        <w:bidi/>
        <w:spacing w:after="80" w:line="300"/>
        <w:jc w:val="both"/>
      </w:pPr>
      <w:r>
        <w:rPr>
          <w:rFonts w:ascii="David" w:cs="David" w:eastAsia="David" w:hAnsi="David"/>
          <w:b/>
          <w:bCs/>
          <w:sz w:val="24"/>
          <w:szCs w:val="24"/>
          <w:rtl/>
        </w:rPr>
        <w:t xml:space="preserve">כֹּה יַעֲשֶׂה ... וְכֹה יֹסִיף</w:t>
      </w:r>
      <w:r>
        <w:rPr>
          <w:rFonts w:ascii="David" w:cs="David" w:eastAsia="David" w:hAnsi="David"/>
          <w:sz w:val="24"/>
          <w:szCs w:val="24"/>
          <w:rtl/>
        </w:rPr>
        <w:t xml:space="preserve"> — </w:t>
      </w:r>
      <w:r>
        <w:rPr>
          <w:rFonts w:ascii="David" w:cs="David" w:eastAsia="David" w:hAnsi="David"/>
          <w:b/>
          <w:bCs/>
          <w:sz w:val="24"/>
          <w:szCs w:val="24"/>
          <w:rtl/>
        </w:rPr>
        <w:t xml:space="preserve">נוסחת שבועה</w:t>
      </w:r>
      <w:r>
        <w:rPr>
          <w:rFonts w:ascii="David" w:cs="David" w:eastAsia="David" w:hAnsi="David"/>
          <w:sz w:val="24"/>
          <w:szCs w:val="24"/>
          <w:rtl/>
        </w:rPr>
        <w:t xml:space="preserve">; יַעֲשֶׂה (עש’ה) ו-יֹסִיף (</w:t>
      </w:r>
      <w:r>
        <w:rPr>
          <w:rFonts w:ascii="David" w:cs="David" w:eastAsia="David" w:hAnsi="David"/>
          <w:b/>
          <w:bCs/>
          <w:sz w:val="24"/>
          <w:szCs w:val="24"/>
          <w:rtl/>
        </w:rPr>
        <w:t xml:space="preserve">בניין הפעיל</w:t>
      </w:r>
      <w:r>
        <w:rPr>
          <w:rFonts w:ascii="David" w:cs="David" w:eastAsia="David" w:hAnsi="David"/>
          <w:sz w:val="24"/>
          <w:szCs w:val="24"/>
          <w:rtl/>
        </w:rPr>
        <w:t xml:space="preserve">, יס’ף) בצורת עתיד/מקוצר. </w:t>
      </w:r>
      <w:r>
        <w:rPr>
          <w:rFonts w:ascii="David" w:cs="David" w:eastAsia="David" w:hAnsi="David"/>
          <w:b/>
          <w:bCs/>
          <w:sz w:val="24"/>
          <w:szCs w:val="24"/>
          <w:rtl/>
        </w:rPr>
        <w:t xml:space="preserve">יַפְרִיד</w:t>
      </w:r>
      <w:r>
        <w:rPr>
          <w:rFonts w:ascii="David" w:cs="David" w:eastAsia="David" w:hAnsi="David"/>
          <w:sz w:val="24"/>
          <w:szCs w:val="24"/>
          <w:rtl/>
        </w:rPr>
        <w:t xml:space="preserve"> — הפעיל (פר’ד).</w:t>
      </w:r>
    </w:p>
    <w:p>
      <w:pPr>
        <w:bidi/>
        <w:spacing w:after="80" w:before="200" w:line="340"/>
        <w:jc w:val="right"/>
      </w:pPr>
      <w:r>
        <w:rPr>
          <w:rFonts w:ascii="David" w:cs="David" w:eastAsia="David" w:hAnsi="David"/>
          <w:b/>
          <w:bCs/>
          <w:sz w:val="24"/>
          <w:szCs w:val="24"/>
          <w:rtl/>
        </w:rPr>
        <w:t xml:space="preserve">(יח)  </w:t>
      </w:r>
      <w:r>
        <w:rPr>
          <w:rFonts w:ascii="David" w:cs="David" w:eastAsia="David" w:hAnsi="David"/>
          <w:b/>
          <w:bCs/>
          <w:sz w:val="24"/>
          <w:szCs w:val="24"/>
          <w:rtl/>
        </w:rPr>
        <w:t xml:space="preserve">וַתֵּרֶא כִּי מִתְאַמֶּצֶת הִיא לָלֶכֶת אִתָּהּ וַתֶּחְדַּל לְדַבֵּר אֵלֶיהָ.</w:t>
      </w:r>
    </w:p>
    <w:p>
      <w:pPr>
        <w:pStyle w:val="ListParagraph"/>
        <w:numPr>
          <w:ilvl w:val="0"/>
          <w:numId w:val="2"/>
        </w:numPr>
        <w:bidi/>
        <w:spacing w:after="80" w:line="300"/>
        <w:jc w:val="both"/>
      </w:pPr>
      <w:r>
        <w:rPr>
          <w:rFonts w:ascii="David" w:cs="David" w:eastAsia="David" w:hAnsi="David"/>
          <w:b/>
          <w:bCs/>
          <w:sz w:val="24"/>
          <w:szCs w:val="24"/>
          <w:rtl/>
        </w:rPr>
        <w:t xml:space="preserve">וַתֵּרֶא</w:t>
      </w:r>
      <w:r>
        <w:rPr>
          <w:rFonts w:ascii="David" w:cs="David" w:eastAsia="David" w:hAnsi="David"/>
          <w:sz w:val="24"/>
          <w:szCs w:val="24"/>
          <w:rtl/>
        </w:rPr>
        <w:t xml:space="preserve"> — וי“ו ההיפוך (רא’ה).</w:t>
      </w:r>
    </w:p>
    <w:p>
      <w:pPr>
        <w:pStyle w:val="ListParagraph"/>
        <w:numPr>
          <w:ilvl w:val="0"/>
          <w:numId w:val="2"/>
        </w:numPr>
        <w:bidi/>
        <w:spacing w:after="80" w:line="300"/>
        <w:jc w:val="both"/>
      </w:pPr>
      <w:r>
        <w:rPr>
          <w:rFonts w:ascii="David" w:cs="David" w:eastAsia="David" w:hAnsi="David"/>
          <w:b/>
          <w:bCs/>
          <w:sz w:val="24"/>
          <w:szCs w:val="24"/>
          <w:rtl/>
        </w:rPr>
        <w:t xml:space="preserve">מִתְאַמֶּצֶת הִיא</w:t>
      </w:r>
      <w:r>
        <w:rPr>
          <w:rFonts w:ascii="David" w:cs="David" w:eastAsia="David" w:hAnsi="David"/>
          <w:sz w:val="24"/>
          <w:szCs w:val="24"/>
          <w:rtl/>
        </w:rPr>
        <w:t xml:space="preserve"> — </w:t>
      </w:r>
      <w:r>
        <w:rPr>
          <w:rFonts w:ascii="David" w:cs="David" w:eastAsia="David" w:hAnsi="David"/>
          <w:b/>
          <w:bCs/>
          <w:sz w:val="24"/>
          <w:szCs w:val="24"/>
          <w:rtl/>
        </w:rPr>
        <w:t xml:space="preserve">בינוני בבניין התפעל כנשוא הווה/נמשך</w:t>
      </w:r>
      <w:r>
        <w:rPr>
          <w:rFonts w:ascii="David" w:cs="David" w:eastAsia="David" w:hAnsi="David"/>
          <w:sz w:val="24"/>
          <w:szCs w:val="24"/>
          <w:rtl/>
        </w:rPr>
        <w:t xml:space="preserve"> בפסוקית „כי” („שהיא מתאמצת”). הבינוני מביע פעולה מתמשכת. </w:t>
      </w:r>
      <w:r>
        <w:rPr>
          <w:rFonts w:ascii="David" w:cs="David" w:eastAsia="David" w:hAnsi="David"/>
          <w:b/>
          <w:bCs/>
          <w:sz w:val="24"/>
          <w:szCs w:val="24"/>
          <w:rtl/>
        </w:rPr>
        <w:t xml:space="preserve">בימינו: </w:t>
      </w:r>
      <w:r>
        <w:rPr>
          <w:rFonts w:ascii="David" w:cs="David" w:eastAsia="David" w:hAnsi="David"/>
          <w:sz w:val="24"/>
          <w:szCs w:val="24"/>
          <w:rtl/>
        </w:rPr>
        <w:t xml:space="preserve">„שהיא מתעקשת/נחושה”.</w:t>
      </w:r>
    </w:p>
    <w:p>
      <w:pPr>
        <w:pStyle w:val="ListParagraph"/>
        <w:numPr>
          <w:ilvl w:val="0"/>
          <w:numId w:val="2"/>
        </w:numPr>
        <w:bidi/>
        <w:spacing w:after="80" w:line="300"/>
        <w:jc w:val="both"/>
      </w:pPr>
      <w:r>
        <w:rPr>
          <w:rFonts w:ascii="David" w:cs="David" w:eastAsia="David" w:hAnsi="David"/>
          <w:b/>
          <w:bCs/>
          <w:sz w:val="24"/>
          <w:szCs w:val="24"/>
          <w:rtl/>
        </w:rPr>
        <w:t xml:space="preserve">לָלֶכֶת</w:t>
      </w:r>
      <w:r>
        <w:rPr>
          <w:rFonts w:ascii="David" w:cs="David" w:eastAsia="David" w:hAnsi="David"/>
          <w:sz w:val="24"/>
          <w:szCs w:val="24"/>
          <w:rtl/>
        </w:rPr>
        <w:t xml:space="preserve"> — מקור נטוי חריג (הל’ך). </w:t>
      </w:r>
      <w:r>
        <w:rPr>
          <w:rFonts w:ascii="David" w:cs="David" w:eastAsia="David" w:hAnsi="David"/>
          <w:b/>
          <w:bCs/>
          <w:sz w:val="24"/>
          <w:szCs w:val="24"/>
          <w:rtl/>
        </w:rPr>
        <w:t xml:space="preserve">וַתֶּחְדַּל לְדַבֵּר</w:t>
      </w:r>
      <w:r>
        <w:rPr>
          <w:rFonts w:ascii="David" w:cs="David" w:eastAsia="David" w:hAnsi="David"/>
          <w:sz w:val="24"/>
          <w:szCs w:val="24"/>
          <w:rtl/>
        </w:rPr>
        <w:t xml:space="preserve"> — „חדל” + </w:t>
      </w:r>
      <w:r>
        <w:rPr>
          <w:rFonts w:ascii="David" w:cs="David" w:eastAsia="David" w:hAnsi="David"/>
          <w:b/>
          <w:bCs/>
          <w:sz w:val="24"/>
          <w:szCs w:val="24"/>
          <w:rtl/>
        </w:rPr>
        <w:t xml:space="preserve">מקור נטוי בפיעל</w:t>
      </w:r>
      <w:r>
        <w:rPr>
          <w:rFonts w:ascii="David" w:cs="David" w:eastAsia="David" w:hAnsi="David"/>
          <w:sz w:val="24"/>
          <w:szCs w:val="24"/>
          <w:rtl/>
        </w:rPr>
        <w:t xml:space="preserve"> („לדבר”) כהשלמה. </w:t>
      </w:r>
    </w:p>
    <w:p>
      <w:pPr>
        <w:bidi/>
        <w:spacing w:after="80" w:before="200" w:line="340"/>
        <w:jc w:val="right"/>
      </w:pPr>
      <w:r>
        <w:rPr>
          <w:rFonts w:ascii="David" w:cs="David" w:eastAsia="David" w:hAnsi="David"/>
          <w:b/>
          <w:bCs/>
          <w:sz w:val="24"/>
          <w:szCs w:val="24"/>
          <w:rtl/>
        </w:rPr>
        <w:t xml:space="preserve">(יט)  </w:t>
      </w:r>
      <w:r>
        <w:rPr>
          <w:rFonts w:ascii="David" w:cs="David" w:eastAsia="David" w:hAnsi="David"/>
          <w:b/>
          <w:bCs/>
          <w:sz w:val="24"/>
          <w:szCs w:val="24"/>
          <w:rtl/>
        </w:rPr>
        <w:t xml:space="preserve">וַתֵּלַכְנָה שְׁתֵּיהֶם עַד בֹּאָנָה בֵּית לָחֶם וַיְהִי כְּבֹאָנָה בֵּית לֶחֶם וַתֵּהֹם כָּל הָעִיר עֲלֵיהֶן וַתֹּאמַרְנָה הֲזֹאת נָעֳמִי.</w:t>
      </w:r>
    </w:p>
    <w:p>
      <w:pPr>
        <w:pStyle w:val="ListParagraph"/>
        <w:numPr>
          <w:ilvl w:val="0"/>
          <w:numId w:val="2"/>
        </w:numPr>
        <w:bidi/>
        <w:spacing w:after="80" w:line="300"/>
        <w:jc w:val="both"/>
      </w:pPr>
      <w:r>
        <w:rPr>
          <w:rFonts w:ascii="David" w:cs="David" w:eastAsia="David" w:hAnsi="David"/>
          <w:b/>
          <w:bCs/>
          <w:sz w:val="24"/>
          <w:szCs w:val="24"/>
          <w:rtl/>
        </w:rPr>
        <w:t xml:space="preserve">עַד בֹּאָנָה בֵּית לָחֶם</w:t>
      </w:r>
      <w:r>
        <w:rPr>
          <w:rFonts w:ascii="David" w:cs="David" w:eastAsia="David" w:hAnsi="David"/>
          <w:sz w:val="24"/>
          <w:szCs w:val="24"/>
          <w:rtl/>
        </w:rPr>
        <w:t xml:space="preserve"> — </w:t>
      </w:r>
      <w:r>
        <w:rPr>
          <w:rFonts w:ascii="David" w:cs="David" w:eastAsia="David" w:hAnsi="David"/>
          <w:b/>
          <w:bCs/>
          <w:sz w:val="24"/>
          <w:szCs w:val="24"/>
          <w:rtl/>
        </w:rPr>
        <w:t xml:space="preserve">פסוקית זמן בצורת מקור</w:t>
      </w:r>
      <w:r>
        <w:rPr>
          <w:rFonts w:ascii="David" w:cs="David" w:eastAsia="David" w:hAnsi="David"/>
          <w:sz w:val="24"/>
          <w:szCs w:val="24"/>
          <w:rtl/>
        </w:rPr>
        <w:t xml:space="preserve">: עַד + בֹּאָנָה (מקור נטוי של בו’א + כינוי נקבות רבות) = „עד שבאו/הגיעו” — בלא מילת שעבוד. </w:t>
      </w:r>
      <w:r>
        <w:rPr>
          <w:rFonts w:ascii="David" w:cs="David" w:eastAsia="David" w:hAnsi="David"/>
          <w:b/>
          <w:bCs/>
          <w:sz w:val="24"/>
          <w:szCs w:val="24"/>
          <w:rtl/>
        </w:rPr>
        <w:t xml:space="preserve">בימינו: </w:t>
      </w:r>
      <w:r>
        <w:rPr>
          <w:rFonts w:ascii="David" w:cs="David" w:eastAsia="David" w:hAnsi="David"/>
          <w:sz w:val="24"/>
          <w:szCs w:val="24"/>
          <w:rtl/>
        </w:rPr>
        <w:t xml:space="preserve">„עד שהגיעו”.</w:t>
      </w:r>
    </w:p>
    <w:p>
      <w:pPr>
        <w:pStyle w:val="ListParagraph"/>
        <w:numPr>
          <w:ilvl w:val="0"/>
          <w:numId w:val="2"/>
        </w:numPr>
        <w:bidi/>
        <w:spacing w:after="80" w:line="300"/>
        <w:jc w:val="both"/>
      </w:pPr>
      <w:r>
        <w:rPr>
          <w:rFonts w:ascii="David" w:cs="David" w:eastAsia="David" w:hAnsi="David"/>
          <w:b/>
          <w:bCs/>
          <w:sz w:val="24"/>
          <w:szCs w:val="24"/>
          <w:rtl/>
        </w:rPr>
        <w:t xml:space="preserve">וַיְהִי כְּבֹאָנָה בֵּית לֶחֶם</w:t>
      </w:r>
      <w:r>
        <w:rPr>
          <w:rFonts w:ascii="David" w:cs="David" w:eastAsia="David" w:hAnsi="David"/>
          <w:sz w:val="24"/>
          <w:szCs w:val="24"/>
          <w:rtl/>
        </w:rPr>
        <w:t xml:space="preserve"> — </w:t>
      </w:r>
      <w:r>
        <w:rPr>
          <w:rFonts w:ascii="David" w:cs="David" w:eastAsia="David" w:hAnsi="David"/>
          <w:b/>
          <w:bCs/>
          <w:sz w:val="24"/>
          <w:szCs w:val="24"/>
          <w:rtl/>
        </w:rPr>
        <w:t xml:space="preserve">שיא הדגמת פסוקית הזמן בצורת מקור</w:t>
      </w:r>
      <w:r>
        <w:rPr>
          <w:rFonts w:ascii="David" w:cs="David" w:eastAsia="David" w:hAnsi="David"/>
          <w:sz w:val="24"/>
          <w:szCs w:val="24"/>
          <w:rtl/>
        </w:rPr>
        <w:t xml:space="preserve">: „ויהי” (מסמן זמן) + כְּ + בֹּאָנָה = „ויהי כאשר באו”. ה</w:t>
      </w:r>
      <w:r>
        <w:rPr>
          <w:rFonts w:ascii="David" w:cs="David" w:eastAsia="David" w:hAnsi="David"/>
          <w:b/>
          <w:bCs/>
          <w:sz w:val="24"/>
          <w:szCs w:val="24"/>
          <w:rtl/>
        </w:rPr>
        <w:t xml:space="preserve">וי“ו של „וַתֵּהֹם” היא וי“ו החיבור כסימן פיסוק</w:t>
      </w:r>
      <w:r>
        <w:rPr>
          <w:rFonts w:ascii="David" w:cs="David" w:eastAsia="David" w:hAnsi="David"/>
          <w:sz w:val="24"/>
          <w:szCs w:val="24"/>
          <w:rtl/>
        </w:rPr>
        <w:t xml:space="preserve"> בין פסוקית-הזמן לעיקר (apodosis). </w:t>
      </w:r>
      <w:r>
        <w:rPr>
          <w:rFonts w:ascii="David" w:cs="David" w:eastAsia="David" w:hAnsi="David"/>
          <w:b/>
          <w:bCs/>
          <w:sz w:val="24"/>
          <w:szCs w:val="24"/>
          <w:rtl/>
        </w:rPr>
        <w:t xml:space="preserve">בימינו: </w:t>
      </w:r>
      <w:r>
        <w:rPr>
          <w:rFonts w:ascii="David" w:cs="David" w:eastAsia="David" w:hAnsi="David"/>
          <w:sz w:val="24"/>
          <w:szCs w:val="24"/>
          <w:rtl/>
        </w:rPr>
        <w:t xml:space="preserve">„כשהגיעו לבית לחם, המתה כל העיר”.</w:t>
      </w:r>
    </w:p>
    <w:p>
      <w:pPr>
        <w:pStyle w:val="ListParagraph"/>
        <w:numPr>
          <w:ilvl w:val="0"/>
          <w:numId w:val="2"/>
        </w:numPr>
        <w:bidi/>
        <w:spacing w:after="80" w:line="300"/>
        <w:jc w:val="both"/>
      </w:pPr>
      <w:r>
        <w:rPr>
          <w:rFonts w:ascii="David" w:cs="David" w:eastAsia="David" w:hAnsi="David"/>
          <w:b/>
          <w:bCs/>
          <w:sz w:val="24"/>
          <w:szCs w:val="24"/>
          <w:rtl/>
        </w:rPr>
        <w:t xml:space="preserve">וַתֵּהֹם כָּל הָעִיר</w:t>
      </w:r>
      <w:r>
        <w:rPr>
          <w:rFonts w:ascii="David" w:cs="David" w:eastAsia="David" w:hAnsi="David"/>
          <w:sz w:val="24"/>
          <w:szCs w:val="24"/>
          <w:rtl/>
        </w:rPr>
        <w:t xml:space="preserve"> — וי“ו ההיפוך בבניין נפעל (המ’ם), „הומה, נסערה”.</w:t>
      </w:r>
    </w:p>
    <w:p>
      <w:pPr>
        <w:pStyle w:val="ListParagraph"/>
        <w:numPr>
          <w:ilvl w:val="0"/>
          <w:numId w:val="2"/>
        </w:numPr>
        <w:bidi/>
        <w:spacing w:after="80" w:line="300"/>
        <w:jc w:val="both"/>
      </w:pPr>
      <w:r>
        <w:rPr>
          <w:rFonts w:ascii="David" w:cs="David" w:eastAsia="David" w:hAnsi="David"/>
          <w:b/>
          <w:bCs/>
          <w:sz w:val="24"/>
          <w:szCs w:val="24"/>
          <w:rtl/>
        </w:rPr>
        <w:t xml:space="preserve">וַתֹּאמַרְנָה הֲזֹאת נָעֳמִי</w:t>
      </w:r>
      <w:r>
        <w:rPr>
          <w:rFonts w:ascii="David" w:cs="David" w:eastAsia="David" w:hAnsi="David"/>
          <w:sz w:val="24"/>
          <w:szCs w:val="24"/>
          <w:rtl/>
        </w:rPr>
        <w:t xml:space="preserve"> — </w:t>
      </w:r>
      <w:r>
        <w:rPr>
          <w:rFonts w:ascii="David" w:cs="David" w:eastAsia="David" w:hAnsi="David"/>
          <w:b/>
          <w:bCs/>
          <w:sz w:val="24"/>
          <w:szCs w:val="24"/>
          <w:rtl/>
        </w:rPr>
        <w:t xml:space="preserve">פועל בגוף נסתר (רבות) כנושא סתמי</w:t>
      </w:r>
      <w:r>
        <w:rPr>
          <w:rFonts w:ascii="David" w:cs="David" w:eastAsia="David" w:hAnsi="David"/>
          <w:sz w:val="24"/>
          <w:szCs w:val="24"/>
          <w:rtl/>
        </w:rPr>
        <w:t xml:space="preserve">: הנושא אינו מפורש („[נשות העיר / הבריות] אמרו”) — דרך מקראית להביע סתמיות בגוף שלישי רבים. </w:t>
      </w:r>
      <w:r>
        <w:rPr>
          <w:rFonts w:ascii="David" w:cs="David" w:eastAsia="David" w:hAnsi="David"/>
          <w:b/>
          <w:bCs/>
          <w:sz w:val="24"/>
          <w:szCs w:val="24"/>
          <w:rtl/>
        </w:rPr>
        <w:t xml:space="preserve">בימינו: </w:t>
      </w:r>
      <w:r>
        <w:rPr>
          <w:rFonts w:ascii="David" w:cs="David" w:eastAsia="David" w:hAnsi="David"/>
          <w:sz w:val="24"/>
          <w:szCs w:val="24"/>
          <w:rtl/>
        </w:rPr>
        <w:t xml:space="preserve">סתמי יובע לרוב בגוף שלישי רבים אף הוא („אמרו”) או בבניין סביל.</w:t>
      </w:r>
      <w:r>
        <w:rPr>
          <w:rStyle w:val="FootnoteReference"/>
        </w:rPr>
        <w:footnoteReference w:id="7"/>
      </w:r>
    </w:p>
    <w:p>
      <w:pPr>
        <w:bidi/>
        <w:spacing w:after="80" w:before="200" w:line="340"/>
        <w:jc w:val="right"/>
      </w:pPr>
      <w:r>
        <w:rPr>
          <w:rFonts w:ascii="David" w:cs="David" w:eastAsia="David" w:hAnsi="David"/>
          <w:b/>
          <w:bCs/>
          <w:sz w:val="24"/>
          <w:szCs w:val="24"/>
          <w:rtl/>
        </w:rPr>
        <w:t xml:space="preserve">(כ)  </w:t>
      </w:r>
      <w:r>
        <w:rPr>
          <w:rFonts w:ascii="David" w:cs="David" w:eastAsia="David" w:hAnsi="David"/>
          <w:b/>
          <w:bCs/>
          <w:sz w:val="24"/>
          <w:szCs w:val="24"/>
          <w:rtl/>
        </w:rPr>
        <w:t xml:space="preserve">וַתֹּאמֶר אֲלֵיהֶן אַל תִּקְרֶאנָה לִי נָעֳמִי קְרֶאןָ לִי מָרָא כִּי הֵמַר שַׁדַּי לִי מְאֹד.</w:t>
      </w:r>
    </w:p>
    <w:p>
      <w:pPr>
        <w:pStyle w:val="ListParagraph"/>
        <w:numPr>
          <w:ilvl w:val="0"/>
          <w:numId w:val="2"/>
        </w:numPr>
        <w:bidi/>
        <w:spacing w:after="80" w:line="300"/>
        <w:jc w:val="both"/>
      </w:pPr>
      <w:r>
        <w:rPr>
          <w:rFonts w:ascii="David" w:cs="David" w:eastAsia="David" w:hAnsi="David"/>
          <w:b/>
          <w:bCs/>
          <w:sz w:val="24"/>
          <w:szCs w:val="24"/>
          <w:rtl/>
        </w:rPr>
        <w:t xml:space="preserve">אַל תִּקְרֶאנָה</w:t>
      </w:r>
      <w:r>
        <w:rPr>
          <w:rFonts w:ascii="David" w:cs="David" w:eastAsia="David" w:hAnsi="David"/>
          <w:sz w:val="24"/>
          <w:szCs w:val="24"/>
          <w:rtl/>
        </w:rPr>
        <w:t xml:space="preserve"> — </w:t>
      </w:r>
      <w:r>
        <w:rPr>
          <w:rFonts w:ascii="David" w:cs="David" w:eastAsia="David" w:hAnsi="David"/>
          <w:b/>
          <w:bCs/>
          <w:sz w:val="24"/>
          <w:szCs w:val="24"/>
          <w:rtl/>
        </w:rPr>
        <w:t xml:space="preserve">שלילת ציווי בעתיד נקבות רבות</w:t>
      </w:r>
      <w:r>
        <w:rPr>
          <w:rFonts w:ascii="David" w:cs="David" w:eastAsia="David" w:hAnsi="David"/>
          <w:sz w:val="24"/>
          <w:szCs w:val="24"/>
          <w:rtl/>
        </w:rPr>
        <w:t xml:space="preserve"> (קר’א). </w:t>
      </w:r>
      <w:r>
        <w:rPr>
          <w:rFonts w:ascii="David" w:cs="David" w:eastAsia="David" w:hAnsi="David"/>
          <w:b/>
          <w:bCs/>
          <w:sz w:val="24"/>
          <w:szCs w:val="24"/>
          <w:rtl/>
        </w:rPr>
        <w:t xml:space="preserve">קְרֶאןָ</w:t>
      </w:r>
      <w:r>
        <w:rPr>
          <w:rFonts w:ascii="David" w:cs="David" w:eastAsia="David" w:hAnsi="David"/>
          <w:sz w:val="24"/>
          <w:szCs w:val="24"/>
          <w:rtl/>
        </w:rPr>
        <w:t xml:space="preserve"> (כתיב „קראן”) — ציווי נקבות רבות; כתיב-וקרי. הפנייה בגוף רבות משמשת כאן קרוב לסתמי („אל יקראו לי”). </w:t>
      </w:r>
      <w:r>
        <w:rPr>
          <w:rFonts w:ascii="David" w:cs="David" w:eastAsia="David" w:hAnsi="David"/>
          <w:b/>
          <w:bCs/>
          <w:sz w:val="24"/>
          <w:szCs w:val="24"/>
          <w:rtl/>
        </w:rPr>
        <w:t xml:space="preserve">בימינו: </w:t>
      </w:r>
      <w:r>
        <w:rPr>
          <w:rFonts w:ascii="David" w:cs="David" w:eastAsia="David" w:hAnsi="David"/>
          <w:sz w:val="24"/>
          <w:szCs w:val="24"/>
          <w:rtl/>
        </w:rPr>
        <w:t xml:space="preserve">„אל תקראו לי”.</w:t>
      </w:r>
    </w:p>
    <w:p>
      <w:pPr>
        <w:pStyle w:val="ListParagraph"/>
        <w:numPr>
          <w:ilvl w:val="0"/>
          <w:numId w:val="2"/>
        </w:numPr>
        <w:bidi/>
        <w:spacing w:after="80" w:line="300"/>
        <w:jc w:val="both"/>
      </w:pPr>
      <w:r>
        <w:rPr>
          <w:rFonts w:ascii="David" w:cs="David" w:eastAsia="David" w:hAnsi="David"/>
          <w:b/>
          <w:bCs/>
          <w:sz w:val="24"/>
          <w:szCs w:val="24"/>
          <w:rtl/>
        </w:rPr>
        <w:t xml:space="preserve">הֵמַר שַׁדַּי</w:t>
      </w:r>
      <w:r>
        <w:rPr>
          <w:rFonts w:ascii="David" w:cs="David" w:eastAsia="David" w:hAnsi="David"/>
          <w:sz w:val="24"/>
          <w:szCs w:val="24"/>
          <w:rtl/>
        </w:rPr>
        <w:t xml:space="preserve"> — </w:t>
      </w:r>
      <w:r>
        <w:rPr>
          <w:rFonts w:ascii="David" w:cs="David" w:eastAsia="David" w:hAnsi="David"/>
          <w:b/>
          <w:bCs/>
          <w:sz w:val="24"/>
          <w:szCs w:val="24"/>
          <w:rtl/>
        </w:rPr>
        <w:t xml:space="preserve">בניין הפעיל</w:t>
      </w:r>
      <w:r>
        <w:rPr>
          <w:rFonts w:ascii="David" w:cs="David" w:eastAsia="David" w:hAnsi="David"/>
          <w:sz w:val="24"/>
          <w:szCs w:val="24"/>
          <w:rtl/>
        </w:rPr>
        <w:t xml:space="preserve"> (מר’ר), „המר” = „גרם מרירות”. </w:t>
      </w:r>
      <w:r>
        <w:rPr>
          <w:rFonts w:ascii="David" w:cs="David" w:eastAsia="David" w:hAnsi="David"/>
          <w:b/>
          <w:bCs/>
          <w:sz w:val="24"/>
          <w:szCs w:val="24"/>
          <w:rtl/>
        </w:rPr>
        <w:t xml:space="preserve">מָרָא</w:t>
      </w:r>
      <w:r>
        <w:rPr>
          <w:rFonts w:ascii="David" w:cs="David" w:eastAsia="David" w:hAnsi="David"/>
          <w:sz w:val="24"/>
          <w:szCs w:val="24"/>
          <w:rtl/>
        </w:rPr>
        <w:t xml:space="preserve"> — צורת נקבה ארמית של „מרה” (מר), ומשחק מילים על „נעמי” (נעים) מול „מרא” (מר).</w:t>
      </w:r>
    </w:p>
    <w:p>
      <w:r>
        <w:br w:type="page"/>
      </w:r>
    </w:p>
    <w:p>
      <w:pPr>
        <w:pStyle w:val="Heading1"/>
        <w:bidi/>
        <w:spacing w:after="160" w:before="300"/>
        <w:jc w:val="right"/>
      </w:pPr>
      <w:r>
        <w:rPr>
          <w:rFonts w:ascii="David" w:cs="David" w:eastAsia="David" w:hAnsi="David"/>
          <w:b/>
          <w:bCs/>
          <w:sz w:val="30"/>
          <w:szCs w:val="30"/>
          <w:rtl/>
        </w:rPr>
        <w:t xml:space="preserve">חלק ג: מילון</w:t>
      </w:r>
    </w:p>
    <w:p>
      <w:pPr>
        <w:bidi/>
        <w:spacing w:after="120" w:line="320"/>
        <w:jc w:val="both"/>
      </w:pPr>
      <w:r>
        <w:rPr>
          <w:rFonts w:ascii="David" w:cs="David" w:eastAsia="David" w:hAnsi="David"/>
          <w:sz w:val="24"/>
          <w:szCs w:val="24"/>
          <w:rtl/>
        </w:rPr>
        <w:t xml:space="preserve">להלן מילים ופעלים שהשימוש בהם בעברית בת-ימינו נבדל מזה שבמקרא — אם משום </w:t>
      </w:r>
      <w:r>
        <w:rPr>
          <w:rFonts w:ascii="David" w:cs="David" w:eastAsia="David" w:hAnsi="David"/>
          <w:b/>
          <w:bCs/>
          <w:sz w:val="24"/>
          <w:szCs w:val="24"/>
          <w:rtl/>
        </w:rPr>
        <w:t xml:space="preserve">שינוי משמעות</w:t>
      </w:r>
      <w:r>
        <w:rPr>
          <w:rFonts w:ascii="David" w:cs="David" w:eastAsia="David" w:hAnsi="David"/>
          <w:sz w:val="24"/>
          <w:szCs w:val="24"/>
          <w:rtl/>
        </w:rPr>
        <w:t xml:space="preserve">, אם משום שנוהגות היום </w:t>
      </w:r>
      <w:r>
        <w:rPr>
          <w:rFonts w:ascii="David" w:cs="David" w:eastAsia="David" w:hAnsi="David"/>
          <w:b/>
          <w:bCs/>
          <w:sz w:val="24"/>
          <w:szCs w:val="24"/>
          <w:rtl/>
        </w:rPr>
        <w:t xml:space="preserve">מילים אחרות</w:t>
      </w:r>
      <w:r>
        <w:rPr>
          <w:rFonts w:ascii="David" w:cs="David" w:eastAsia="David" w:hAnsi="David"/>
          <w:sz w:val="24"/>
          <w:szCs w:val="24"/>
          <w:rtl/>
        </w:rPr>
        <w:t xml:space="preserve"> במקומם. הדיון נשען על מילון אבן-שושן ומילון העברית המקראית של קדרי.</w:t>
      </w:r>
      <w:r>
        <w:rPr>
          <w:rStyle w:val="FootnoteReference"/>
        </w:rPr>
        <w:footnoteReference w:id="8"/>
      </w:r>
    </w:p>
    <w:p>
      <w:pPr>
        <w:pStyle w:val="ListParagraph"/>
        <w:numPr>
          <w:ilvl w:val="0"/>
          <w:numId w:val="2"/>
        </w:numPr>
        <w:bidi/>
        <w:spacing w:after="80" w:line="300"/>
        <w:jc w:val="both"/>
      </w:pPr>
      <w:r>
        <w:rPr>
          <w:rFonts w:ascii="David" w:cs="David" w:eastAsia="David" w:hAnsi="David"/>
          <w:b/>
          <w:bCs/>
          <w:sz w:val="24"/>
          <w:szCs w:val="24"/>
          <w:rtl/>
        </w:rPr>
        <w:t xml:space="preserve">1. </w:t>
      </w:r>
      <w:r>
        <w:rPr>
          <w:rFonts w:ascii="David" w:cs="David" w:eastAsia="David" w:hAnsi="David"/>
          <w:b/>
          <w:bCs/>
          <w:sz w:val="24"/>
          <w:szCs w:val="24"/>
          <w:rtl/>
        </w:rPr>
        <w:t xml:space="preserve">גּוּר / לָגוּר</w:t>
      </w:r>
      <w:r>
        <w:rPr>
          <w:rFonts w:ascii="David" w:cs="David" w:eastAsia="David" w:hAnsi="David"/>
          <w:sz w:val="24"/>
          <w:szCs w:val="24"/>
          <w:rtl/>
        </w:rPr>
        <w:t xml:space="preserve"> (פס׳ א) — </w:t>
      </w:r>
      <w:r>
        <w:rPr>
          <w:rFonts w:ascii="David" w:cs="David" w:eastAsia="David" w:hAnsi="David"/>
          <w:sz w:val="24"/>
          <w:szCs w:val="24"/>
          <w:rtl/>
        </w:rPr>
        <w:t xml:space="preserve">במקרא: לגור זמנית כתושב-ארעי, להתאכסן (משורש „גֵּר”, זר). בימינו: „לגור” = להתגורר דרך קבע. חלה הרחבה/הסחה: הוראת הארעיות אבדה, ומובעת היום ב„לשהות”/„להתגורר זמנית”.</w:t>
      </w:r>
    </w:p>
    <w:p>
      <w:pPr>
        <w:pStyle w:val="ListParagraph"/>
        <w:numPr>
          <w:ilvl w:val="0"/>
          <w:numId w:val="2"/>
        </w:numPr>
        <w:bidi/>
        <w:spacing w:after="80" w:line="300"/>
        <w:jc w:val="both"/>
      </w:pPr>
      <w:r>
        <w:rPr>
          <w:rFonts w:ascii="David" w:cs="David" w:eastAsia="David" w:hAnsi="David"/>
          <w:b/>
          <w:bCs/>
          <w:sz w:val="24"/>
          <w:szCs w:val="24"/>
          <w:rtl/>
        </w:rPr>
        <w:t xml:space="preserve">2. </w:t>
      </w:r>
      <w:r>
        <w:rPr>
          <w:rFonts w:ascii="David" w:cs="David" w:eastAsia="David" w:hAnsi="David"/>
          <w:b/>
          <w:bCs/>
          <w:sz w:val="24"/>
          <w:szCs w:val="24"/>
          <w:rtl/>
        </w:rPr>
        <w:t xml:space="preserve">פָּקַד</w:t>
      </w:r>
      <w:r>
        <w:rPr>
          <w:rFonts w:ascii="David" w:cs="David" w:eastAsia="David" w:hAnsi="David"/>
          <w:sz w:val="24"/>
          <w:szCs w:val="24"/>
          <w:rtl/>
        </w:rPr>
        <w:t xml:space="preserve"> (פס׳ ו) — </w:t>
      </w:r>
      <w:r>
        <w:rPr>
          <w:rFonts w:ascii="David" w:cs="David" w:eastAsia="David" w:hAnsi="David"/>
          <w:sz w:val="24"/>
          <w:szCs w:val="24"/>
          <w:rtl/>
        </w:rPr>
        <w:t xml:space="preserve">במקרא: נתן דעתו, זכר, השגיח („פקד ה’ את עמו” = דאג להם). בימינו: ציווה, מנה/ערך מפקד, ניהל (מפקד, פקודה, מפקדה, תפקיד). המשמעות התרחקה מאוד מזו המקראית.</w:t>
      </w:r>
    </w:p>
    <w:p>
      <w:pPr>
        <w:pStyle w:val="ListParagraph"/>
        <w:numPr>
          <w:ilvl w:val="0"/>
          <w:numId w:val="2"/>
        </w:numPr>
        <w:bidi/>
        <w:spacing w:after="80" w:line="300"/>
        <w:jc w:val="both"/>
      </w:pPr>
      <w:r>
        <w:rPr>
          <w:rFonts w:ascii="David" w:cs="David" w:eastAsia="David" w:hAnsi="David"/>
          <w:b/>
          <w:bCs/>
          <w:sz w:val="24"/>
          <w:szCs w:val="24"/>
          <w:rtl/>
        </w:rPr>
        <w:t xml:space="preserve">3. </w:t>
      </w:r>
      <w:r>
        <w:rPr>
          <w:rFonts w:ascii="David" w:cs="David" w:eastAsia="David" w:hAnsi="David"/>
          <w:b/>
          <w:bCs/>
          <w:sz w:val="24"/>
          <w:szCs w:val="24"/>
          <w:rtl/>
        </w:rPr>
        <w:t xml:space="preserve">נָשָׂא (אישה)</w:t>
      </w:r>
      <w:r>
        <w:rPr>
          <w:rFonts w:ascii="David" w:cs="David" w:eastAsia="David" w:hAnsi="David"/>
          <w:sz w:val="24"/>
          <w:szCs w:val="24"/>
          <w:rtl/>
        </w:rPr>
        <w:t xml:space="preserve"> (פס׳ ד) — </w:t>
      </w:r>
      <w:r>
        <w:rPr>
          <w:rFonts w:ascii="David" w:cs="David" w:eastAsia="David" w:hAnsi="David"/>
          <w:sz w:val="24"/>
          <w:szCs w:val="24"/>
          <w:rtl/>
        </w:rPr>
        <w:t xml:space="preserve">במקרא: „נשא אישה” = התחתן. בימינו: „נשא” = סחב, הרים; „לשאת אישה” לשון גבוהה/ספרותית, והרווח „התחתן”.</w:t>
      </w:r>
    </w:p>
    <w:p>
      <w:pPr>
        <w:pStyle w:val="ListParagraph"/>
        <w:numPr>
          <w:ilvl w:val="0"/>
          <w:numId w:val="2"/>
        </w:numPr>
        <w:bidi/>
        <w:spacing w:after="80" w:line="300"/>
        <w:jc w:val="both"/>
      </w:pPr>
      <w:r>
        <w:rPr>
          <w:rFonts w:ascii="David" w:cs="David" w:eastAsia="David" w:hAnsi="David"/>
          <w:b/>
          <w:bCs/>
          <w:sz w:val="24"/>
          <w:szCs w:val="24"/>
          <w:rtl/>
        </w:rPr>
        <w:t xml:space="preserve">4. </w:t>
      </w:r>
      <w:r>
        <w:rPr>
          <w:rFonts w:ascii="David" w:cs="David" w:eastAsia="David" w:hAnsi="David"/>
          <w:b/>
          <w:bCs/>
          <w:sz w:val="24"/>
          <w:szCs w:val="24"/>
          <w:rtl/>
        </w:rPr>
        <w:t xml:space="preserve">יֶלֶד</w:t>
      </w:r>
      <w:r>
        <w:rPr>
          <w:rFonts w:ascii="David" w:cs="David" w:eastAsia="David" w:hAnsi="David"/>
          <w:sz w:val="24"/>
          <w:szCs w:val="24"/>
          <w:rtl/>
        </w:rPr>
        <w:t xml:space="preserve"> (פס׳ ה) — </w:t>
      </w:r>
      <w:r>
        <w:rPr>
          <w:rFonts w:ascii="David" w:cs="David" w:eastAsia="David" w:hAnsi="David"/>
          <w:sz w:val="24"/>
          <w:szCs w:val="24"/>
          <w:rtl/>
        </w:rPr>
        <w:t xml:space="preserve">במקרא: צאצא, בן — בכל גיל (כאן = בניה הבוגרים). בימינו: „יֶלֶד” = צעיר לימים בלבד; לבן בוגר יאמרו „בן”. צמצום משמעות.</w:t>
      </w:r>
    </w:p>
    <w:p>
      <w:pPr>
        <w:pStyle w:val="ListParagraph"/>
        <w:numPr>
          <w:ilvl w:val="0"/>
          <w:numId w:val="2"/>
        </w:numPr>
        <w:bidi/>
        <w:spacing w:after="80" w:line="300"/>
        <w:jc w:val="both"/>
      </w:pPr>
      <w:r>
        <w:rPr>
          <w:rFonts w:ascii="David" w:cs="David" w:eastAsia="David" w:hAnsi="David"/>
          <w:b/>
          <w:bCs/>
          <w:sz w:val="24"/>
          <w:szCs w:val="24"/>
          <w:rtl/>
        </w:rPr>
        <w:t xml:space="preserve">5. </w:t>
      </w:r>
      <w:r>
        <w:rPr>
          <w:rFonts w:ascii="David" w:cs="David" w:eastAsia="David" w:hAnsi="David"/>
          <w:b/>
          <w:bCs/>
          <w:sz w:val="24"/>
          <w:szCs w:val="24"/>
          <w:rtl/>
        </w:rPr>
        <w:t xml:space="preserve">אִישׁ</w:t>
      </w:r>
      <w:r>
        <w:rPr>
          <w:rFonts w:ascii="David" w:cs="David" w:eastAsia="David" w:hAnsi="David"/>
          <w:sz w:val="24"/>
          <w:szCs w:val="24"/>
          <w:rtl/>
        </w:rPr>
        <w:t xml:space="preserve"> (פס׳ יא–יב, „לאיש”, „אנשים”) — </w:t>
      </w:r>
      <w:r>
        <w:rPr>
          <w:rFonts w:ascii="David" w:cs="David" w:eastAsia="David" w:hAnsi="David"/>
          <w:sz w:val="24"/>
          <w:szCs w:val="24"/>
          <w:rtl/>
        </w:rPr>
        <w:t xml:space="preserve">במקרא: גם „בעל” („היו לכם לאנשים” = לבעלים). בימינו: „איש” = אדם/גבר; „בעל” משמש ל-husband. הסחת משמעות.</w:t>
      </w:r>
    </w:p>
    <w:p>
      <w:pPr>
        <w:pStyle w:val="ListParagraph"/>
        <w:numPr>
          <w:ilvl w:val="0"/>
          <w:numId w:val="2"/>
        </w:numPr>
        <w:bidi/>
        <w:spacing w:after="80" w:line="300"/>
        <w:jc w:val="both"/>
      </w:pPr>
      <w:r>
        <w:rPr>
          <w:rFonts w:ascii="David" w:cs="David" w:eastAsia="David" w:hAnsi="David"/>
          <w:b/>
          <w:bCs/>
          <w:sz w:val="24"/>
          <w:szCs w:val="24"/>
          <w:rtl/>
        </w:rPr>
        <w:t xml:space="preserve">6. </w:t>
      </w:r>
      <w:r>
        <w:rPr>
          <w:rFonts w:ascii="David" w:cs="David" w:eastAsia="David" w:hAnsi="David"/>
          <w:b/>
          <w:bCs/>
          <w:sz w:val="24"/>
          <w:szCs w:val="24"/>
          <w:rtl/>
        </w:rPr>
        <w:t xml:space="preserve">חֶסֶד</w:t>
      </w:r>
      <w:r>
        <w:rPr>
          <w:rFonts w:ascii="David" w:cs="David" w:eastAsia="David" w:hAnsi="David"/>
          <w:sz w:val="24"/>
          <w:szCs w:val="24"/>
          <w:rtl/>
        </w:rPr>
        <w:t xml:space="preserve"> (פס׳ ח) — </w:t>
      </w:r>
      <w:r>
        <w:rPr>
          <w:rFonts w:ascii="David" w:cs="David" w:eastAsia="David" w:hAnsi="David"/>
          <w:sz w:val="24"/>
          <w:szCs w:val="24"/>
          <w:rtl/>
        </w:rPr>
        <w:t xml:space="preserve">במקרא: נאמנות ברית, גמילות טובה מתוך מחויבות. בימינו: חסד = טובה/רחמים/צדקה; גוון הנאמנות ההדדית נחלש.</w:t>
      </w:r>
    </w:p>
    <w:p>
      <w:pPr>
        <w:pStyle w:val="ListParagraph"/>
        <w:numPr>
          <w:ilvl w:val="0"/>
          <w:numId w:val="2"/>
        </w:numPr>
        <w:bidi/>
        <w:spacing w:after="80" w:line="300"/>
        <w:jc w:val="both"/>
      </w:pPr>
      <w:r>
        <w:rPr>
          <w:rFonts w:ascii="David" w:cs="David" w:eastAsia="David" w:hAnsi="David"/>
          <w:b/>
          <w:bCs/>
          <w:sz w:val="24"/>
          <w:szCs w:val="24"/>
          <w:rtl/>
        </w:rPr>
        <w:t xml:space="preserve">7. </w:t>
      </w:r>
      <w:r>
        <w:rPr>
          <w:rFonts w:ascii="David" w:cs="David" w:eastAsia="David" w:hAnsi="David"/>
          <w:b/>
          <w:bCs/>
          <w:sz w:val="24"/>
          <w:szCs w:val="24"/>
          <w:rtl/>
        </w:rPr>
        <w:t xml:space="preserve">מְנוּחָה</w:t>
      </w:r>
      <w:r>
        <w:rPr>
          <w:rFonts w:ascii="David" w:cs="David" w:eastAsia="David" w:hAnsi="David"/>
          <w:sz w:val="24"/>
          <w:szCs w:val="24"/>
          <w:rtl/>
        </w:rPr>
        <w:t xml:space="preserve"> (פס׳ ט) — </w:t>
      </w:r>
      <w:r>
        <w:rPr>
          <w:rFonts w:ascii="David" w:cs="David" w:eastAsia="David" w:hAnsi="David"/>
          <w:sz w:val="24"/>
          <w:szCs w:val="24"/>
          <w:rtl/>
        </w:rPr>
        <w:t xml:space="preserve">במקרא: מקום יישוב בטוח, בית ומעמד מובטח (כאן דרך נישואין). בימינו: מנוחה = הפוגה, שקט („מנוחה” מן העבודה). הסחה מ’מקום-מבטח’ ל’שקט’.</w:t>
      </w:r>
    </w:p>
    <w:p>
      <w:pPr>
        <w:pStyle w:val="ListParagraph"/>
        <w:numPr>
          <w:ilvl w:val="0"/>
          <w:numId w:val="2"/>
        </w:numPr>
        <w:bidi/>
        <w:spacing w:after="80" w:line="300"/>
        <w:jc w:val="both"/>
      </w:pPr>
      <w:r>
        <w:rPr>
          <w:rFonts w:ascii="David" w:cs="David" w:eastAsia="David" w:hAnsi="David"/>
          <w:b/>
          <w:bCs/>
          <w:sz w:val="24"/>
          <w:szCs w:val="24"/>
          <w:rtl/>
        </w:rPr>
        <w:t xml:space="preserve">8. </w:t>
      </w:r>
      <w:r>
        <w:rPr>
          <w:rFonts w:ascii="David" w:cs="David" w:eastAsia="David" w:hAnsi="David"/>
          <w:b/>
          <w:bCs/>
          <w:sz w:val="24"/>
          <w:szCs w:val="24"/>
          <w:rtl/>
        </w:rPr>
        <w:t xml:space="preserve">פָּגַע</w:t>
      </w:r>
      <w:r>
        <w:rPr>
          <w:rFonts w:ascii="David" w:cs="David" w:eastAsia="David" w:hAnsi="David"/>
          <w:sz w:val="24"/>
          <w:szCs w:val="24"/>
          <w:rtl/>
        </w:rPr>
        <w:t xml:space="preserve"> (פס׳ טז, „תפגעי בי”) — </w:t>
      </w:r>
      <w:r>
        <w:rPr>
          <w:rFonts w:ascii="David" w:cs="David" w:eastAsia="David" w:hAnsi="David"/>
          <w:sz w:val="24"/>
          <w:szCs w:val="24"/>
          <w:rtl/>
        </w:rPr>
        <w:t xml:space="preserve">במקרא: כאן = הפציר, האיץ (וגם: נתקל, פגש, התפלל בעד). בימינו: פגע = הזיק, העליב, חבל. שינוי משמעות בולט.</w:t>
      </w:r>
    </w:p>
    <w:p>
      <w:pPr>
        <w:pStyle w:val="ListParagraph"/>
        <w:numPr>
          <w:ilvl w:val="0"/>
          <w:numId w:val="2"/>
        </w:numPr>
        <w:bidi/>
        <w:spacing w:after="80" w:line="300"/>
        <w:jc w:val="both"/>
      </w:pPr>
      <w:r>
        <w:rPr>
          <w:rFonts w:ascii="David" w:cs="David" w:eastAsia="David" w:hAnsi="David"/>
          <w:b/>
          <w:bCs/>
          <w:sz w:val="24"/>
          <w:szCs w:val="24"/>
          <w:rtl/>
        </w:rPr>
        <w:t xml:space="preserve">9. </w:t>
      </w:r>
      <w:r>
        <w:rPr>
          <w:rFonts w:ascii="David" w:cs="David" w:eastAsia="David" w:hAnsi="David"/>
          <w:b/>
          <w:bCs/>
          <w:sz w:val="24"/>
          <w:szCs w:val="24"/>
          <w:rtl/>
        </w:rPr>
        <w:t xml:space="preserve">יְבָמָה</w:t>
      </w:r>
      <w:r>
        <w:rPr>
          <w:rFonts w:ascii="David" w:cs="David" w:eastAsia="David" w:hAnsi="David"/>
          <w:sz w:val="24"/>
          <w:szCs w:val="24"/>
          <w:rtl/>
        </w:rPr>
        <w:t xml:space="preserve"> (פס׳ טו, „יבמתך”) — </w:t>
      </w:r>
      <w:r>
        <w:rPr>
          <w:rFonts w:ascii="David" w:cs="David" w:eastAsia="David" w:hAnsi="David"/>
          <w:sz w:val="24"/>
          <w:szCs w:val="24"/>
          <w:rtl/>
        </w:rPr>
        <w:t xml:space="preserve">במקרא: גיסה (אשת האח) במובן רחב. בימינו: מונח משפטי מצומצם לענייני ייבום (אלמנת אח שמת בלא בנים). צמצום.</w:t>
      </w:r>
    </w:p>
    <w:p>
      <w:pPr>
        <w:pStyle w:val="ListParagraph"/>
        <w:numPr>
          <w:ilvl w:val="0"/>
          <w:numId w:val="2"/>
        </w:numPr>
        <w:bidi/>
        <w:spacing w:after="80" w:line="300"/>
        <w:jc w:val="both"/>
      </w:pPr>
      <w:r>
        <w:rPr>
          <w:rFonts w:ascii="David" w:cs="David" w:eastAsia="David" w:hAnsi="David"/>
          <w:b/>
          <w:bCs/>
          <w:sz w:val="24"/>
          <w:szCs w:val="24"/>
          <w:rtl/>
        </w:rPr>
        <w:t xml:space="preserve">10. </w:t>
      </w:r>
      <w:r>
        <w:rPr>
          <w:rFonts w:ascii="David" w:cs="David" w:eastAsia="David" w:hAnsi="David"/>
          <w:b/>
          <w:bCs/>
          <w:sz w:val="24"/>
          <w:szCs w:val="24"/>
          <w:rtl/>
        </w:rPr>
        <w:t xml:space="preserve">לוּן / לִין</w:t>
      </w:r>
      <w:r>
        <w:rPr>
          <w:rFonts w:ascii="David" w:cs="David" w:eastAsia="David" w:hAnsi="David"/>
          <w:sz w:val="24"/>
          <w:szCs w:val="24"/>
          <w:rtl/>
        </w:rPr>
        <w:t xml:space="preserve"> (פס׳ טז, „תליני”) — </w:t>
      </w:r>
      <w:r>
        <w:rPr>
          <w:rFonts w:ascii="David" w:cs="David" w:eastAsia="David" w:hAnsi="David"/>
          <w:sz w:val="24"/>
          <w:szCs w:val="24"/>
          <w:rtl/>
        </w:rPr>
        <w:t xml:space="preserve">במקרא: ללון, לעשות הלילה. בימינו: „ללון” קיים אך נדיר יחסית („לישון”/„להתאכסן”); ויש הומונים „לין” מן ל’ו’ן במובן תלונה.</w:t>
      </w:r>
    </w:p>
    <w:p>
      <w:pPr>
        <w:pStyle w:val="ListParagraph"/>
        <w:numPr>
          <w:ilvl w:val="0"/>
          <w:numId w:val="2"/>
        </w:numPr>
        <w:bidi/>
        <w:spacing w:after="80" w:line="300"/>
        <w:jc w:val="both"/>
      </w:pPr>
      <w:r>
        <w:rPr>
          <w:rFonts w:ascii="David" w:cs="David" w:eastAsia="David" w:hAnsi="David"/>
          <w:b/>
          <w:bCs/>
          <w:sz w:val="24"/>
          <w:szCs w:val="24"/>
          <w:rtl/>
        </w:rPr>
        <w:t xml:space="preserve">11. </w:t>
      </w:r>
      <w:r>
        <w:rPr>
          <w:rFonts w:ascii="David" w:cs="David" w:eastAsia="David" w:hAnsi="David"/>
          <w:b/>
          <w:bCs/>
          <w:sz w:val="24"/>
          <w:szCs w:val="24"/>
          <w:rtl/>
        </w:rPr>
        <w:t xml:space="preserve">שׂ.ב.ר (תְּשַׂבֵּרְנָה)</w:t>
      </w:r>
      <w:r>
        <w:rPr>
          <w:rFonts w:ascii="David" w:cs="David" w:eastAsia="David" w:hAnsi="David"/>
          <w:sz w:val="24"/>
          <w:szCs w:val="24"/>
          <w:rtl/>
        </w:rPr>
        <w:t xml:space="preserve"> (פס׳ יג) — </w:t>
      </w:r>
      <w:r>
        <w:rPr>
          <w:rFonts w:ascii="David" w:cs="David" w:eastAsia="David" w:hAnsi="David"/>
          <w:sz w:val="24"/>
          <w:szCs w:val="24"/>
          <w:rtl/>
        </w:rPr>
        <w:t xml:space="preserve">במקרא: לקוות, להמתין (קרוב לארמית). בימינו: השורש ש’ב’ר = „שבירה”; הוראת ’תקווה’ שרדה רק ב’סֵבֶר’/’סברה’ (בסמ“ך). דוגמה לשורש שהתפצל.</w:t>
      </w:r>
    </w:p>
    <w:p>
      <w:pPr>
        <w:pStyle w:val="ListParagraph"/>
        <w:numPr>
          <w:ilvl w:val="0"/>
          <w:numId w:val="2"/>
        </w:numPr>
        <w:bidi/>
        <w:spacing w:after="80" w:line="300"/>
        <w:jc w:val="both"/>
      </w:pPr>
      <w:r>
        <w:rPr>
          <w:rFonts w:ascii="David" w:cs="David" w:eastAsia="David" w:hAnsi="David"/>
          <w:b/>
          <w:bCs/>
          <w:sz w:val="24"/>
          <w:szCs w:val="24"/>
          <w:rtl/>
        </w:rPr>
        <w:t xml:space="preserve">12. </w:t>
      </w:r>
      <w:r>
        <w:rPr>
          <w:rFonts w:ascii="David" w:cs="David" w:eastAsia="David" w:hAnsi="David"/>
          <w:b/>
          <w:bCs/>
          <w:sz w:val="24"/>
          <w:szCs w:val="24"/>
          <w:rtl/>
        </w:rPr>
        <w:t xml:space="preserve">שָׁפַט</w:t>
      </w:r>
      <w:r>
        <w:rPr>
          <w:rFonts w:ascii="David" w:cs="David" w:eastAsia="David" w:hAnsi="David"/>
          <w:sz w:val="24"/>
          <w:szCs w:val="24"/>
          <w:rtl/>
        </w:rPr>
        <w:t xml:space="preserve"> (פס׳ א, „שפֹט השֹפטים”) — </w:t>
      </w:r>
      <w:r>
        <w:rPr>
          <w:rFonts w:ascii="David" w:cs="David" w:eastAsia="David" w:hAnsi="David"/>
          <w:sz w:val="24"/>
          <w:szCs w:val="24"/>
          <w:rtl/>
        </w:rPr>
        <w:t xml:space="preserve">במקרא: גם „הנהיג, מָשל, הושיע” (השופטים כמנהיגים). בימינו: שפט = דן בדין; המובן ’מנהיג/מושיע’ אבד.</w:t>
      </w:r>
    </w:p>
    <w:p>
      <w:r>
        <w:br w:type="page"/>
      </w:r>
    </w:p>
    <w:p>
      <w:pPr>
        <w:pStyle w:val="Heading1"/>
        <w:bidi/>
        <w:spacing w:after="160" w:before="300"/>
        <w:jc w:val="right"/>
      </w:pPr>
      <w:r>
        <w:rPr>
          <w:rFonts w:ascii="David" w:cs="David" w:eastAsia="David" w:hAnsi="David"/>
          <w:b/>
          <w:bCs/>
          <w:sz w:val="30"/>
          <w:szCs w:val="30"/>
          <w:rtl/>
        </w:rPr>
        <w:t xml:space="preserve">סיכום</w:t>
      </w:r>
    </w:p>
    <w:p>
      <w:pPr>
        <w:bidi/>
        <w:spacing w:after="120" w:line="320"/>
        <w:jc w:val="both"/>
      </w:pPr>
      <w:r>
        <w:rPr>
          <w:rFonts w:ascii="David" w:cs="David" w:eastAsia="David" w:hAnsi="David"/>
          <w:sz w:val="24"/>
          <w:szCs w:val="24"/>
          <w:rtl/>
        </w:rPr>
        <w:t xml:space="preserve">עשרים הפסוקים הראשונים של מגילת רות מדגימים באורח מרוכז את מאפייני העברית המקראית הקלאסית. במישור ה</w:t>
      </w:r>
      <w:r>
        <w:rPr>
          <w:rFonts w:ascii="David" w:cs="David" w:eastAsia="David" w:hAnsi="David"/>
          <w:b/>
          <w:bCs/>
          <w:sz w:val="24"/>
          <w:szCs w:val="24"/>
          <w:rtl/>
        </w:rPr>
        <w:t xml:space="preserve">כתיב</w:t>
      </w:r>
      <w:r>
        <w:rPr>
          <w:rFonts w:ascii="David" w:cs="David" w:eastAsia="David" w:hAnsi="David"/>
          <w:sz w:val="24"/>
          <w:szCs w:val="24"/>
          <w:rtl/>
        </w:rPr>
        <w:t xml:space="preserve"> בולטים הכתיב החסר (שְׁפֹט, הַשֹּׁפְטִים, כַלֹּתֶיהָ) ותופעת הכתיב-וקרי (יעשה/יַעַשׂ, ומצאן/וּמְצֶאןָ). במישור ה</w:t>
      </w:r>
      <w:r>
        <w:rPr>
          <w:rFonts w:ascii="David" w:cs="David" w:eastAsia="David" w:hAnsi="David"/>
          <w:b/>
          <w:bCs/>
          <w:sz w:val="24"/>
          <w:szCs w:val="24"/>
          <w:rtl/>
        </w:rPr>
        <w:t xml:space="preserve">דקדוק</w:t>
      </w:r>
      <w:r>
        <w:rPr>
          <w:rFonts w:ascii="David" w:cs="David" w:eastAsia="David" w:hAnsi="David"/>
          <w:sz w:val="24"/>
          <w:szCs w:val="24"/>
          <w:rtl/>
        </w:rPr>
        <w:t xml:space="preserve"> ניכרת שליטת וי“ו ההיפוך על הרצף הסיפורי (וַיְהִי, וַיֵּלֶךְ, וַתָּקָם), לצד עושר של צורות מקור נטוי המביעות תכלית וזמן (לָגוּר, לָתֵת, בֹּאָנָה, כְּבֹאָנָה, מִהְיוֹת, לְבִלְתִּי הֱיוֹת), פסוקיות זמן שלמות ללא מילת שעבוד, וי“ו החיבור כסימן פיסוק בין פסוקית לעיקר (וַתֵּהֹם אחרי כְּבֹאָנָה; וְרוּת דָּבְקָה כמשפט ניגוד), ופועל בגוף נסתר כנושא סתמי (וַתֹּאמַרְנָה). כן בולטות צורות הנקבה הרבות בסיומת -נָה, שכמעט אבדו מלשון ימינו. במישור ה</w:t>
      </w:r>
      <w:r>
        <w:rPr>
          <w:rFonts w:ascii="David" w:cs="David" w:eastAsia="David" w:hAnsi="David"/>
          <w:b/>
          <w:bCs/>
          <w:sz w:val="24"/>
          <w:szCs w:val="24"/>
          <w:rtl/>
        </w:rPr>
        <w:t xml:space="preserve">מילון</w:t>
      </w:r>
      <w:r>
        <w:rPr>
          <w:rFonts w:ascii="David" w:cs="David" w:eastAsia="David" w:hAnsi="David"/>
          <w:sz w:val="24"/>
          <w:szCs w:val="24"/>
          <w:rtl/>
        </w:rPr>
        <w:t xml:space="preserve"> נמצאו מילים רבות ששינו משמעות (פָּקַד, פָּגַע, גּוּר, יֶלֶד, מְנוּחָה) או שנדחקו מפני מילים אחרות (נשא אישה ← התחתן; איש ← בעל). מכלול זה ממחיש את המרחק — הצורני, התחבירי והסמנטי — בין לשון המקרא לעברית בת-ימינו.</w:t>
      </w:r>
    </w:p>
    <w:p>
      <w:r>
        <w:br w:type="page"/>
      </w:r>
    </w:p>
    <w:p>
      <w:pPr>
        <w:pStyle w:val="Heading1"/>
        <w:bidi/>
        <w:spacing w:after="160" w:before="300"/>
        <w:jc w:val="right"/>
      </w:pPr>
      <w:r>
        <w:rPr>
          <w:rFonts w:ascii="David" w:cs="David" w:eastAsia="David" w:hAnsi="David"/>
          <w:b/>
          <w:bCs/>
          <w:sz w:val="30"/>
          <w:szCs w:val="30"/>
          <w:rtl/>
        </w:rPr>
        <w:t xml:space="preserve">ביבליוגרפיה</w:t>
      </w:r>
    </w:p>
    <w:p>
      <w:pPr>
        <w:bidi/>
        <w:spacing w:after="120" w:line="300"/>
        <w:ind w:start="0" w:hanging="431"/>
        <w:jc w:val="both"/>
      </w:pPr>
      <w:r>
        <w:rPr>
          <w:rFonts w:ascii="David" w:cs="David" w:eastAsia="David" w:hAnsi="David"/>
          <w:sz w:val="24"/>
          <w:szCs w:val="24"/>
          <w:rtl/>
        </w:rPr>
        <w:t xml:space="preserve">אבן-שושן, אברהם. מילון אבן-שושן, מחודש ומעודכן. ירושלים: המילון החדש, 2003.</w:t>
      </w:r>
    </w:p>
    <w:p>
      <w:pPr>
        <w:bidi/>
        <w:spacing w:after="120" w:line="300"/>
        <w:ind w:start="0" w:hanging="431"/>
        <w:jc w:val="both"/>
      </w:pPr>
      <w:r>
        <w:rPr>
          <w:rFonts w:ascii="David" w:cs="David" w:eastAsia="David" w:hAnsi="David"/>
          <w:sz w:val="24"/>
          <w:szCs w:val="24"/>
          <w:rtl/>
        </w:rPr>
        <w:t xml:space="preserve">בלאו, יהושע. תורת ההגה והצורות של לשון המקרא. ירושלים: הוצאת ספרים ע“ש י“ל מאגנס, 2010.</w:t>
      </w:r>
    </w:p>
    <w:p>
      <w:pPr>
        <w:bidi/>
        <w:spacing w:after="120" w:line="300"/>
        <w:ind w:start="0" w:hanging="431"/>
        <w:jc w:val="both"/>
      </w:pPr>
      <w:r>
        <w:rPr>
          <w:rFonts w:ascii="David" w:cs="David" w:eastAsia="David" w:hAnsi="David"/>
          <w:sz w:val="24"/>
          <w:szCs w:val="24"/>
          <w:rtl/>
        </w:rPr>
        <w:t xml:space="preserve">זקוביץ, יאיר. רות (מקרא לישראל). תל אביב וירושלים: עם עובד ומאגנס, 1990.</w:t>
      </w:r>
    </w:p>
    <w:p>
      <w:pPr>
        <w:bidi/>
        <w:spacing w:after="120" w:line="300"/>
        <w:ind w:start="0" w:hanging="431"/>
        <w:jc w:val="both"/>
      </w:pPr>
      <w:r>
        <w:rPr>
          <w:rFonts w:ascii="David" w:cs="David" w:eastAsia="David" w:hAnsi="David"/>
          <w:sz w:val="24"/>
          <w:szCs w:val="24"/>
          <w:rtl/>
        </w:rPr>
        <w:t xml:space="preserve">קדרי, מנחם צבי. מילון העברית המקראית. רמת גן: אוניברסיטת בר-אילן, 2006.</w:t>
      </w:r>
    </w:p>
    <w:p>
      <w:pPr>
        <w:bidi/>
        <w:spacing w:after="120" w:line="300"/>
        <w:ind w:start="0" w:hanging="431"/>
        <w:jc w:val="both"/>
      </w:pPr>
      <w:r>
        <w:rPr>
          <w:rFonts w:ascii="David" w:cs="David" w:eastAsia="David" w:hAnsi="David"/>
          <w:sz w:val="24"/>
          <w:szCs w:val="24"/>
          <w:rtl/>
        </w:rPr>
        <w:t xml:space="preserve">קוטשר, יחזקאל. תולדות הלשון העברית. ירושלים: מאגנס, 1985.</w:t>
      </w:r>
    </w:p>
    <w:p>
      <w:pPr>
        <w:bidi/>
        <w:spacing w:after="120" w:line="300"/>
        <w:ind w:start="0" w:hanging="431"/>
        <w:jc w:val="both"/>
      </w:pPr>
      <w:r>
        <w:rPr>
          <w:rFonts w:ascii="David" w:cs="David" w:eastAsia="David" w:hAnsi="David"/>
          <w:sz w:val="24"/>
          <w:szCs w:val="24"/>
          <w:rtl/>
        </w:rPr>
        <w:t xml:space="preserve">האקדמיה ללשון העברית. כללי הכתיב המלא (חסר-הניקוד). ירושלים: האקדמיה ללשון העברית.</w:t>
      </w:r>
    </w:p>
    <w:p>
      <w:pPr>
        <w:bidi/>
        <w:spacing w:after="120" w:line="300"/>
        <w:ind w:start="0" w:hanging="431"/>
        <w:jc w:val="both"/>
      </w:pPr>
      <w:r>
        <w:rPr>
          <w:rFonts w:ascii="David" w:cs="David" w:eastAsia="David" w:hAnsi="David"/>
          <w:sz w:val="24"/>
          <w:szCs w:val="24"/>
          <w:rtl/>
        </w:rPr>
        <w:t xml:space="preserve">Brown, F., Driver, S. R. &amp; Briggs, C. A. A Hebrew and English Lexicon of the Old Testament. Oxford: Clarendon Press, 1907.</w:t>
      </w:r>
    </w:p>
    <w:p>
      <w:pPr>
        <w:bidi/>
        <w:spacing w:after="120" w:line="300"/>
        <w:ind w:start="0" w:hanging="431"/>
        <w:jc w:val="both"/>
      </w:pPr>
      <w:r>
        <w:rPr>
          <w:rFonts w:ascii="David" w:cs="David" w:eastAsia="David" w:hAnsi="David"/>
          <w:sz w:val="24"/>
          <w:szCs w:val="24"/>
          <w:rtl/>
        </w:rPr>
        <w:t xml:space="preserve">Campbell, E. F. Ruth (Anchor Bible 7). Garden City, NY: Doubleday, 1975.</w:t>
      </w:r>
    </w:p>
    <w:p>
      <w:pPr>
        <w:bidi/>
        <w:spacing w:after="120" w:line="300"/>
        <w:ind w:start="0" w:hanging="431"/>
        <w:jc w:val="both"/>
      </w:pPr>
      <w:r>
        <w:rPr>
          <w:rFonts w:ascii="David" w:cs="David" w:eastAsia="David" w:hAnsi="David"/>
          <w:sz w:val="24"/>
          <w:szCs w:val="24"/>
          <w:rtl/>
        </w:rPr>
        <w:t xml:space="preserve">Gesenius, W., Kautzsch, E. &amp; Cowley, A. E. Gesenius’ Hebrew Grammar. 2nd ed. Oxford: Clarendon Press, 1910.</w:t>
      </w:r>
    </w:p>
    <w:p>
      <w:pPr>
        <w:bidi/>
        <w:spacing w:after="120" w:line="300"/>
        <w:ind w:start="0" w:hanging="431"/>
        <w:jc w:val="both"/>
      </w:pPr>
      <w:r>
        <w:rPr>
          <w:rFonts w:ascii="David" w:cs="David" w:eastAsia="David" w:hAnsi="David"/>
          <w:sz w:val="24"/>
          <w:szCs w:val="24"/>
          <w:rtl/>
        </w:rPr>
        <w:t xml:space="preserve">Joüon, P. &amp; Muraoka, T. A Grammar of Biblical Hebrew. 2nd ed. Roma: Pontificio Istituto Biblico, 2006.</w:t>
      </w:r>
    </w:p>
    <w:p>
      <w:pPr>
        <w:bidi/>
        <w:spacing w:after="120" w:line="300"/>
        <w:ind w:start="0" w:hanging="431"/>
        <w:jc w:val="both"/>
      </w:pPr>
      <w:r>
        <w:rPr>
          <w:rFonts w:ascii="David" w:cs="David" w:eastAsia="David" w:hAnsi="David"/>
          <w:sz w:val="24"/>
          <w:szCs w:val="24"/>
          <w:rtl/>
        </w:rPr>
        <w:t xml:space="preserve">Waltke, B. K. &amp; O’Connor, M. An Introduction to Biblical Hebrew Syntax. Winona Lake, IN: Eisenbrauns, 1990.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jc w:val="right"/>
      </w:pPr>
      <w:r>
        <w:rPr>
          <w:rStyle w:val="FootnoteReference"/>
        </w:rPr>
        <w:footnoteRef/>
      </w:r>
      <w:r>
        <w:rPr>
          <w:rFonts w:ascii="David" w:cs="David" w:eastAsia="David" w:hAnsi="David"/>
          <w:sz w:val="18"/>
          <w:szCs w:val="18"/>
          <w:rtl/>
        </w:rPr>
        <w:t xml:space="preserve">על מקומה של רות בלשון המקרא הקלאסית ועל שאלת זמנה ראו: י״ זקוביץ, רות (מקרא לישראל), עם עובד ומאגנס, תל אביב וירושלים 1990, מבוא, עמ׳ 13–24; E. F. Campbell, Ruth (Anchor Bible), Doubleday, Garden City 1975, pp. 23–28.</w:t>
      </w:r>
    </w:p>
  </w:footnote>
  <w:footnote w:id="2">
    <w:p>
      <w:pPr>
        <w:bidi/>
        <w:jc w:val="right"/>
      </w:pPr>
      <w:r>
        <w:rPr>
          <w:rStyle w:val="FootnoteReference"/>
        </w:rPr>
        <w:footnoteRef/>
      </w:r>
      <w:r>
        <w:rPr>
          <w:rFonts w:ascii="David" w:cs="David" w:eastAsia="David" w:hAnsi="David"/>
          <w:sz w:val="18"/>
          <w:szCs w:val="18"/>
          <w:rtl/>
        </w:rPr>
        <w:t xml:space="preserve">על עקרונות הכתיב המקראי ראו: W. Gesenius, E. Kautzsch &amp; A. E. Cowley, Gesenius’ Hebrew Grammar, 2nd ed., Clarendon, Oxford 1910 (=GKC), §7–8; י״ קוטשר, תולדות הלשון העברית, מאגנס, ירושלים 1985, §§43–47. על הכתיב המלא בימינו: כללי הכתיב המלא, האקדמיה ללשון העברית.</w:t>
      </w:r>
    </w:p>
  </w:footnote>
  <w:footnote w:id="3">
    <w:p>
      <w:pPr>
        <w:bidi/>
        <w:jc w:val="right"/>
      </w:pPr>
      <w:r>
        <w:rPr>
          <w:rStyle w:val="FootnoteReference"/>
        </w:rPr>
        <w:footnoteRef/>
      </w:r>
      <w:r>
        <w:rPr>
          <w:rFonts w:ascii="David" w:cs="David" w:eastAsia="David" w:hAnsi="David"/>
          <w:sz w:val="18"/>
          <w:szCs w:val="18"/>
          <w:rtl/>
        </w:rPr>
        <w:t xml:space="preserve">על הכתיב והקרי במגילת רות ראו זקוביץ, רות, בפירושו לפסוקים ח–כ; ובאופן כללי GKC §17; קוטשר, תולדות הלשון העברית, §§ בעניין המסורה.</w:t>
      </w:r>
    </w:p>
  </w:footnote>
  <w:footnote w:id="4">
    <w:p>
      <w:pPr>
        <w:bidi/>
        <w:jc w:val="right"/>
      </w:pPr>
      <w:r>
        <w:rPr>
          <w:rStyle w:val="FootnoteReference"/>
        </w:rPr>
        <w:footnoteRef/>
      </w:r>
      <w:r>
        <w:rPr>
          <w:rFonts w:ascii="David" w:cs="David" w:eastAsia="David" w:hAnsi="David"/>
          <w:sz w:val="18"/>
          <w:szCs w:val="18"/>
          <w:rtl/>
        </w:rPr>
        <w:t xml:space="preserve">למונחים ולניתוח מערכת הפועל ראו: P. Joüon &amp; T. Muraoka, A Grammar of Biblical Hebrew, 2nd ed., Pontificio Istituto Biblico, Roma 2006, §§111–124; B. K. Waltke &amp; M. O’Connor, An Introduction to Biblical Hebrew Syntax, Eisenbrauns, Winona Lake 1990, chs. 32–36; י״ בלאו, תורת ההגה והצורות של לשון המקרא, מאגנס, ירושלים 2010.</w:t>
      </w:r>
    </w:p>
  </w:footnote>
  <w:footnote w:id="5">
    <w:p>
      <w:pPr>
        <w:bidi/>
        <w:jc w:val="right"/>
      </w:pPr>
      <w:r>
        <w:rPr>
          <w:rStyle w:val="FootnoteReference"/>
        </w:rPr>
        <w:footnoteRef/>
      </w:r>
      <w:r>
        <w:rPr>
          <w:rFonts w:ascii="David" w:cs="David" w:eastAsia="David" w:hAnsi="David"/>
          <w:sz w:val="18"/>
          <w:szCs w:val="18"/>
          <w:rtl/>
        </w:rPr>
        <w:t xml:space="preserve">על הוראת וַיִּקְטֹל (wayyiqtol) כצורת הרצף הסיפורי ראו Joüon–Muraoka §118–111; Waltke–O’Connor §33; GKC §111.</w:t>
      </w:r>
    </w:p>
  </w:footnote>
  <w:footnote w:id="6">
    <w:p>
      <w:pPr>
        <w:bidi/>
        <w:jc w:val="right"/>
      </w:pPr>
      <w:r>
        <w:rPr>
          <w:rStyle w:val="FootnoteReference"/>
        </w:rPr>
        <w:footnoteRef/>
      </w:r>
      <w:r>
        <w:rPr>
          <w:rFonts w:ascii="David" w:cs="David" w:eastAsia="David" w:hAnsi="David"/>
          <w:sz w:val="18"/>
          <w:szCs w:val="18"/>
          <w:rtl/>
        </w:rPr>
        <w:t xml:space="preserve">על ב׳/כ׳ + מקור נטוי כמביע פסוקית זמן ראו GKC §114d–e; Joüon–Muraoka §124; Waltke–O’Connor §36.2.2.</w:t>
      </w:r>
    </w:p>
  </w:footnote>
  <w:footnote w:id="7">
    <w:p>
      <w:pPr>
        <w:bidi/>
        <w:jc w:val="right"/>
      </w:pPr>
      <w:r>
        <w:rPr>
          <w:rStyle w:val="FootnoteReference"/>
        </w:rPr>
        <w:footnoteRef/>
      </w:r>
      <w:r>
        <w:rPr>
          <w:rFonts w:ascii="David" w:cs="David" w:eastAsia="David" w:hAnsi="David"/>
          <w:sz w:val="18"/>
          <w:szCs w:val="18"/>
          <w:rtl/>
        </w:rPr>
        <w:t xml:space="preserve">על הבעת הסתמי בגוף שלישי רבים (ובצורות אחרות) ראו Joüon–Muraoka §155; GKC §144.</w:t>
      </w:r>
    </w:p>
  </w:footnote>
  <w:footnote w:id="8">
    <w:p>
      <w:pPr>
        <w:bidi/>
        <w:jc w:val="right"/>
      </w:pPr>
      <w:r>
        <w:rPr>
          <w:rStyle w:val="FootnoteReference"/>
        </w:rPr>
        <w:footnoteRef/>
      </w:r>
      <w:r>
        <w:rPr>
          <w:rFonts w:ascii="David" w:cs="David" w:eastAsia="David" w:hAnsi="David"/>
          <w:sz w:val="18"/>
          <w:szCs w:val="18"/>
          <w:rtl/>
        </w:rPr>
        <w:t xml:space="preserve">א׳ אבן-שושן, מילון אבן-שושן, המילון החדש, ירושלים 2003; מ״צ קדרי, מילון העברית המקראית, אוניברסיטת בר-אילן, רמת גן 2006; F. Brown, S. R. Driver &amp; C. A. Briggs, A Hebrew and English Lexicon of the Old Testament (=BDB), Clarendon, Oxford 1907.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360"/>
      </w:pPr>
      <w:rPr>
        <w:rFonts w:ascii="David" w:cs="David" w:eastAsia="David" w:hAnsi="Davi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David" w:cs="David" w:eastAsia="David" w:hAnsi="David"/>
      <w:b/>
      <w:bCs/>
      <w:sz w:val="30"/>
      <w:szCs w:val="30"/>
    </w:rPr>
  </w:style>
  <w:style w:type="paragraph" w:styleId="Heading2">
    <w:name w:val="Heading 2"/>
    <w:basedOn w:val="Normal"/>
    <w:next w:val="Normal"/>
    <w:qFormat/>
    <w:pPr>
      <w:spacing w:after="120" w:before="220"/>
    </w:pPr>
    <w:rPr>
      <w:rFonts w:ascii="David" w:cs="David" w:eastAsia="David" w:hAnsi="Davi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מאפייני הלשון המקראית ברות א</dc:title>
  <dc:creator>Ruth 1 Linguistic Analysis</dc:creator>
  <cp:lastModifiedBy>Un-named</cp:lastModifiedBy>
  <cp:revision>1</cp:revision>
  <dcterms:created xsi:type="dcterms:W3CDTF">2026-07-22T14:57:59.838Z</dcterms:created>
  <dcterms:modified xsi:type="dcterms:W3CDTF">2026-07-22T14:57:59.839Z</dcterms:modified>
</cp:coreProperties>
</file>

<file path=docProps/custom.xml><?xml version="1.0" encoding="utf-8"?>
<Properties xmlns="http://schemas.openxmlformats.org/officeDocument/2006/custom-properties" xmlns:vt="http://schemas.openxmlformats.org/officeDocument/2006/docPropsVTypes"/>
</file>