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הדר פוקס</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נושא עבודת הסמינריון, כפי שאושר על ידי מרצה הסמינריון בקורס "המשפט כתרבות פופולרית", הוא ניתוח אוטואתנוגרפי של תביעת עבודה, תוך התמקדות בפער שבין ייצוגי המשפט והצדק בתרבות הפופולרית לבין המציאות של ההליך, הסחבת והגבייה.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(Sandefur, 2019) - מאמר אקדמי מכתב עת. אותר במנוע החיפוש Google Scholar באמצעות מילות החיפוש והאופרטורים: "access to justice" AND "legal aid" AND inequality. קישור למאמר:</w:t>
      </w:r>
    </w:p>
    <w:p>
      <w:pPr>
        <w:bidi w:val="false"/>
        <w:spacing w:after="120" w:line="360" w:lineRule="auto"/>
        <w:ind w:left="709"/>
        <w:jc w:val="left"/>
      </w:pPr>
      <w:hyperlink w:history="1" r:id="rIdphkzk54e1yqfxkhl0pn-9">
        <w:r>
          <w:rPr>
            <w:rStyle w:val="Hyperlink"/>
            <w:rFonts w:ascii="Times New Roman" w:cs="Times New Roman" w:eastAsia="Times New Roman" w:hAnsi="Times New Roman"/>
            <w:sz w:val="22"/>
            <w:szCs w:val="22"/>
          </w:rPr>
          <w:t xml:space="preserve">https://doi.org/10.1162/daed_a_00534</w:t>
        </w:r>
      </w:hyperlink>
    </w:p>
    <w:p>
      <w:pPr>
        <w:bidi/>
        <w:spacing w:after="120" w:line="360" w:lineRule="auto"/>
        <w:jc w:val="both"/>
      </w:pPr>
      <w:r>
        <w:rPr>
          <w:rFonts w:ascii="Times New Roman" w:cs="David" w:eastAsia="David" w:hAnsi="Times New Roman"/>
          <w:b w:val="false"/>
          <w:i w:val="false"/>
          <w:sz w:val="24"/>
          <w:szCs w:val="24"/>
          <w:rtl/>
        </w:rPr>
        <w:t xml:space="preserve">(Katsh &amp; Rabinovich-Einy, 2017) - ספר אקדמי. אותר בקטלוג הספרייה ובמאגר Oxford Academic באמצעות מילות החיפוש: "online dispute resolution" AND "access to justice". קישור לספר:</w:t>
      </w:r>
    </w:p>
    <w:p>
      <w:pPr>
        <w:bidi w:val="false"/>
        <w:spacing w:after="120" w:line="360" w:lineRule="auto"/>
        <w:ind w:left="709"/>
        <w:jc w:val="left"/>
      </w:pPr>
      <w:hyperlink w:history="1" r:id="rIds-1hpvbywxf1g2fkzxgph">
        <w:r>
          <w:rPr>
            <w:rStyle w:val="Hyperlink"/>
            <w:rFonts w:ascii="Times New Roman" w:cs="Times New Roman" w:eastAsia="Times New Roman" w:hAnsi="Times New Roman"/>
            <w:sz w:val="22"/>
            <w:szCs w:val="22"/>
          </w:rPr>
          <w:t xml:space="preserve">https://global.oup.com/academic/product/digital-justice-9780190675677</w:t>
        </w:r>
      </w:hyperlink>
    </w:p>
    <w:p>
      <w:pPr>
        <w:bidi/>
        <w:spacing w:after="120" w:line="360" w:lineRule="auto"/>
        <w:jc w:val="both"/>
      </w:pPr>
      <w:r>
        <w:rPr>
          <w:rFonts w:ascii="Times New Roman" w:cs="David" w:eastAsia="David" w:hAnsi="Times New Roman"/>
          <w:b w:val="false"/>
          <w:i w:val="false"/>
          <w:sz w:val="24"/>
          <w:szCs w:val="24"/>
          <w:rtl/>
        </w:rPr>
        <w:t xml:space="preserve">(אלבין, 2016) - מאמר אקדמי מכתב עת. אותר במדור כתבי העת של המאגר המשפטי נבו, בכתב העת "חוקים", באמצעות מילות החיפוש: נגישות לצדק AND סיוע משפטי. קישור למאמר:</w:t>
      </w:r>
    </w:p>
    <w:p>
      <w:pPr>
        <w:bidi w:val="false"/>
        <w:spacing w:after="120" w:line="360" w:lineRule="auto"/>
        <w:ind w:left="709"/>
        <w:jc w:val="left"/>
      </w:pPr>
      <w:hyperlink w:history="1" r:id="rIdc5kpjlz0bsfuwfvqma9bq">
        <w:r>
          <w:rPr>
            <w:rStyle w:val="Hyperlink"/>
            <w:rFonts w:ascii="Times New Roman" w:cs="Times New Roman" w:eastAsia="Times New Roman" w:hAnsi="Times New Roman"/>
            <w:sz w:val="22"/>
            <w:szCs w:val="22"/>
          </w:rPr>
          <w:t xml:space="preserve">https://cris.huji.ac.il/en/publications/מבוא-על-נגישות-למשפט-ונגישות-לצדק</w:t>
        </w:r>
      </w:hyperlink>
    </w:p>
    <w:p>
      <w:pPr>
        <w:bidi/>
        <w:spacing w:after="240" w:line="360" w:lineRule="auto"/>
        <w:jc w:val="start"/>
      </w:pPr>
      <w:r>
        <w:rPr>
          <w:rFonts w:ascii="Times New Roman" w:cs="David" w:eastAsia="David" w:hAnsi="Times New Roman"/>
          <w:b/>
          <w:bCs/>
          <w:i w:val="false"/>
          <w:sz w:val="32"/>
          <w:szCs w:val="32"/>
          <w:rtl/>
        </w:rPr>
        <w:t xml:space="preserve">3. ראש הפרק: הייצוג מטעם המדינה ונגישות לצדק</w:t>
      </w:r>
    </w:p>
    <w:p>
      <w:pPr>
        <w:bidi/>
        <w:spacing w:after="120" w:line="360" w:lineRule="auto"/>
        <w:jc w:val="both"/>
      </w:pPr>
      <w:r>
        <w:rPr>
          <w:rFonts w:ascii="Times New Roman" w:cs="David" w:eastAsia="David" w:hAnsi="Times New Roman"/>
          <w:b w:val="false"/>
          <w:i w:val="false"/>
          <w:sz w:val="24"/>
          <w:szCs w:val="24"/>
          <w:rtl/>
        </w:rPr>
        <w:t xml:space="preserve">ראש פרק זה עוסק בנגישות לצדק ובייצוג המשפטי הניתן מטעם המדינה למי שידם אינה משגת. נקודת המוצא היא שזכות הגישה לערכאות נותרת ריקה מתוכן כאשר מימושה תלוי במשאבים שאין לתובע. בשיח הציבורי מקובל לזהות את פתרון הבעיה עם עצם קיומו של ייצוג, כלומר עם מינוי עורך דין למי שאינו יכול לשלם. הטענה המרכזית של הפרק היא שנגישות לצדק אינה מסתכמת בהעמדת עורך דין, אלא תלויה באופן שבו המוסדות בנויים ובאופן שבו בעלי הדין תופסים אותם וחווים אותם. מן הטענה נגזר שגם מי שקיבל ייצוג ציבורי עשוי להיתקל בחסמים של זמן, ידע, שפה ותודעה. הפרק נשען על שלושה מקורות מן העשור האחרון, הבוחנים את הנגישות משלושה כיוונים משלימים: הגדרה מחודשת של היקף הבעיה, העיצוב המוסדי והטכנולוגי, וההמשגה הישראלית העדכנית. הדיון בהם יניח את התשתית לניתוח חוויית הייצוג מטעם המדינה במקרה הבוחן של העבודה.</w:t>
      </w:r>
    </w:p>
    <w:p>
      <w:pPr>
        <w:bidi/>
        <w:spacing w:after="120" w:line="360" w:lineRule="auto"/>
        <w:jc w:val="both"/>
      </w:pPr>
      <w:r>
        <w:rPr>
          <w:rFonts w:ascii="Times New Roman" w:cs="David" w:eastAsia="David" w:hAnsi="Times New Roman"/>
          <w:b w:val="false"/>
          <w:i w:val="false"/>
          <w:sz w:val="24"/>
          <w:szCs w:val="24"/>
          <w:rtl/>
        </w:rPr>
        <w:t xml:space="preserve">סנדפור (Sandefur, 2019) בוחנת את משבר הנגישות לצדק בארצות הברית ומציעה לו אבחון מפתיע. לטענתה, הבעיה המרכזית אינה מחסור בעורכי דין או במימון הייצוג, כפי שנהוג להניח. מחקריה מראים שמרבית האנשים המתמודדים עם בעיות בעלות אופי משפטי, בתחומי תעסוקה, דיור וחובות, כלל אינם מזהים אותן כבעיות משפטיות. משום כך הם אינם פונים לעזרה מקצועית, והבעיות מוכרעות בפועל על ידי הצד החזק, המעסיק, בעל הבית או הנושה. גם כאשר האזרח כן מגיע למערכת, הוא מוצא מוסדות שבנויים סביב צורכיהם של אנשי המקצוע ולא סביב יכולותיו של ההדיוט. מכאן שהפתרון אינו רק תוספת של עורכי דין, אלא עיצוב מחדש של נקודות המפגש שבין הציבור למערכת. המסקנה החשובה לענייננו היא שייצוג ציבורי הוא תנאי הכרחי אך לא מספיק לנגישות ממשית לצדק.</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מפתחים את הכיוון הזה משני עברים, הטכנולוגי-מוסדי והמושגי-ישראלי. קאטש ורבינוביץ'-איני (Katsh &amp; Rabinovich-Einy, 2017) מתמקדים בעיצוב המוסדי ומראים כיצד מערכות מקוונות ליישוב סכסוכים יכולות להנגיש הליכים דווקא לבעלי דין קטנים, שההליך המסורתי יקר, איטי ומרתיע מדי עבורם. לשיטתם, הנגישות נמדדת בסופו של דבר בשאלה כמה קל למשתמש רגיל להתחיל הליך, להבין אותו ולסיים אותו. אלבין (2016) מציעה את התשתית המושגית לדיון הישראלי ומבחינה בין נגישות למשפט, כלומר לערכאות ולהליכים, ובין נגישות לצדק, כלומר לתוצאה הוגנת בפועל. לדבריה, השנים האחרונות הרחיבו את הדיון מן השאלה מי מקבל ייצוג אל השאלה אילו חסמים מבניים מונעים צדק מהותי מאוכלוסיות מוחלשות. חיבור שני המקורות מלמד שהנגישות מוכרעת בשני מפגשים: בין האזרח למוסד, ובין האזרח למושג הצדק שהוא נושא עימו. כאשר המפגשים האלה מתווכים על ידי מחסור ועומס, הייצוג הציבורי נחווה כברירת מחדל ולא כזכות.</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שנגישות לצדק צריכה להימדד בחוויית המשתמש ובתוצאה, ולא רק בקיומו הפורמלי של ייצוג. שלושת המקורות מצביעים יחד על פער עקבי בין הזכות הכתובה לבין מימושה בפועל. הפער אינו נסגר ברגע שממונה עורך דין מטעם המדינה, והוא מלווה את בעל הדין לאורך ההליך כולו. חשוב מכך, הוא אינו מסתיים גם בפסק הדין, שכן גם זכייה כתובה עדיין צריכה להיאכף. מסקנה זו מובילה ישירות לראש הפרק הבא בסקירת הספרות, שיעסוק בפער שבין החוק שבספרים לחוק שבפעולה. שם ייבחן השלב שבו הנגישות לצדק עומדת במבחנה האחרון: גביית פסק הדין הלכה למעשה.</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אלבין, ע' (2016). מבוא: על נגישות למשפט ונגישות לצדק. </w:t>
      </w:r>
      <w:r>
        <w:rPr>
          <w:rFonts w:ascii="Times New Roman" w:cs="David" w:eastAsia="David" w:hAnsi="Times New Roman"/>
          <w:b w:val="false"/>
          <w:i/>
          <w:iCs/>
          <w:sz w:val="24"/>
          <w:szCs w:val="24"/>
          <w:rtl/>
        </w:rPr>
        <w:t xml:space="preserve">חוקים, ח</w:t>
      </w:r>
      <w:r>
        <w:rPr>
          <w:rFonts w:ascii="Times New Roman" w:cs="David" w:eastAsia="David" w:hAnsi="Times New Roman"/>
          <w:b w:val="false"/>
          <w:i w:val="false"/>
          <w:sz w:val="24"/>
          <w:szCs w:val="24"/>
          <w:rtl/>
        </w:rPr>
        <w:t xml:space="preserve">, 5-14. זמין במאגר המשפטי נבו.</w:t>
      </w:r>
    </w:p>
    <w:p>
      <w:pPr>
        <w:bidi w:val="false"/>
        <w:spacing w:after="180" w:line="360" w:lineRule="auto"/>
        <w:ind w:left="709"/>
        <w:jc w:val="left"/>
      </w:pPr>
      <w:hyperlink w:history="1" r:id="rIdlzwu7rkyke6zmucc0k4rg">
        <w:r>
          <w:rPr>
            <w:rStyle w:val="Hyperlink"/>
            <w:rFonts w:ascii="Times New Roman" w:cs="Times New Roman" w:eastAsia="Times New Roman" w:hAnsi="Times New Roman"/>
            <w:sz w:val="22"/>
            <w:szCs w:val="22"/>
          </w:rPr>
          <w:t xml:space="preserve">https://cris.huji.ac.il/en/publications/מבוא-על-נגישות-למשפט-ונגישות-לצדק</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Katsh, E., &amp; Rabinovich-Einy, O. (2017). </w:t>
      </w:r>
      <w:r>
        <w:rPr>
          <w:rFonts w:ascii="Times New Roman" w:cs="Times New Roman" w:eastAsia="Times New Roman" w:hAnsi="Times New Roman"/>
          <w:b w:val="false"/>
          <w:i/>
          <w:iCs/>
          <w:sz w:val="24"/>
          <w:szCs w:val="24"/>
          <w:rtl w:val="false"/>
        </w:rPr>
        <w:t xml:space="preserve">Digital justice: Technology and the internet of disputes</w:t>
      </w:r>
      <w:r>
        <w:rPr>
          <w:rFonts w:ascii="Times New Roman" w:cs="Times New Roman" w:eastAsia="Times New Roman" w:hAnsi="Times New Roman"/>
          <w:b w:val="false"/>
          <w:i w:val="false"/>
          <w:sz w:val="24"/>
          <w:szCs w:val="24"/>
          <w:rtl w:val="false"/>
        </w:rPr>
        <w:t xml:space="preserve">. Oxford University Press.</w:t>
      </w:r>
    </w:p>
    <w:p>
      <w:pPr>
        <w:bidi w:val="false"/>
        <w:spacing w:after="180" w:line="360" w:lineRule="auto"/>
        <w:ind w:left="709"/>
        <w:jc w:val="left"/>
      </w:pPr>
      <w:hyperlink w:history="1" r:id="rIdua0xeyqnswev90s9xscoe">
        <w:r>
          <w:rPr>
            <w:rStyle w:val="Hyperlink"/>
            <w:rFonts w:ascii="Times New Roman" w:cs="Times New Roman" w:eastAsia="Times New Roman" w:hAnsi="Times New Roman"/>
            <w:sz w:val="22"/>
            <w:szCs w:val="22"/>
          </w:rPr>
          <w:t xml:space="preserve">https://global.oup.com/academic/product/digital-justice-9780190675677</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Sandefur, R. L. (2019). Access to what? </w:t>
      </w:r>
      <w:r>
        <w:rPr>
          <w:rFonts w:ascii="Times New Roman" w:cs="Times New Roman" w:eastAsia="Times New Roman" w:hAnsi="Times New Roman"/>
          <w:b w:val="false"/>
          <w:i/>
          <w:iCs/>
          <w:sz w:val="24"/>
          <w:szCs w:val="24"/>
          <w:rtl w:val="false"/>
        </w:rPr>
        <w:t xml:space="preserve">Daedalus, 148</w:t>
      </w:r>
      <w:r>
        <w:rPr>
          <w:rFonts w:ascii="Times New Roman" w:cs="Times New Roman" w:eastAsia="Times New Roman" w:hAnsi="Times New Roman"/>
          <w:b w:val="false"/>
          <w:i w:val="false"/>
          <w:sz w:val="24"/>
          <w:szCs w:val="24"/>
          <w:rtl w:val="false"/>
        </w:rPr>
        <w:t xml:space="preserve">(1), 49-55.</w:t>
      </w:r>
    </w:p>
    <w:p>
      <w:pPr>
        <w:bidi w:val="false"/>
        <w:spacing w:after="180" w:line="360" w:lineRule="auto"/>
        <w:ind w:left="709"/>
        <w:jc w:val="left"/>
      </w:pPr>
      <w:hyperlink w:history="1" r:id="rIdps_angfrowfyagvhsb7pt">
        <w:r>
          <w:rPr>
            <w:rStyle w:val="Hyperlink"/>
            <w:rFonts w:ascii="Times New Roman" w:cs="Times New Roman" w:eastAsia="Times New Roman" w:hAnsi="Times New Roman"/>
            <w:sz w:val="22"/>
            <w:szCs w:val="22"/>
          </w:rPr>
          <w:t xml:space="preserve">https://doi.org/10.1162/daed_a_00534</w:t>
        </w:r>
      </w:hyperlink>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phkzk54e1yqfxkhl0pn-9" Type="http://schemas.openxmlformats.org/officeDocument/2006/relationships/hyperlink" Target="https://doi.org/10.1162/daed_a_00534" TargetMode="External"/><Relationship Id="rIds-1hpvbywxf1g2fkzxgph" Type="http://schemas.openxmlformats.org/officeDocument/2006/relationships/hyperlink" Target="https://global.oup.com/academic/product/digital-justice-9780190675677" TargetMode="External"/><Relationship Id="rIdc5kpjlz0bsfuwfvqma9bq" Type="http://schemas.openxmlformats.org/officeDocument/2006/relationships/hyperlink" Target="https://cris.huji.ac.il/en/publications/%D7%9E%D7%91%D7%95%D7%90-%D7%A2%D7%9C-%D7%A0%D7%92%D7%99%D7%A9%D7%95%D7%AA-%D7%9C%D7%9E%D7%A9%D7%A4%D7%98-%D7%95%D7%A0%D7%92%D7%99%D7%A9%D7%95%D7%AA-%D7%9C%D7%A6%D7%93%D7%A7/" TargetMode="External"/><Relationship Id="rIdlzwu7rkyke6zmucc0k4rg" Type="http://schemas.openxmlformats.org/officeDocument/2006/relationships/hyperlink" Target="https://cris.huji.ac.il/en/publications/%D7%9E%D7%91%D7%95%D7%90-%D7%A2%D7%9C-%D7%A0%D7%92%D7%99%D7%A9%D7%95%D7%AA-%D7%9C%D7%9E%D7%A9%D7%A4%D7%98-%D7%95%D7%A0%D7%92%D7%99%D7%A9%D7%95%D7%AA-%D7%9C%D7%A6%D7%93%D7%A7/" TargetMode="External"/><Relationship Id="rIdua0xeyqnswev90s9xscoe" Type="http://schemas.openxmlformats.org/officeDocument/2006/relationships/hyperlink" Target="https://global.oup.com/academic/product/digital-justice-9780190675677" TargetMode="External"/><Relationship Id="rIdps_angfrowfyagvhsb7pt" Type="http://schemas.openxmlformats.org/officeDocument/2006/relationships/hyperlink" Target="https://doi.org/10.1162/daed_a_00534"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הדר פוקס</dc:creator>
  <cp:lastModifiedBy>Un-named</cp:lastModifiedBy>
  <cp:revision>1</cp:revision>
  <dcterms:created xsi:type="dcterms:W3CDTF">2026-08-01T10:16:30.068Z</dcterms:created>
  <dcterms:modified xsi:type="dcterms:W3CDTF">2026-08-01T10:16:30.068Z</dcterms:modified>
</cp:coreProperties>
</file>

<file path=docProps/custom.xml><?xml version="1.0" encoding="utf-8"?>
<Properties xmlns="http://schemas.openxmlformats.org/officeDocument/2006/custom-properties" xmlns:vt="http://schemas.openxmlformats.org/officeDocument/2006/docPropsVTypes"/>
</file>