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200" w:before="1200"/>
        <w:jc w:val="center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המכללה האקדמית הערבית לחינוך בישראל – חיפה</w:t>
      </w:r>
    </w:p>
    <w:p>
      <w:pPr>
        <w:bidi/>
        <w:spacing w:after="60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סמינריון בסיפורת עברית מודרנית: הסיפור הקצר מאת אתגר קרת</w:t>
      </w:r>
    </w:p>
    <w:p>
      <w:pPr>
        <w:bidi/>
        <w:spacing w:after="120"/>
        <w:jc w:val="center"/>
      </w:pPr>
      <w:r>
        <w:rPr>
          <w:rFonts w:ascii="David" w:cs="David" w:eastAsia="David" w:hAnsi="David"/>
          <w:b/>
          <w:bCs/>
          <w:sz w:val="36"/>
          <w:szCs w:val="36"/>
          <w:rtl/>
        </w:rPr>
        <w:t xml:space="preserve">דרכי התמודדות עם קשיים בסיפוריו הקצרים של אתגר קרת</w:t>
      </w:r>
    </w:p>
    <w:p>
      <w:pPr>
        <w:bidi/>
        <w:spacing w:after="800"/>
        <w:jc w:val="center"/>
      </w:pPr>
      <w:r>
        <w:rPr>
          <w:rFonts w:ascii="David" w:cs="David" w:eastAsia="David" w:hAnsi="David"/>
          <w:sz w:val="28"/>
          <w:szCs w:val="28"/>
          <w:rtl/>
        </w:rPr>
        <w:t xml:space="preserve">עיון בסיפורים "האנשים החלולים" (געגועי לקיסינג'ר) ו"מי כמונו יודע" (אוטוקורקט)</w:t>
      </w:r>
    </w:p>
    <w:p>
      <w:pPr>
        <w:bidi/>
        <w:spacing w:after="800"/>
        <w:jc w:val="center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רשימה ביבליוגרפית וראשי פרקים (הצעה)</w:t>
      </w:r>
    </w:p>
    <w:p>
      <w:pPr>
        <w:bidi/>
        <w:spacing w:after="1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שם הקורס: סמינריון בסיפורת עברית מודרנית</w:t>
      </w:r>
    </w:p>
    <w:p>
      <w:pPr>
        <w:bidi/>
        <w:spacing w:after="1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שם המרצה: ד"ר ישראלה וייס</w:t>
      </w:r>
    </w:p>
    <w:p>
      <w:pPr>
        <w:bidi/>
        <w:spacing w:after="1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שם הסטודנט/ית: ____________________</w:t>
      </w:r>
    </w:p>
    <w:p>
      <w:pPr>
        <w:bidi/>
        <w:spacing w:after="1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ת"ז: ____________________</w:t>
      </w:r>
    </w:p>
    <w:p>
      <w:pPr>
        <w:bidi/>
        <w:spacing w:after="1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תאריך הגשה: ____________________</w:t>
      </w:r>
    </w:p>
    <w:p>
      <w:r>
        <w:br w:type="page"/>
      </w:r>
    </w:p>
    <w:p>
      <w:pPr>
        <w:pStyle w:val="Heading1"/>
        <w:bidi/>
        <w:spacing w:after="200" w:before="360" w:line="360"/>
        <w:jc w:val="right"/>
      </w:pPr>
      <w:r>
        <w:rPr>
          <w:rFonts w:ascii="David" w:cs="David" w:eastAsia="David" w:hAnsi="David"/>
          <w:b/>
          <w:bCs/>
          <w:sz w:val="32"/>
          <w:szCs w:val="32"/>
          <w:rtl/>
        </w:rPr>
        <w:t xml:space="preserve">חלק א: רשימה ביבליוגרפית (APA 7)</w:t>
      </w:r>
    </w:p>
    <w:p>
      <w:pPr>
        <w:bidi/>
        <w:spacing w:after="12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הרשימה בנויה משלושה מעגלים: (1) המקורות הראשוניים – שני הסיפורים; (2) שישה מקורות מחקר עיקריים – ארבעה על יצירתו של אתגר קרת ושניים מתחום הפסיכולוגיה של ההתמודדות והאובדן; (3) מקורות נוספים להרחבה, לפי הצורך ובאישור המרצה. סך המקורות העיקריים (2 + 6 = 8) עומד בדרישת העבודה ל-7–10 מקורות. הרשימה ערוכה לפי כללי APA 7: מקורות בעברית לפי סדר אלף-בית של שם המשפחה, ואחריהם מקורות באנגלית לפי סדר ה-ABC.</w:t>
      </w:r>
    </w:p>
    <w:p>
      <w:pPr>
        <w:pStyle w:val="Heading2"/>
        <w:bidi/>
        <w:spacing w:after="120" w:before="240" w:line="360"/>
        <w:jc w:val="right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1. מקורות ראשוניים (הסיפורים)</w:t>
      </w:r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קרת, א' (1994). האנשים החלולים. בתוך </w:t>
      </w:r>
      <w:r>
        <w:rPr>
          <w:rFonts w:ascii="David" w:cs="David" w:eastAsia="David" w:hAnsi="David"/>
          <w:i/>
          <w:iCs/>
          <w:sz w:val="24"/>
          <w:szCs w:val="24"/>
          <w:rtl/>
        </w:rPr>
        <w:t xml:space="preserve">געגועי לקיסינג'ר</w:t>
      </w:r>
      <w:r>
        <w:rPr>
          <w:rFonts w:ascii="David" w:cs="David" w:eastAsia="David" w:hAnsi="David"/>
          <w:sz w:val="24"/>
          <w:szCs w:val="24"/>
          <w:rtl/>
        </w:rPr>
        <w:t xml:space="preserve">. זמורה-ביתן.</w:t>
      </w:r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קרת, א' (2024). מי כמונו יודע. בתוך </w:t>
      </w:r>
      <w:r>
        <w:rPr>
          <w:rFonts w:ascii="David" w:cs="David" w:eastAsia="David" w:hAnsi="David"/>
          <w:i/>
          <w:iCs/>
          <w:sz w:val="24"/>
          <w:szCs w:val="24"/>
          <w:rtl/>
        </w:rPr>
        <w:t xml:space="preserve">אוטוקורקט</w:t>
      </w:r>
      <w:r>
        <w:rPr>
          <w:rFonts w:ascii="David" w:cs="David" w:eastAsia="David" w:hAnsi="David"/>
          <w:sz w:val="24"/>
          <w:szCs w:val="24"/>
          <w:rtl/>
        </w:rPr>
        <w:t xml:space="preserve">. כנרת, זמורה-ביתן, דביר.</w:t>
      </w:r>
    </w:p>
    <w:p>
      <w:pPr>
        <w:shd w:fill="F2F2F2" w:color="auto" w:val="clear"/>
        <w:bidi/>
        <w:spacing w:after="120" w:line="360"/>
        <w:jc w:val="right"/>
      </w:pPr>
      <w:r>
        <w:rPr>
          <w:rFonts w:ascii="David" w:cs="David" w:eastAsia="David" w:hAnsi="David"/>
          <w:i/>
          <w:iCs/>
          <w:color w:val="555555"/>
          <w:sz w:val="24"/>
          <w:szCs w:val="24"/>
          <w:rtl/>
        </w:rPr>
        <w:t xml:space="preserve">הערה: יש להוסיף את מספרי העמודים של כל סיפור מתוך המהדורה שבידכם, למשל: (עמ' 45–47).</w:t>
      </w:r>
    </w:p>
    <w:p>
      <w:pPr>
        <w:pStyle w:val="Heading2"/>
        <w:bidi/>
        <w:spacing w:after="120" w:before="240" w:line="360"/>
        <w:jc w:val="right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2. מקורות מחקר עיקריים – שישה מאמרים וספרים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2.1 מחקר על יצירתו של אתגר קרת</w:t>
      </w:r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טאוב, ג' (1997). </w:t>
      </w:r>
      <w:r>
        <w:rPr>
          <w:rFonts w:ascii="David" w:cs="David" w:eastAsia="David" w:hAnsi="David"/>
          <w:i/>
          <w:iCs/>
          <w:sz w:val="24"/>
          <w:szCs w:val="24"/>
          <w:rtl/>
        </w:rPr>
        <w:t xml:space="preserve">המרד השפוף: על תרבות צעירה בישראל</w:t>
      </w:r>
      <w:r>
        <w:rPr>
          <w:rFonts w:ascii="David" w:cs="David" w:eastAsia="David" w:hAnsi="David"/>
          <w:sz w:val="24"/>
          <w:szCs w:val="24"/>
          <w:rtl/>
        </w:rPr>
        <w:t xml:space="preserve">. הקיבוץ המאוחד.</w:t>
      </w:r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מנדלסון-מעוז, ע' (1998). סיטואציות קיצוניות, זוועתיות וגרוטסקיות ביצירותיהם של קסטל-בלום וקרת. </w:t>
      </w:r>
      <w:r>
        <w:rPr>
          <w:rFonts w:ascii="David" w:cs="David" w:eastAsia="David" w:hAnsi="David"/>
          <w:i/>
          <w:iCs/>
          <w:sz w:val="24"/>
          <w:szCs w:val="24"/>
          <w:rtl/>
        </w:rPr>
        <w:t xml:space="preserve">דפים למחקר בספרות</w:t>
      </w:r>
      <w:r>
        <w:rPr>
          <w:rFonts w:ascii="David" w:cs="David" w:eastAsia="David" w:hAnsi="David"/>
          <w:sz w:val="24"/>
          <w:szCs w:val="24"/>
          <w:rtl/>
        </w:rPr>
        <w:t xml:space="preserve">, 11, 269–295.</w:t>
      </w:r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קצמן, ר' (2005). געגועים למיתוס: אישיות, אתיקה ואידיאולוגיה במיתופואסיס הפוסטמודרני של אתגר קרת. </w:t>
      </w:r>
      <w:r>
        <w:rPr>
          <w:rFonts w:ascii="David" w:cs="David" w:eastAsia="David" w:hAnsi="David"/>
          <w:i/>
          <w:iCs/>
          <w:sz w:val="24"/>
          <w:szCs w:val="24"/>
          <w:rtl/>
        </w:rPr>
        <w:t xml:space="preserve">מכאן</w:t>
      </w:r>
      <w:r>
        <w:rPr>
          <w:rFonts w:ascii="David" w:cs="David" w:eastAsia="David" w:hAnsi="David"/>
          <w:sz w:val="24"/>
          <w:szCs w:val="24"/>
          <w:rtl/>
        </w:rPr>
        <w:t xml:space="preserve">, ד, 20–41.</w:t>
      </w:r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Omer-Sherman, R. (2020). "To extract from it some sort of beautiful thing": The Holocaust in the families and fiction of Nava Semel and Etgar Keret.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Humanities, 9</w:t>
      </w:r>
      <w:r>
        <w:rPr>
          <w:rFonts w:ascii="David" w:cs="David" w:eastAsia="David" w:hAnsi="David"/>
          <w:sz w:val="24"/>
          <w:szCs w:val="24"/>
        </w:rPr>
        <w:t xml:space="preserve">(4), Article 137. https://doi.org/10.3390/h9040137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2.2 רקע תאורטי – התמודדות, לחץ ואובדן</w:t>
      </w:r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Lazarus, R. S., &amp; Folkman, S. (1984).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Stress, appraisal, and coping</w:t>
      </w:r>
      <w:r>
        <w:rPr>
          <w:rFonts w:ascii="David" w:cs="David" w:eastAsia="David" w:hAnsi="David"/>
          <w:sz w:val="24"/>
          <w:szCs w:val="24"/>
        </w:rPr>
        <w:t xml:space="preserve">. Springer.</w:t>
      </w:r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Rubin, S. S. (1999). The two-track model of bereavement: Overview, retrospect, and prospect.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Death Studies, 23</w:t>
      </w:r>
      <w:r>
        <w:rPr>
          <w:rFonts w:ascii="David" w:cs="David" w:eastAsia="David" w:hAnsi="David"/>
          <w:sz w:val="24"/>
          <w:szCs w:val="24"/>
        </w:rPr>
        <w:t xml:space="preserve">(8), 681–714. https://doi.org/10.1080/074811899200731</w:t>
      </w:r>
    </w:p>
    <w:p>
      <w:pPr>
        <w:pStyle w:val="Heading2"/>
        <w:bidi/>
        <w:spacing w:after="120" w:before="240" w:line="360"/>
        <w:jc w:val="right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3. מקורות נוספים להרחבה (אופציונלי)</w:t>
      </w:r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הולצמן, א' (2005). </w:t>
      </w:r>
      <w:r>
        <w:rPr>
          <w:rFonts w:ascii="David" w:cs="David" w:eastAsia="David" w:hAnsi="David"/>
          <w:i/>
          <w:iCs/>
          <w:sz w:val="24"/>
          <w:szCs w:val="24"/>
          <w:rtl/>
        </w:rPr>
        <w:t xml:space="preserve">מפת דרכים: סיפורת עברית כיום</w:t>
      </w:r>
      <w:r>
        <w:rPr>
          <w:rFonts w:ascii="David" w:cs="David" w:eastAsia="David" w:hAnsi="David"/>
          <w:sz w:val="24"/>
          <w:szCs w:val="24"/>
          <w:rtl/>
        </w:rPr>
        <w:t xml:space="preserve">. הקיבוץ המאוחד.</w:t>
      </w:r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מילנר, א' (2003). </w:t>
      </w:r>
      <w:r>
        <w:rPr>
          <w:rFonts w:ascii="David" w:cs="David" w:eastAsia="David" w:hAnsi="David"/>
          <w:i/>
          <w:iCs/>
          <w:sz w:val="24"/>
          <w:szCs w:val="24"/>
          <w:rtl/>
        </w:rPr>
        <w:t xml:space="preserve">קרעי עבר: ביוגרפיה, זהות וזיכרון בסיפורת הדור השני</w:t>
      </w:r>
      <w:r>
        <w:rPr>
          <w:rFonts w:ascii="David" w:cs="David" w:eastAsia="David" w:hAnsi="David"/>
          <w:sz w:val="24"/>
          <w:szCs w:val="24"/>
          <w:rtl/>
        </w:rPr>
        <w:t xml:space="preserve">. עם עובד.</w:t>
      </w:r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Kubovy, M. (2000). Inniut and kooliut: Trends in Israeli narrative literature, 1995–1999.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Israel Studies, 5</w:t>
      </w:r>
      <w:r>
        <w:rPr>
          <w:rFonts w:ascii="David" w:cs="David" w:eastAsia="David" w:hAnsi="David"/>
          <w:sz w:val="24"/>
          <w:szCs w:val="24"/>
        </w:rPr>
        <w:t xml:space="preserve">(1), 244–265.</w:t>
      </w:r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Schwartz, Y. (2018). Stam: The unbearable lightness of banality, or on the nature of Etgar Keret's humor.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BGU Review: A Journal of Israeli Culture</w:t>
      </w:r>
      <w:r>
        <w:rPr>
          <w:rFonts w:ascii="David" w:cs="David" w:eastAsia="David" w:hAnsi="David"/>
          <w:sz w:val="24"/>
          <w:szCs w:val="24"/>
        </w:rPr>
        <w:t xml:space="preserve">, Winter 2018.</w:t>
      </w:r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Seliger, Y. (2021).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Etgar Keret's literature and the ethos of coping with Holocaust remembrance</w:t>
      </w:r>
      <w:r>
        <w:rPr>
          <w:rFonts w:ascii="David" w:cs="David" w:eastAsia="David" w:hAnsi="David"/>
          <w:sz w:val="24"/>
          <w:szCs w:val="24"/>
        </w:rPr>
        <w:t xml:space="preserve">. Cambridge Scholars Publishing.</w:t>
      </w:r>
    </w:p>
    <w:p>
      <w:pPr>
        <w:pStyle w:val="Heading2"/>
        <w:bidi/>
        <w:spacing w:after="120" w:before="240" w:line="360"/>
        <w:jc w:val="right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4. מה תורם כל מקור לעבודה</w:t>
      </w:r>
    </w:p>
    <w:tbl>
      <w:tblPr>
        <w:bidiVisual/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00"/>
        <w:gridCol w:w="4400"/>
      </w:tblGrid>
      <w:tr>
        <w:tc>
          <w:tcPr>
            <w:tcW w:type="dxa" w:w="2000"/>
            <w:shd w:fill="E8E8E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המקור</w:t>
            </w:r>
          </w:p>
        </w:tc>
        <w:tc>
          <w:tcPr>
            <w:tcW w:type="dxa" w:w="2600"/>
            <w:shd w:fill="E8E8E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התחום</w:t>
            </w:r>
          </w:p>
        </w:tc>
        <w:tc>
          <w:tcPr>
            <w:tcW w:type="dxa" w:w="4400"/>
            <w:shd w:fill="E8E8E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השימוש בעבודה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טאוב (1997)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תרבות צעירה ופוסטמודרניזם בישראל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מיקום קרת בדור הסופרים של שנות התשעים; הנטייה לסגת מן הציבורי אל הפרטי כדרך התמודדות (מבוא, פרק 2)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מנדלסון-מעוז (1998)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מצבי קיצון, זוועה וגרוטסקה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ניתוח הבית הסגור והקולות ב"האנשים החלולים" כסיטואציה קיצונית שהדמויות מגיבות לה בשגרה (פרק 3)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קצמן (2005)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מיתוס, אתיקה ואישיות אצל קרת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הפנטזיה כבניית עולם פרטי בעל חוקים משלו; אחריות מוסרית של המספר (פרקים 3–5)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Omer-Sherman (2020)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הדור השני לשואה, זיכרון משפחתי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יחסי אב–בן, הורשה של פחד ושל "קולות", ההומור והפנטזיה כדרך לחיות עם הטראומה (פרקים 3, 5)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Lazarus &amp; Folkman (1984)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פסיכולוגיה של לחץ והתמודדות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המסגרת המושגית: התמודדות ממוקדת-בעיה, ממוקדת-רגש והימנעות (פרק 2, וכלי הניתוח בפרקים 3–4)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Rubin (1999)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אובדן ושכול – מודל דו-מסלולי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מות האם והאב ב"האנשים החלולים"; התפקוד לעומת הקשר המתמשך למת (פרקים 3, 5)</w:t>
            </w:r>
          </w:p>
        </w:tc>
      </w:tr>
    </w:tbl>
    <w:p>
      <w:pPr>
        <w:bidi/>
        <w:spacing w:after="12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/>
      </w:r>
    </w:p>
    <w:p>
      <w:pPr>
        <w:shd w:fill="F2F2F2" w:color="auto" w:val="clear"/>
        <w:bidi/>
        <w:spacing w:after="120" w:line="360"/>
        <w:jc w:val="right"/>
      </w:pPr>
      <w:r>
        <w:rPr>
          <w:rFonts w:ascii="David" w:cs="David" w:eastAsia="David" w:hAnsi="David"/>
          <w:i/>
          <w:iCs/>
          <w:color w:val="555555"/>
          <w:sz w:val="24"/>
          <w:szCs w:val="24"/>
          <w:rtl/>
        </w:rPr>
        <w:t xml:space="preserve">הערה על APA 7 בעברית: שם משפחה, ראשי תיבות של השם הפרטי עם גרש (א'), שנה בסוגריים, שם הספר או כתב העת באות נטויה, ללא ציון עיר ההוצאה. בגוף העבודה מצטטים כך: (מנדלסון-מעוז, 1998, עמ' 271) או Lazarus &amp; Folkman, 1984).</w:t>
      </w:r>
    </w:p>
    <w:p>
      <w:r>
        <w:br w:type="page"/>
      </w:r>
    </w:p>
    <w:p>
      <w:pPr>
        <w:pStyle w:val="Heading1"/>
        <w:bidi/>
        <w:spacing w:after="200" w:before="360" w:line="360"/>
        <w:jc w:val="right"/>
      </w:pPr>
      <w:r>
        <w:rPr>
          <w:rFonts w:ascii="David" w:cs="David" w:eastAsia="David" w:hAnsi="David"/>
          <w:b/>
          <w:bCs/>
          <w:sz w:val="32"/>
          <w:szCs w:val="32"/>
          <w:rtl/>
        </w:rPr>
        <w:t xml:space="preserve">חלק ב: ראשי פרקים (הצעה למבנה העבודה)</w:t>
      </w:r>
    </w:p>
    <w:p>
      <w:pPr>
        <w:bidi/>
        <w:spacing w:after="12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המבנה שלהלן עוקב אחר הנחיות הסמינריון: דף פתיחה, תוכן עניינים, תקציר ומילות מפתח, מבוא, רקע תאורטי, שלושה עד חמישה פרקי ניתוח, דיון, סיכום ומסקנות, ביבליוגרפיה, רפלקציה ונספחים. לצד כל פרק מצוינים המקורות שישולבו בו.</w:t>
      </w:r>
    </w:p>
    <w:p>
      <w:pPr>
        <w:pStyle w:val="Heading2"/>
        <w:bidi/>
        <w:spacing w:after="120" w:before="240" w:line="360"/>
        <w:jc w:val="right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שם העבודה (כותרת אינפורמטיבית)</w:t>
      </w:r>
    </w:p>
    <w:p>
      <w:pPr>
        <w:bidi/>
        <w:spacing w:after="12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"סתם קולות": דרכי התמודדות עם קשיים בסיפורים "האנשים החלולים" ו"מי כמונו יודע" מאת אתגר קרת</w:t>
      </w:r>
    </w:p>
    <w:p>
      <w:pPr>
        <w:pStyle w:val="Heading2"/>
        <w:bidi/>
        <w:spacing w:after="120" w:before="240" w:line="360"/>
        <w:jc w:val="right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תקציר ומילות מפתח</w:t>
      </w:r>
    </w:p>
    <w:p>
      <w:pPr>
        <w:bidi/>
        <w:spacing w:after="12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תקציר של 150–200 מילים: הצגת הנושא, שני הסיפורים, שאלות המחקר, שיטת הניתוח (קריאה צמודה בשילוב מודלים של התמודדות ואובדן) והממצא המרכזי – בשני הסיפורים הדמויות מתמודדות עם הקושי לא בפתרונו אלא בעיצוב מחדש של המציאות באמצעות שפה, פנטזיה ושיתוף, ומחיר ההתמודדות הזו הוא ריקון או היטמעות ב"חלול".</w:t>
      </w:r>
    </w:p>
    <w:p>
      <w:pPr>
        <w:bidi/>
        <w:spacing w:after="120" w:line="360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מילות מפתח: </w:t>
      </w:r>
      <w:r>
        <w:rPr>
          <w:rFonts w:ascii="David" w:cs="David" w:eastAsia="David" w:hAnsi="David"/>
          <w:sz w:val="24"/>
          <w:szCs w:val="24"/>
          <w:rtl/>
        </w:rPr>
        <w:t xml:space="preserve">אתגר קרת; הסיפור הקצר; התמודדות (coping); אובדן ושכול; יחסי אב–בן; פנטזיה; הומור; הדור השני; ניכור; שפה.</w:t>
      </w:r>
    </w:p>
    <w:p>
      <w:pPr>
        <w:pStyle w:val="Heading2"/>
        <w:bidi/>
        <w:spacing w:after="120" w:before="240" w:line="360"/>
        <w:jc w:val="right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מבוא</w:t>
      </w:r>
    </w:p>
    <w:p>
      <w:pPr>
        <w:pStyle w:val="ListParagraph"/>
        <w:numPr>
          <w:ilvl w:val="0"/>
          <w:numId w:val="2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הסיפור העברי הקצר: מאפייני הז'אנר (צמצום, סיום פתוח, רגע אחד מכריע) והתפתחותו בספרות הישראלית של שנות התשעים (הולצמן, 2005; טאוב, 1997).</w:t>
      </w:r>
    </w:p>
    <w:p>
      <w:pPr>
        <w:pStyle w:val="ListParagraph"/>
        <w:numPr>
          <w:ilvl w:val="0"/>
          <w:numId w:val="2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סגנון כתיבתו של אתגר קרת: שפה דיבורית, סיפורים קצרצרים, שילוב פנטסטי בתוך יומיום, הומור שחור ו"סתם", מספר בגוף ראשון ילדי או פסיבי (מנדלסון-מעוז, 1998; קצמן, 2005; Schwartz, 2018).</w:t>
      </w:r>
    </w:p>
    <w:p>
      <w:pPr>
        <w:pStyle w:val="ListParagraph"/>
        <w:numPr>
          <w:ilvl w:val="0"/>
          <w:numId w:val="2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הצגת שני הסיפורים ושני הקבצים: געגועי לקיסינג'ר (1994) – ראשית דרכו; אוטוקורקט (2024) – הקובץ המאוחר. מה מאפשרת ההשוואה בין סיפור מוקדם לסיפור מאוחר.</w:t>
      </w:r>
    </w:p>
    <w:p>
      <w:pPr>
        <w:pStyle w:val="ListParagraph"/>
        <w:numPr>
          <w:ilvl w:val="0"/>
          <w:numId w:val="2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הנושא המשותף: דרכי התמודדות עם קשיים – פחד, אובדן, בדידות, ניכור וכישלון.</w:t>
      </w:r>
    </w:p>
    <w:p>
      <w:pPr>
        <w:pStyle w:val="ListParagraph"/>
        <w:numPr>
          <w:ilvl w:val="0"/>
          <w:numId w:val="2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שאלות המחקר:</w:t>
      </w:r>
    </w:p>
    <w:p>
      <w:pPr>
        <w:pStyle w:val="ListParagraph"/>
        <w:numPr>
          <w:ilvl w:val="1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אילו קשיים ניצבים בפני הדמויות בשני הסיפורים, ואילו דרכי התמודדות (ממוקדות-בעיה, ממוקדות-רגש, הימנעות) הן נוקטות?</w:t>
      </w:r>
    </w:p>
    <w:p>
      <w:pPr>
        <w:pStyle w:val="ListParagraph"/>
        <w:numPr>
          <w:ilvl w:val="1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כיצד משמשים השפה, הפנטזיה וההומור כאמצעי התמודדות – של הדמויות ושל המספר – ומה ההבדל בין הסיפור המוקדם למאוחר?</w:t>
      </w:r>
    </w:p>
    <w:p>
      <w:pPr>
        <w:pStyle w:val="ListParagraph"/>
        <w:numPr>
          <w:ilvl w:val="1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מה תפקידו של ה"אחר" (האב; הזר בבית הקפה) בהתמודדות, ומה מחירה של ההתמודדות: הגנה או ריקון?</w:t>
      </w:r>
    </w:p>
    <w:p>
      <w:pPr>
        <w:pStyle w:val="ListParagraph"/>
        <w:numPr>
          <w:ilvl w:val="0"/>
          <w:numId w:val="2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מבנה העבודה בקצרה.</w:t>
      </w:r>
    </w:p>
    <w:p>
      <w:pPr>
        <w:pStyle w:val="Heading2"/>
        <w:bidi/>
        <w:spacing w:after="120" w:before="240" w:line="360"/>
        <w:jc w:val="right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פרק 1: רקע תאורטי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1.1 התמודדות עם לחץ וקשיים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המודל של לזרוס ופולקמן: הערכה ראשונית ומשנית, התמודדות ממוקדת-בעיה מול ממוקדת-רגש, הימנעות והכחשה, והערכה מחודשת של המצב (Lazarus &amp; Folkman, 1984).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מהי "התמודדות מסתגלת" ומהי התמודדות שמחירה גבוה – הבסיס לניתוח בפרקים 3–4.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1.2 אובדן, שכול ופחד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המודל הדו-מסלולי של רובין: מסלול התפקוד ומסלול הקשר המתמשך לנפטר (Rubin, 1999).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שתיקה ו"סתם" כתגובות לאובדן; המשך הדיאלוג עם המת (החיבוק, הלחישה).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1.3 הורשה בין-דורית: יחסי אב–בן והדור השני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קרת כבן לניצולי שואה; "השואה הפרטית" לעומת הזיכרון הממלכתי; הפחד והקולות כנחלה משפחתית (Omer-Sherman, 2020; מילנר, 2003 – אופציונלי).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1.4 הפואטיקה של קרת ככלי התמודדות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סיטואציות קיצוניות שהדמויות מגיבות להן בשגרה; הגרוטסקה כהגנה (מנדלסון-מעוז, 1998).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געגוע למיתוס ובניית עולם פרטי בעל חוקים משלו; האתיקה של המספר (קצמן, 2005).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"המרד השפוף": נסיגה מן הציבורי אל הפרטי והאינטימי כתגובה לעולם מאיים (טאוב, 1997).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ההומור והמילה "סתם" כמנגנון של הקלה וכביטוי לריקנות (Schwartz, 2018 – אופציונלי).</w:t>
      </w:r>
    </w:p>
    <w:p>
      <w:pPr>
        <w:pStyle w:val="Heading2"/>
        <w:bidi/>
        <w:spacing w:after="120" w:before="240" w:line="360"/>
        <w:jc w:val="right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פרק 2: "האנשים החלולים" – הסתגרות, לחישה ושתיקה כדרכי התמודדות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2.1 תקציר הסיפור ומבנהו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ילד מספר בדיעבד: אנשים דופקים בדלת, האב מסתכל בעינית ואינו פותח, מחבק ולוחש; מות האם; מות האב; המספר שותק "כי בסופו של דבר גם אני, כנראה, הייתי אחד מהם".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המספר-ילד המתבגר: הפער בין הפחד של אז לבין ה"סתם" של היום.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2.2 הקושי: פחד, פלישה ובדידות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הדפיקות בדלת, התריסים, ההקפה של הבית – סיטואציה קיצונית שהופכת לשגרה (מנדלסון-מעוז, 1998).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"שיפמן, תפתח את הדלת. אנחנו יודעים שאתה שם" – העולם החיצוני כאיום מתמשך.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2.3 דרכי ההתמודדות של האב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הימנעות והסתגרות: הדלת הסגורה, התריסים, הפינה ליד הפסנתר – התמודדות ממוקדת-רגש ולא ממוקדת-בעיה (Lazarus &amp; Folkman, 1984).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הסבר מחדש של המציאות: "אין ממה לפחד, זה בסך הכול האנשים החלולים... בלי גוף, בלי כלום, סתם קולות" – הפחתת ערך האיום כמנגנון הגנה.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מגע ולחישה: החיבוק "חזק-חזק" והלחישה באוזן כהתמודדות רגשית שמועברת לבן.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2.4 יחסי אב–בן: הורשת הפחד והורשת ההתמודדות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הבן לומד את שיטת האב ("לפעמים אבא היה אומר את מה שיגידו ולפעמים אני"); "האנשים החלולים" כמטאפורה לניכור ולריקנות (רמז לשירו של ט"ס אליוט "האנשים החלולים").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הקשר לדור השני: פחד ללא מקור ברור, שנמסר מאב לבן (Omer-Sherman, 2020).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2.5 התמודדות עם אובדן: מות האם ומות האב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"ואמא מתה בלי קול אבל עם גוף" – היפוך לחלולים; האיש הבוכה על הקבר כ"אחד מהם".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מות האב בפינה ליד הפסנתר, החיבוק ההפוך; שתיקת הבן על הקבר – שני מסלולי האבל (Rubin, 1999).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2.6 מחיר ההתמודדות: "סתם, ממש סתם"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המילים חוזרות "כמו כדור טניס שזרקתי על קיר"; ההיטמעות בחלול. האם ההתמודדות הצילה או רוקנה? (Schwartz, 2018; קצמן, 2005).</w:t>
      </w:r>
    </w:p>
    <w:p>
      <w:pPr>
        <w:pStyle w:val="Heading2"/>
        <w:bidi/>
        <w:spacing w:after="120" w:before="240" w:line="360"/>
        <w:jc w:val="right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פרק 3: "מי כמונו יודע" – דיבור, שותפות ויצירה כדרכי התמודדות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3.1 תקציר הסיפור ומבנהו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מפגש בבית קפה: אמריקאי, סופר שכתב שלושה ספרים וזכה בפרס, "לא הפסיק לדבר"; כל משפט שני נפתח ב"ומי כמונו יודע..."; המספר-מאזין ותחושת האחדות; התפתחות המפגש וסיומו [להשלים על פי הטקסט המלא].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3.2 הקושי: בדידות, ניכור וצורך בהכרה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הדיבור הכפוי – "כאילו יש לו יותר מדי דברים להגיד והוא חייב להספיק את כולם" – כסימן למצוקה; הסופר שלא שמעו עליו.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3.3 התמודדות באמצעות שפה: הנוסחה "ומי כמונו יודע"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הביטוי החוזר יוצר "אנחנו" מדומה; הדיבור כמנגנון ויסות רגשי (Lazarus &amp; Folkman, 1984 – התמודדות ממוקדת-רגש; חיפוש תמיכה חברתית).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3.4 התמודדות באמצעות שותפות: "תאומים סיאמיים... לב אחד גדול וכואב"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הדימוי הפנטסטי-גופני של קרת; אמפתיה כפויה לעומת אמפתיה אמיתית; המטרונום כפעימה משותפת של כאב.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3.5 התמודדות באמצעות יצירה: "יצירה היא בסך הכול פעולת הסחה"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הכתיבה כהסחת דעת מן המציאות – עמדה מטא-פואטית של קרת על תפקיד הספרות בהתמודדות (קצמן, 2005; טאוב, 1997).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3.6 הסיום ומשמעותו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מה קורה ל"אנחנו" בסיום: האם השותפות מחזיקה מעמד או מתפרקת; מה למד המספר-המאזין. [להשלים על פי הטקסט המלא]</w:t>
      </w:r>
    </w:p>
    <w:p>
      <w:pPr>
        <w:pStyle w:val="Heading2"/>
        <w:bidi/>
        <w:spacing w:after="120" w:before="240" w:line="360"/>
        <w:jc w:val="right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פרק 4: השוואה – שני סיפורים, שתי דרכי התמודדות</w:t>
      </w:r>
    </w:p>
    <w:tbl>
      <w:tblPr>
        <w:bidiVisual/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00"/>
      </w:tblGrid>
      <w:tr>
        <w:tc>
          <w:tcPr>
            <w:tcW w:type="dxa" w:w="2200"/>
            <w:shd w:fill="E8E8E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היבט</w:t>
            </w:r>
          </w:p>
        </w:tc>
        <w:tc>
          <w:tcPr>
            <w:tcW w:type="dxa" w:w="3400"/>
            <w:shd w:fill="E8E8E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"האנשים החלולים" (1994)</w:t>
            </w:r>
          </w:p>
        </w:tc>
        <w:tc>
          <w:tcPr>
            <w:tcW w:type="dxa" w:w="3400"/>
            <w:shd w:fill="E8E8E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"מי כמונו יודע" (2024)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הקושי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פחד מפלישה, אובדן הורים, בדידות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בדידות, ניכור, צורך בהכרה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הדמות המתמודדת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אב ובן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זר ומספר-מאזין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אמצעי ההתמודדות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הסתגרות, לחישה, הכחשה, שתיקה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דיבור בלתי פוסק, נוסחת שייכות, יצירה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הפנטזיה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"אנשים חלולים" – קולות בלי גוף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"תאומים סיאמיים" – שני גופים, לב אחד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כיוון ההתמודדות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פנימה: סגירת הדלת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החוצה: פנייה אל האחר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המחיר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ריקון, "סתם", היטמעות בחלול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אחדות מדומה, כאב משותף [להשלים]</w:t>
            </w:r>
          </w:p>
        </w:tc>
      </w:tr>
    </w:tbl>
    <w:p>
      <w:pPr>
        <w:bidi/>
        <w:spacing w:after="12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/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סעיפי הפרק: 4.1 דמיון – הפנטזיה כדרך לחיות עם קושי; 4.2 שוני – שתיקה מול דיבור, הסתגרות מול חיבור; 4.3 המספר בגוף ראשון כמאזין פסיבי בשני הסיפורים; 4.4 מן המוקדם אל המאוחר: מה השתנה בדרכי ההתמודדות בכתיבתו של קרת.</w:t>
      </w:r>
    </w:p>
    <w:p>
      <w:pPr>
        <w:pStyle w:val="Heading2"/>
        <w:bidi/>
        <w:spacing w:after="120" w:before="240" w:line="360"/>
        <w:jc w:val="right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דיון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קריאת הממצאים לאור המודלים: מרבית ההתמודדויות בסיפורים הן ממוקדות-רגש והימנעותיות; אף דמות אינה פותרת את הבעיה, אך כולן שורדות אותה.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הפנטזיה והשפה כ"הערכה מחודשת" של המציאות – ההסבר של האב והנוסחה של האמריקאי הם ניסיונות לשנות את משמעות הקושי, לא את הקושי עצמו.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ההקשר הבין-דורי והתרבותי: הפחד המורש, הבית הסגור והדיבור המוגזם כתגובות ישראליות-פרטיות למציאות מאיימת (טאוב, 1997; Omer-Sherman, 2020).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מגבלות המחקר והצעות למחקר המשך (למשל: סיפורים נוספים מאותם קבצים; השוואה לסופרים בני הדור).</w:t>
      </w:r>
    </w:p>
    <w:p>
      <w:pPr>
        <w:pStyle w:val="Heading2"/>
        <w:bidi/>
        <w:spacing w:after="120" w:before="240" w:line="360"/>
        <w:jc w:val="right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סיכום ומסקנות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מענה תמציתי לשלוש שאלות המחקר.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המסקנה המרכזית: אצל קרת ההתמודדות עם קשיים היא עבודה של שפה ודמיון בתוך יחסים – והיא תמיד גובה מחיר.</w:t>
      </w:r>
    </w:p>
    <w:p>
      <w:pPr>
        <w:pStyle w:val="Heading2"/>
        <w:bidi/>
        <w:spacing w:after="120" w:before="240" w:line="360"/>
        <w:jc w:val="right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ביבליוגרפיה</w:t>
      </w:r>
    </w:p>
    <w:p>
      <w:pPr>
        <w:bidi/>
        <w:spacing w:after="12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הרשימה המלאה מחלק א, לפי APA 7 (8–10 מקורות).</w:t>
      </w:r>
    </w:p>
    <w:p>
      <w:pPr>
        <w:pStyle w:val="Heading2"/>
        <w:bidi/>
        <w:spacing w:after="120" w:before="240" w:line="360"/>
        <w:jc w:val="right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רפלקציה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תיאור תהליך העבודה: בחירת הסיפורים והנושא, איתור המקורות, קשיים בקריאה (למשל הבנת הסיום הפתוח) ואופן פתרונם.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תובנות אישיות ומקצועיות: מה למדתי על קרת, על התמודדות ועל עצמי כקורא/ת וכמורה לעתיד.</w:t>
      </w:r>
    </w:p>
    <w:p>
      <w:pPr>
        <w:pStyle w:val="Heading2"/>
        <w:bidi/>
        <w:spacing w:after="120" w:before="240" w:line="360"/>
        <w:jc w:val="right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נספחים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נספח א: "האנשים החלולים" – סריקה.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נספח ב: "מי כמונו יודע" – סריקה.</w:t>
      </w:r>
    </w:p>
    <w:p>
      <w:r>
        <w:br w:type="page"/>
      </w:r>
    </w:p>
    <w:p>
      <w:pPr>
        <w:pStyle w:val="Heading1"/>
        <w:bidi/>
        <w:spacing w:after="200" w:before="360" w:line="360"/>
        <w:jc w:val="right"/>
      </w:pPr>
      <w:r>
        <w:rPr>
          <w:rFonts w:ascii="David" w:cs="David" w:eastAsia="David" w:hAnsi="David"/>
          <w:b/>
          <w:bCs/>
          <w:sz w:val="32"/>
          <w:szCs w:val="32"/>
          <w:rtl/>
        </w:rPr>
        <w:t xml:space="preserve">הנחיות עיצוב להגשה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קובץ וורד; גופן דויד גודל 12 (על פי ההנחיה השנייה) או 14 (על פי ההנחיה הראשונה) – מומלץ לאשר עם המרצה; רווח 1.5; יישור לשני הצדדים.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כותרות ממוספרות, תוכן עניינים אוטומטי, מספור עמודים.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ציטוט מן הסיפורים: במירכאות, עם ציון עמוד; ציטוט מן המחקר לפי APA 7 בגוף הטקסט.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left="720" w:hanging="360"/>
      </w:pPr>
    </w:lvl>
    <w:lvl w:ilvl="1" w15:tentative="1">
      <w:start w:val="1"/>
      <w:numFmt w:val="bullet"/>
      <w:lvlText w:val="–"/>
      <w:lvlJc w:val="righ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avid" w:cs="David" w:eastAsia="David" w:hAnsi="David"/>
        <w:sz w:val="24"/>
        <w:szCs w:val="24"/>
        <w:rtl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David" w:cs="David" w:eastAsia="David" w:hAnsi="David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David" w:cs="David" w:eastAsia="David" w:hAnsi="David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David" w:cs="David" w:eastAsia="David" w:hAnsi="David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רשימה ביבליוגרפית וראשי פרקים – אתגר קרת</dc:title>
  <dc:creator>Seminar</dc:creator>
  <cp:lastModifiedBy>Un-named</cp:lastModifiedBy>
  <cp:revision>1</cp:revision>
  <dcterms:created xsi:type="dcterms:W3CDTF">2026-09-07T08:04:55.218Z</dcterms:created>
  <dcterms:modified xsi:type="dcterms:W3CDTF">2026-09-07T08:04:55.226Z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