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40" w:before="0" w:line="360" w:lineRule="auto"/>
        <w:jc w:val="center"/>
      </w:pPr>
      <w:r>
        <w:rPr>
          <w:rFonts w:ascii="Times New Roman" w:cs="Traditional Arabic" w:hAnsi="Times New Roman"/>
          <w:b w:val="false"/>
          <w:sz w:val="32"/>
          <w:szCs w:val="32"/>
          <w:rtl/>
        </w:rPr>
        <w:t xml:space="preserve">رقم الهويّة: ________________</w:t>
      </w:r>
    </w:p>
    <w:p>
      <w:pPr>
        <w:bidi/>
        <w:spacing w:after="40" w:before="0" w:line="360" w:lineRule="auto"/>
        <w:jc w:val="center"/>
      </w:pPr>
      <w:r>
        <w:rPr>
          <w:rFonts w:ascii="Times New Roman" w:cs="Traditional Arabic" w:hAnsi="Times New Roman"/>
          <w:b w:val="false"/>
          <w:sz w:val="32"/>
          <w:szCs w:val="32"/>
          <w:rtl/>
        </w:rPr>
        <w:t xml:space="preserve">بإرشاد: د. </w:t>
      </w:r>
      <w:r>
        <w:rPr>
          <w:rFonts w:ascii="Times New Roman" w:cs="Traditional Arabic" w:hAnsi="Times New Roman"/>
          <w:b w:val="false"/>
          <w:sz w:val="32"/>
          <w:szCs w:val="32"/>
          <w:rtl/>
        </w:rPr>
        <w:t xml:space="preserve">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قضيّة مفادها أنّ السّخرية في هذا النّصّ ليست زينة عابرة بل بنية ناظمة تنتظم الرّحلة كلّها. </w:t>
      </w:r>
      <w:r>
        <w:rPr>
          <w:rFonts w:ascii="Times New Roman" w:cs="Traditional Arabic" w:hAnsi="Times New Roman"/>
          <w:b w:val="false"/>
          <w:sz w:val="32"/>
          <w:szCs w:val="32"/>
          <w:rtl/>
        </w:rPr>
        <w:t xml:space="preserve">وعن هذه القضيّة ينبثق سؤال البحث: ما مظاهر السّخرية في الرّسالة، وبأيّ أدوات فنّيّة تحقّقت، وما الوظائف الّتي تؤدّيها؟</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ويسير في ثلاثة فصول: يقف الأوّل عند فنّ التّرسّل وأنواعه وأشكاله بوصفه القالب الّذي خرجت منه الرّسالة، ويعرض الثّاني لعصر المعرّي وحياته وثقافته وآثاره وظروف تأليف الرّسالة ردًّا على ابن القارح، ويرصد الثّالث، وهو الفصل التّطبيقيّ، موضوعات السّخرية في الرّسالة: من ابن القارح وتوبته وتملّقه، ومن الشّعراء والرّواة واللّغويّين ومقاييسهم في الرّواية والتّوثيق، ومن التّصوّرات الحسّيّة الشّائعة عن النّعيم والعذاب، ثمّ يحلّل أدواتها الفنّيّة: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وينتهي البحث إلى أنّ سخرية الغفران هزل يراد به الجدّ: نقد أدبيّ واجتماعيّ وفكريّ ألبسه المعرّي لبوس الضّحك، وأنّ قالب التّرسّل لم يكن قيدًا عليه بل ممكّنًا له، وأنّ السّخرية عنده تختلط بحنين مكبوت يمنحها عمقها الإنسانيّ. </w:t>
      </w:r>
      <w:r>
        <w:rPr>
          <w:rFonts w:ascii="Times New Roman" w:cs="Traditional Arabic" w:hAnsi="Times New Roman"/>
          <w:b w:val="false"/>
          <w:sz w:val="32"/>
          <w:szCs w:val="32"/>
          <w:rtl/>
        </w:rPr>
        <w:t xml:space="preserve">ويعتمد البحث على نصّ الرّسالة في طبعة كامل كيلاني وتحقيق بنت الشّاطئ، وعلى طائفة من الدّراسات العربيّة والأجنبيّة يشار إليها في مواضعها.</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w:t>
      </w:r>
      <w:r>
        <w:rPr>
          <w:rFonts w:ascii="Times New Roman" w:cs="Traditional Arabic" w:hAnsi="Times New Roman"/>
          <w:b w:val="false"/>
          <w:sz w:val="32"/>
          <w:szCs w:val="32"/>
          <w:rtl/>
        </w:rPr>
        <w:t xml:space="preserve">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w:t>
      </w:r>
      <w:r>
        <w:rPr>
          <w:rFonts w:ascii="Times New Roman" w:cs="Traditional Arabic" w:hAnsi="Times New Roman"/>
          <w:b w:val="false"/>
          <w:sz w:val="32"/>
          <w:szCs w:val="32"/>
          <w:rtl/>
        </w:rPr>
        <w:t xml:space="preserve">وهذه هي الفجوة الّتي يحاول البحث الحاليّ الإسهام في سدّها. </w:t>
      </w:r>
      <w:r>
        <w:rPr>
          <w:rFonts w:ascii="Times New Roman" w:cs="Traditional Arabic" w:hAnsi="Times New Roman"/>
          <w:b w:val="false"/>
          <w:sz w:val="32"/>
          <w:szCs w:val="32"/>
          <w:rtl/>
        </w:rPr>
        <w:t xml:space="preserve">ويعود اختيار الموضوع إلى ما تثيره شخصيّة المعرّي من أسئلة بجرأتها الفكريّة، وإلى الرّغبة في فهم كيف يتحوّل قالب رسميّ كالرّسالة الأدبيّة إلى فضاء للهزل الجادّ والنّقد المقنّع.</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w:t>
      </w:r>
      <w:r>
        <w:rPr>
          <w:rFonts w:ascii="Times New Roman" w:cs="Traditional Arabic" w:hAnsi="Times New Roman"/>
          <w:b w:val="false"/>
          <w:sz w:val="32"/>
          <w:szCs w:val="32"/>
          <w:rtl/>
        </w:rPr>
        <w:t xml:space="preserve">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w:t>
      </w:r>
      <w:r>
        <w:rPr>
          <w:rFonts w:ascii="Times New Roman" w:cs="Traditional Arabic" w:hAnsi="Times New Roman"/>
          <w:b w:val="false"/>
          <w:sz w:val="32"/>
          <w:szCs w:val="32"/>
          <w:rtl/>
        </w:rPr>
        <w:t xml:space="preserve">كيف وظّف المعرّي قالب التّرسّل في بناء نصّ ساخر؟ ب. </w:t>
      </w:r>
      <w:r>
        <w:rPr>
          <w:rFonts w:ascii="Times New Roman" w:cs="Traditional Arabic" w:hAnsi="Times New Roman"/>
          <w:b w:val="false"/>
          <w:sz w:val="32"/>
          <w:szCs w:val="32"/>
          <w:rtl/>
        </w:rPr>
        <w:t xml:space="preserve">ممّن يسخر المعرّي وممّ يسخر؟ ج. </w:t>
      </w:r>
      <w:r>
        <w:rPr>
          <w:rFonts w:ascii="Times New Roman" w:cs="Traditional Arabic" w:hAnsi="Times New Roman"/>
          <w:b w:val="false"/>
          <w:sz w:val="32"/>
          <w:szCs w:val="32"/>
          <w:rtl/>
        </w:rPr>
        <w:t xml:space="preserve">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ويحسن منذ البدء تحديد المفهوم المركزيّ: فالمقصود بالسّخرية هنا طريقة في التّعبير تقلب المعنى إلى عكس ما يقصده الكاتب حقيقةً، فتحمل النّقد في صورة الضّحك</w:t>
      </w:r>
      <w:r>
        <w:rPr>
          <w:rStyle w:val="FootnoteReference"/>
        </w:rPr>
        <w:footnoteReference w:id="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إجرائيًّا فسيعدّ البحث من مظاهر السّخرية كلّ موضع في الرّسالة تقوم دلالته على مفارقة بين ظاهر القول وباطنه، أو بين جلال المقام وصغر الموضوع، أو على محاكاة هازئة لخطاب قائم. </w:t>
      </w:r>
      <w:r>
        <w:rPr>
          <w:rFonts w:ascii="Times New Roman" w:cs="Traditional Arabic" w:hAnsi="Times New Roman"/>
          <w:b w:val="false"/>
          <w:sz w:val="32"/>
          <w:szCs w:val="32"/>
          <w:rtl/>
        </w:rPr>
        <w:t xml:space="preserve">وبهذا الضّابط تتميّز السّخرية من مجرّد الفكاهة العابرة، ويصير رصدها في النّصّ قابلًا للفحص.</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نظريّ يختبر صلاحية مصطلح السّخرية أداةً لقراءة نصّ تراثيّ كبير، وتطبيقيّ يقدّم قراءة منظّمة يمكن الإفادة منها في تدريس النّثر العبّاسيّ والنّقد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في ثلاثة فصول تسبقها هذه المقدّمة وتليها خاتمة: فنّ التّرسّل الّذي خرجت الرّسالة من معطفه، فحياة المعرّي وآثاره بوصفها سياق النّصّ، فالفصل التّطبيقيّ الّذي يرصد مظاهر السّخرية ويحلّل موضوعاتها وأدواتها.</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2"/>
      </w:r>
      <w:r>
        <w:rPr>
          <w:rFonts w:ascii="Times New Roman" w:cs="Traditional Arabic" w:hAnsi="Times New Roman"/>
          <w:b w:val="false"/>
          <w:sz w:val="32"/>
          <w:szCs w:val="32"/>
          <w:rtl/>
        </w:rPr>
        <w:t xml:space="preserve">، ودراسات في المعرّي وعصره وفي النّثر العبّاسيّ والسّخرية، عربيّةً وأجنبيّةً، يشار إليها في مواضعها من الحواشي.</w:t>
      </w:r>
    </w:p>
    <w:p>
      <w:pPr>
        <w:bidi/>
        <w:spacing w:after="40" w:before="0" w:line="360" w:lineRule="auto"/>
        <w:jc w:val="both"/>
      </w:pPr>
      <w:r>
        <w:rPr>
          <w:rFonts w:ascii="Times New Roman" w:cs="Traditional Arabic" w:hAnsi="Times New Roman"/>
          <w:b w:val="false"/>
          <w:sz w:val="32"/>
          <w:szCs w:val="32"/>
          <w:rtl/>
        </w:rPr>
        <w:t xml:space="preserve">وحدّ البحث أنّه يقف عند قسم الرّحلة بالدّرجة الأولى، موضعِ القصّ والسّخرية، مجتزئًا منه نماذج دالّة من غير ادّعاء الإحاطة بكلّ المشاهد.</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keepNext/>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w:t>
      </w:r>
      <w:r>
        <w:rPr>
          <w:rFonts w:ascii="Times New Roman" w:cs="Traditional Arabic" w:hAnsi="Times New Roman"/>
          <w:b w:val="false"/>
          <w:sz w:val="32"/>
          <w:szCs w:val="32"/>
          <w:rtl/>
        </w:rPr>
        <w:t xml:space="preserve">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5"/>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w:t>
      </w:r>
      <w:r>
        <w:rPr>
          <w:rStyle w:val="FootnoteReference"/>
        </w:rPr>
        <w:footnoteReference w:id="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البيئة المشبعة بالصّنعة تعلّم المعرّي وكتب.</w:t>
      </w:r>
    </w:p>
    <w:p>
      <w:pPr>
        <w:pStyle w:val="Heading2"/>
        <w:keepNext/>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w:t>
      </w:r>
      <w:r>
        <w:rPr>
          <w:rFonts w:ascii="Times New Roman" w:cs="Traditional Arabic" w:hAnsi="Times New Roman"/>
          <w:b w:val="false"/>
          <w:sz w:val="32"/>
          <w:szCs w:val="32"/>
          <w:rtl/>
        </w:rPr>
        <w:t xml:space="preserve">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w:t>
      </w:r>
      <w:r>
        <w:rPr>
          <w:rFonts w:ascii="Times New Roman" w:cs="Traditional Arabic" w:hAnsi="Times New Roman"/>
          <w:b w:val="false"/>
          <w:sz w:val="32"/>
          <w:szCs w:val="32"/>
          <w:rtl/>
        </w:rPr>
        <w:t xml:space="preserve">وثانيها الرّسائل الإخوانيّة الّتي تجري بين الأدباء والأصدقاء في التّهنئة والتّعزية والشّكر والعتاب والشّوق والاستزارة، وفيها تظهر عواطف الكاتب وذوقه. </w:t>
      </w:r>
      <w:r>
        <w:rPr>
          <w:rFonts w:ascii="Times New Roman" w:cs="Traditional Arabic" w:hAnsi="Times New Roman"/>
          <w:b w:val="false"/>
          <w:sz w:val="32"/>
          <w:szCs w:val="32"/>
          <w:rtl/>
        </w:rPr>
        <w:t xml:space="preserve">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w:t>
      </w:r>
      <w:r>
        <w:rPr>
          <w:rFonts w:ascii="Times New Roman" w:cs="Traditional Arabic" w:hAnsi="Times New Roman"/>
          <w:b w:val="false"/>
          <w:sz w:val="32"/>
          <w:szCs w:val="32"/>
          <w:rtl/>
        </w:rPr>
        <w:t xml:space="preserve">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w:t>
      </w:r>
      <w:r>
        <w:rPr>
          <w:rFonts w:ascii="Times New Roman" w:cs="Traditional Arabic" w:hAnsi="Times New Roman"/>
          <w:b w:val="false"/>
          <w:sz w:val="32"/>
          <w:szCs w:val="32"/>
          <w:rtl/>
        </w:rPr>
        <w:t xml:space="preserve">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w:t>
      </w:r>
      <w:r>
        <w:rPr>
          <w:rFonts w:ascii="Times New Roman" w:cs="Traditional Arabic" w:hAnsi="Times New Roman"/>
          <w:b w:val="false"/>
          <w:sz w:val="32"/>
          <w:szCs w:val="32"/>
          <w:rtl/>
        </w:rPr>
        <w:t xml:space="preserve">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keepNext/>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w:t>
      </w:r>
      <w:r>
        <w:rPr>
          <w:rFonts w:ascii="Times New Roman" w:cs="Traditional Arabic" w:hAnsi="Times New Roman"/>
          <w:b w:val="false"/>
          <w:sz w:val="32"/>
          <w:szCs w:val="32"/>
          <w:rtl/>
        </w:rPr>
        <w:t xml:space="preserve">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9"/>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w:t>
      </w:r>
      <w:r>
        <w:rPr>
          <w:rFonts w:ascii="Times New Roman" w:cs="Traditional Arabic" w:hAnsi="Times New Roman"/>
          <w:b w:val="false"/>
          <w:sz w:val="32"/>
          <w:szCs w:val="32"/>
          <w:rtl/>
        </w:rPr>
        <w:t xml:space="preserve">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1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keepNext/>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keepNext/>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keepNext/>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w:t>
      </w:r>
      <w:r>
        <w:rPr>
          <w:rFonts w:ascii="Times New Roman" w:cs="Traditional Arabic" w:hAnsi="Times New Roman"/>
          <w:b w:val="false"/>
          <w:sz w:val="32"/>
          <w:szCs w:val="32"/>
          <w:rtl/>
        </w:rPr>
        <w:t xml:space="preserve">وهذا هو السّبب في تلقيبه بلقب "رهين المحبسين": محبس العمى ومحبس المنزل</w:t>
      </w:r>
      <w:r>
        <w:rPr>
          <w:rStyle w:val="FootnoteReference"/>
        </w:rPr>
        <w:footnoteReference w:id="1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جعل طه حسين من هذه السّجون الثّلاثة مدخلًا لكتابه عن فلسفة الرّجل</w:t>
      </w:r>
      <w:r>
        <w:rPr>
          <w:rStyle w:val="FootnoteReference"/>
        </w:rPr>
        <w:footnoteReference w:id="1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2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w:t>
      </w:r>
      <w:r>
        <w:rPr>
          <w:rFonts w:ascii="Times New Roman" w:cs="Traditional Arabic" w:hAnsi="Times New Roman"/>
          <w:b w:val="false"/>
          <w:sz w:val="32"/>
          <w:szCs w:val="32"/>
          <w:rtl/>
        </w:rPr>
        <w:t xml:space="preserve">وقد وقف على قبره جمع غفير من أدباء عصره وشعرائه ورثَوه بثمانين مرثاة</w:t>
      </w:r>
      <w:r>
        <w:rPr>
          <w:rStyle w:val="FootnoteReference"/>
        </w:rPr>
        <w:footnoteReference w:id="2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w:t>
      </w:r>
      <w:r>
        <w:rPr>
          <w:rFonts w:ascii="Times New Roman" w:cs="Traditional Arabic" w:hAnsi="Times New Roman"/>
          <w:b w:val="false"/>
          <w:sz w:val="32"/>
          <w:szCs w:val="32"/>
          <w:rtl/>
        </w:rPr>
        <w:t xml:space="preserve">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عند ياقوت الحمويّ صاحب صيت وشهرة بالعلم لغةً ونحوًا وفلسفةً، وجزالة في الكلام نثرًا وشعرًا</w:t>
      </w:r>
      <w:r>
        <w:rPr>
          <w:rStyle w:val="FootnoteReference"/>
        </w:rPr>
        <w:footnoteReference w:id="23"/>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keepNext/>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w:t>
      </w:r>
      <w:r>
        <w:rPr>
          <w:rFonts w:ascii="Times New Roman" w:cs="Traditional Arabic" w:hAnsi="Times New Roman"/>
          <w:b w:val="false"/>
          <w:sz w:val="32"/>
          <w:szCs w:val="32"/>
          <w:rtl/>
        </w:rPr>
        <w:t xml:space="preserve">أمّا شعره، وهو ديوان حكمته وفلسفته، فثلاثة أقسام: اللزوميّات، وسقط الزّند، وضوء السّقط</w:t>
      </w:r>
      <w:r>
        <w:rPr>
          <w:rStyle w:val="FootnoteReference"/>
        </w:rPr>
        <w:footnoteReference w:id="2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اللزوميّات، وهي أنضج شعره، ألزم نفسه في القافية ما لا يلزم، وضمّنها آراءه في الحياة والموت والنّاس والمعتقدات. </w:t>
      </w:r>
      <w:r>
        <w:rPr>
          <w:rFonts w:ascii="Times New Roman" w:cs="Traditional Arabic" w:hAnsi="Times New Roman"/>
          <w:b w:val="false"/>
          <w:sz w:val="32"/>
          <w:szCs w:val="32"/>
          <w:rtl/>
        </w:rPr>
        <w:t xml:space="preserve">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8"/>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30"/>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1"/>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w:t>
      </w:r>
      <w:r>
        <w:rPr>
          <w:rFonts w:ascii="Times New Roman" w:cs="Traditional Arabic" w:hAnsi="Times New Roman"/>
          <w:b w:val="false"/>
          <w:sz w:val="32"/>
          <w:szCs w:val="32"/>
          <w:rtl/>
        </w:rPr>
        <w:t xml:space="preserve">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w:t>
      </w:r>
      <w:r>
        <w:rPr>
          <w:rFonts w:ascii="Times New Roman" w:cs="Traditional Arabic" w:hAnsi="Times New Roman"/>
          <w:b w:val="false"/>
          <w:sz w:val="32"/>
          <w:szCs w:val="32"/>
          <w:rtl/>
        </w:rPr>
        <w:t xml:space="preserve">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w:t>
      </w:r>
      <w:r>
        <w:rPr>
          <w:rFonts w:ascii="Times New Roman" w:cs="Traditional Arabic" w:hAnsi="Times New Roman"/>
          <w:b w:val="false"/>
          <w:sz w:val="32"/>
          <w:szCs w:val="32"/>
          <w:rtl/>
        </w:rPr>
        <w:t xml:space="preserve">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فمن ناحية تكشف الرّسالة عن مؤمن يعيش إيمانه بكلّ جوارحه، وعن شكّاك لا يرى فائدة في الصّورة الّتي يصنعها المتكلّمون للدّين</w:t>
      </w:r>
      <w:r>
        <w:rPr>
          <w:rStyle w:val="FootnoteReference"/>
        </w:rPr>
        <w:footnoteReference w:id="34"/>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وذاع صيت الرّسالة خارج العربيّة أيضًا: فقد عرّف المستشرق الإنجليزيّ نيكلسون القارئ الأوروبيّ بأبي العلاء وأدبه</w:t>
      </w:r>
      <w:r>
        <w:rPr>
          <w:rStyle w:val="FootnoteReference"/>
        </w:rPr>
        <w:footnoteReference w:id="36"/>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7"/>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وأيًّا كان الرّأي في هذه العلاقة، فإنّ مجرّد قيام المقارنة شاهد على المكانة الّتي بلغها هذا النّصّ.</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keepNext/>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3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1"/>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w:t>
      </w:r>
      <w:r>
        <w:rPr>
          <w:rFonts w:ascii="Times New Roman" w:cs="Traditional Arabic" w:hAnsi="Times New Roman"/>
          <w:b w:val="false"/>
          <w:sz w:val="32"/>
          <w:szCs w:val="32"/>
          <w:rtl/>
        </w:rPr>
        <w:t xml:space="preserve">ومن هنا كان اختيارها مطابقًا لموقع المعرّي: رجل يرى ما لا يراه معاصروه، ولا يملك أن يقوله كلّه صراحةً.</w:t>
      </w:r>
    </w:p>
    <w:p>
      <w:pPr>
        <w:pStyle w:val="Heading2"/>
        <w:keepNext/>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w:t>
      </w:r>
      <w:r>
        <w:rPr>
          <w:rFonts w:ascii="Times New Roman" w:cs="Traditional Arabic" w:hAnsi="Times New Roman"/>
          <w:b w:val="false"/>
          <w:sz w:val="32"/>
          <w:szCs w:val="32"/>
          <w:rtl/>
        </w:rPr>
        <w:t xml:space="preserve">فقد عُرف المعرّي بنقده لعصره بأسلوب ساخر يلمح به إلى حالة من عصره عن طريق أفعال الشّخصيّات أو المكان</w:t>
      </w:r>
      <w:r>
        <w:rPr>
          <w:rStyle w:val="FootnoteReference"/>
        </w:rPr>
        <w:footnoteReference w:id="4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4"/>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صحّ هذا التّأويل أم كان فيه من الإسقاط شيء، فإنّه يفسّر حرارة الوصف الحسّيّ الّذي تقوم عليه مبالغات الرّسالة السّاخرة.</w:t>
      </w:r>
    </w:p>
    <w:p>
      <w:pPr>
        <w:pStyle w:val="Heading2"/>
        <w:keepNext/>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keepNext/>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w:t>
      </w:r>
      <w:r>
        <w:rPr>
          <w:rFonts w:ascii="Times New Roman" w:cs="Traditional Arabic" w:hAnsi="Times New Roman"/>
          <w:b w:val="false"/>
          <w:sz w:val="32"/>
          <w:szCs w:val="32"/>
          <w:rtl/>
        </w:rPr>
        <w:t xml:space="preserve">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6"/>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w:t>
      </w:r>
      <w:r>
        <w:rPr>
          <w:rFonts w:ascii="Times New Roman" w:cs="Traditional Arabic" w:hAnsi="Times New Roman"/>
          <w:b w:val="false"/>
          <w:sz w:val="32"/>
          <w:szCs w:val="32"/>
          <w:rtl/>
        </w:rPr>
        <w:t xml:space="preserve">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 شيء من هذا شتمًا؛ فالمعرّي لا يصف ابن القارح بقبيح قطّ، وإنّما يدعه يتحرّك أمام القارئ حتّى يضحك القارئ منه بنفسه. </w:t>
      </w:r>
      <w:r>
        <w:rPr>
          <w:rFonts w:ascii="Times New Roman" w:cs="Traditional Arabic" w:hAnsi="Times New Roman"/>
          <w:b w:val="false"/>
          <w:sz w:val="32"/>
          <w:szCs w:val="32"/>
          <w:rtl/>
        </w:rPr>
        <w:t xml:space="preserve">ولعلّ هذا من أرقى درجات الفنّ السّاخر.</w:t>
      </w:r>
    </w:p>
    <w:p>
      <w:pPr>
        <w:pStyle w:val="Heading3"/>
        <w:keepNext/>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49"/>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w:t>
      </w:r>
      <w:r>
        <w:rPr>
          <w:rFonts w:ascii="Times New Roman" w:cs="Traditional Arabic" w:hAnsi="Times New Roman"/>
          <w:b w:val="false"/>
          <w:sz w:val="32"/>
          <w:szCs w:val="32"/>
          <w:rtl/>
        </w:rPr>
        <w:t xml:space="preserve">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w:t>
      </w:r>
      <w:r>
        <w:rPr>
          <w:rFonts w:ascii="Times New Roman" w:cs="Traditional Arabic" w:hAnsi="Times New Roman"/>
          <w:b w:val="false"/>
          <w:sz w:val="32"/>
          <w:szCs w:val="32"/>
          <w:rtl/>
        </w:rPr>
        <w:t xml:space="preserve">وبهذا تصير الرّحلة الأخرويّة قاعة محاكمة معكوسة للنّقد الأدبيّ القديم.</w:t>
      </w:r>
    </w:p>
    <w:p>
      <w:pPr>
        <w:pStyle w:val="Heading3"/>
        <w:keepNext/>
        <w:bidi/>
        <w:spacing w:after="60" w:before="120" w:line="360" w:lineRule="auto"/>
        <w:jc w:val="right"/>
      </w:pPr>
      <w:r>
        <w:rPr>
          <w:rFonts w:ascii="Times New Roman" w:cs="Traditional Arabic" w:hAnsi="Times New Roman"/>
          <w:b/>
          <w:bCs/>
          <w:sz w:val="32"/>
          <w:szCs w:val="32"/>
          <w:rtl/>
        </w:rPr>
        <w:t xml:space="preserve">قراءة مقرّبة: مشهد الأعشى نموذجًا</w:t>
      </w:r>
    </w:p>
    <w:p>
      <w:pPr>
        <w:bidi/>
        <w:spacing w:after="40" w:before="0" w:line="360" w:lineRule="auto"/>
        <w:jc w:val="both"/>
      </w:pPr>
      <w:r>
        <w:rPr>
          <w:rFonts w:ascii="Times New Roman" w:cs="Traditional Arabic" w:hAnsi="Times New Roman"/>
          <w:b w:val="false"/>
          <w:sz w:val="32"/>
          <w:szCs w:val="32"/>
          <w:rtl/>
        </w:rPr>
        <w:t xml:space="preserve">ولعلّ وقفة مقرّبة عند مشهد واحد تجلو طريقة المعرّي في صنع سخريته. </w:t>
      </w:r>
      <w:r>
        <w:rPr>
          <w:rFonts w:ascii="Times New Roman" w:cs="Traditional Arabic" w:hAnsi="Times New Roman"/>
          <w:b w:val="false"/>
          <w:sz w:val="32"/>
          <w:szCs w:val="32"/>
          <w:rtl/>
        </w:rPr>
        <w:t xml:space="preserve">ففي رياض الجنّة يسمع ابن القارح شعرًا فيهتف به هاتف: "أتشعر أيّها العبد المغفور له لمن هذا الشّعر؟"</w:t>
      </w:r>
      <w:r>
        <w:rPr>
          <w:rStyle w:val="FootnoteReference"/>
        </w:rPr>
        <w:footnoteReference w:id="5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والنّداء وحده صنعة ساخرة: فلقب "العبد المغفور له" يذكّر المخاطب بالمنّة قبل أن يبدأ الكلام، وكأنّ الغفران صار كنية تلازم صاحبها.</w:t>
      </w:r>
    </w:p>
    <w:p>
      <w:pPr>
        <w:bidi/>
        <w:spacing w:after="40" w:before="0" w:line="360" w:lineRule="auto"/>
        <w:jc w:val="both"/>
      </w:pPr>
      <w:r>
        <w:rPr>
          <w:rFonts w:ascii="Times New Roman" w:cs="Traditional Arabic" w:hAnsi="Times New Roman"/>
          <w:b w:val="false"/>
          <w:sz w:val="32"/>
          <w:szCs w:val="32"/>
          <w:rtl/>
        </w:rPr>
        <w:t xml:space="preserve">ثمّ يكشف الهاتف عن نفسه: "أنا ذلك الرّجل، منّ الله عليّ بعدما صرت من جهنّم على شفير، ويئست من المغفرة"</w:t>
      </w:r>
      <w:r>
        <w:rPr>
          <w:rStyle w:val="FootnoteReference"/>
        </w:rPr>
        <w:footnoteReference w:id="5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فالأعشى يروي نجاته رواية النّاجي المذهول: غفران اللحظة الأخيرة، لا مكافأة استحقاق. </w:t>
      </w:r>
      <w:r>
        <w:rPr>
          <w:rFonts w:ascii="Times New Roman" w:cs="Traditional Arabic" w:hAnsi="Times New Roman"/>
          <w:b w:val="false"/>
          <w:sz w:val="32"/>
          <w:szCs w:val="32"/>
          <w:rtl/>
        </w:rPr>
        <w:t xml:space="preserve">ثمّ تأتي اللمسة الأخيرة في حوار زهير عن خمر الجنّة الّتي حُرمت على أعشى قيس وحده لأنّ الحجّة أدركته</w:t>
      </w:r>
      <w:r>
        <w:rPr>
          <w:rStyle w:val="FootnoteReference"/>
        </w:rPr>
        <w:footnoteReference w:id="55"/>
      </w:r>
      <w:r>
        <w:rPr>
          <w:rFonts w:ascii="Times New Roman" w:cs="Traditional Arabic" w:hAnsi="Times New Roman"/>
          <w:b w:val="false"/>
          <w:sz w:val="32"/>
          <w:szCs w:val="32"/>
          <w:rtl/>
        </w:rPr>
        <w:t xml:space="preserve">؛ فإذا في الجنّة نفسها درجات حرمان، وإذا الغفران قد يجيء منقوصًا.</w:t>
      </w:r>
    </w:p>
    <w:p>
      <w:pPr>
        <w:bidi/>
        <w:spacing w:after="40" w:before="0" w:line="360" w:lineRule="auto"/>
        <w:jc w:val="both"/>
      </w:pPr>
      <w:r>
        <w:rPr>
          <w:rFonts w:ascii="Times New Roman" w:cs="Traditional Arabic" w:hAnsi="Times New Roman"/>
          <w:b w:val="false"/>
          <w:sz w:val="32"/>
          <w:szCs w:val="32"/>
          <w:rtl/>
        </w:rPr>
        <w:t xml:space="preserve">وفي هذا المشهد الواحد تجتمع أدوات الفصل كلّها: المفارقة (مغفور له محروم)، وقلب المعنى في اللقب المبجّل، والمحاكاة السّاخرة للهجة أهل الأخبار في السّؤال والجواب، والحوار الّذي يولّد الضّحك من غير أن يصرّح به أحد. </w:t>
      </w:r>
      <w:r>
        <w:rPr>
          <w:rFonts w:ascii="Times New Roman" w:cs="Traditional Arabic" w:hAnsi="Times New Roman"/>
          <w:b w:val="false"/>
          <w:sz w:val="32"/>
          <w:szCs w:val="32"/>
          <w:rtl/>
        </w:rPr>
        <w:t xml:space="preserve">وهكذا يعمل النّصّ في كلّ موضع تقريبًا: جدّ ظاهر يحمل هزلًا باطنًا، وهزل يعيد طرح أسئلة الجدّ.</w:t>
      </w:r>
    </w:p>
    <w:p>
      <w:pPr>
        <w:pStyle w:val="Heading3"/>
        <w:keepNext/>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w:t>
      </w:r>
      <w:r>
        <w:rPr>
          <w:rFonts w:ascii="Times New Roman" w:cs="Traditional Arabic" w:hAnsi="Times New Roman"/>
          <w:b w:val="false"/>
          <w:sz w:val="32"/>
          <w:szCs w:val="32"/>
          <w:rtl/>
        </w:rPr>
        <w:t xml:space="preserve">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المقابل يطلّ أهل الجنّة على أهل النّار فيتجاذبون معهم أطراف الحديث في مسائل العروض، وتطلّ الخنساء على أخيها صخر في النّار إطلالة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keepNext/>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w:t>
      </w:r>
      <w:r>
        <w:rPr>
          <w:rFonts w:ascii="Times New Roman" w:cs="Traditional Arabic" w:hAnsi="Times New Roman"/>
          <w:b w:val="false"/>
          <w:sz w:val="32"/>
          <w:szCs w:val="32"/>
          <w:rtl/>
        </w:rPr>
        <w:t xml:space="preserve">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w:t>
      </w:r>
      <w:r>
        <w:rPr>
          <w:rFonts w:ascii="Times New Roman" w:cs="Traditional Arabic" w:hAnsi="Times New Roman"/>
          <w:b w:val="false"/>
          <w:sz w:val="32"/>
          <w:szCs w:val="32"/>
          <w:rtl/>
        </w:rPr>
        <w:t xml:space="preserve">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w:t>
      </w:r>
      <w:r>
        <w:rPr>
          <w:rFonts w:ascii="Times New Roman" w:cs="Traditional Arabic" w:hAnsi="Times New Roman"/>
          <w:b w:val="false"/>
          <w:sz w:val="32"/>
          <w:szCs w:val="32"/>
          <w:rtl/>
        </w:rPr>
        <w:t xml:space="preserve">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w:t>
      </w:r>
      <w:r>
        <w:rPr>
          <w:rFonts w:ascii="Times New Roman" w:cs="Traditional Arabic" w:hAnsi="Times New Roman"/>
          <w:b w:val="false"/>
          <w:sz w:val="32"/>
          <w:szCs w:val="32"/>
          <w:rtl/>
        </w:rPr>
        <w:t xml:space="preserve">فهي حاضرة في القسمين معًا، ممّا يقوّي القول بأنّها بنية ناظمة للرّسالة كلّها.</w:t>
      </w:r>
    </w:p>
    <w:p>
      <w:pPr>
        <w:pStyle w:val="Heading2"/>
        <w:keepNext/>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6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61"/>
      </w:r>
      <w:r>
        <w:rPr>
          <w:rFonts w:ascii="Times New Roman" w:cs="Traditional Arabic" w:hAnsi="Times New Roman"/>
          <w:b w:val="false"/>
          <w:sz w:val="32"/>
          <w:szCs w:val="32"/>
          <w:rtl/>
        </w:rPr>
        <w:t xml:space="preserve">؛ فالضّحك في الغفران وسيلة إقناع لا غاية.</w:t>
      </w:r>
    </w:p>
    <w:p>
      <w:pPr>
        <w:pStyle w:val="Heading2"/>
        <w:keepNext/>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w:t>
      </w:r>
      <w:r>
        <w:rPr>
          <w:rFonts w:ascii="Times New Roman" w:cs="Traditional Arabic" w:hAnsi="Times New Roman"/>
          <w:b w:val="false"/>
          <w:sz w:val="32"/>
          <w:szCs w:val="32"/>
          <w:rtl/>
        </w:rPr>
        <w:t xml:space="preserve">والسّخرية عنده قناع يتيح قول هذا كلّه من غير مواجهة مكشوفة؛ فالنّاقد الّذي يضحك يصعب اتّهامه، والقصّة الخياليّة تحتمل دائمًا أن يقال إنّها مجرّد خيال. </w:t>
      </w:r>
      <w:r>
        <w:rPr>
          <w:rFonts w:ascii="Times New Roman" w:cs="Traditional Arabic" w:hAnsi="Times New Roman"/>
          <w:b w:val="false"/>
          <w:sz w:val="32"/>
          <w:szCs w:val="32"/>
          <w:rtl/>
        </w:rPr>
        <w:t xml:space="preserve">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6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w:t>
      </w:r>
      <w:r>
        <w:rPr>
          <w:rFonts w:ascii="Times New Roman" w:cs="Traditional Arabic" w:hAnsi="Times New Roman"/>
          <w:b w:val="false"/>
          <w:sz w:val="32"/>
          <w:szCs w:val="32"/>
          <w:rtl/>
        </w:rPr>
        <w:t xml:space="preserve">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w:t>
      </w:r>
      <w:r>
        <w:rPr>
          <w:rFonts w:ascii="Times New Roman" w:cs="Traditional Arabic" w:hAnsi="Times New Roman"/>
          <w:b w:val="false"/>
          <w:sz w:val="32"/>
          <w:szCs w:val="32"/>
          <w:rtl/>
        </w:rPr>
        <w:t xml:space="preserve">ومن هذه المسافة بالذّات تولد السّخرية الكبرى.</w:t>
      </w:r>
    </w:p>
    <w:p>
      <w:pPr>
        <w:pStyle w:val="Heading2"/>
        <w:keepNext/>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w:t>
      </w:r>
      <w:r>
        <w:rPr>
          <w:rFonts w:ascii="Times New Roman" w:cs="Traditional Arabic" w:hAnsi="Times New Roman"/>
          <w:b w:val="false"/>
          <w:sz w:val="32"/>
          <w:szCs w:val="32"/>
          <w:rtl/>
        </w:rPr>
        <w:t xml:space="preserve">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6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w:t>
      </w:r>
      <w:r>
        <w:rPr>
          <w:rFonts w:ascii="Times New Roman" w:cs="Traditional Arabic" w:hAnsi="Times New Roman"/>
          <w:b w:val="false"/>
          <w:sz w:val="32"/>
          <w:szCs w:val="32"/>
          <w:rtl/>
        </w:rPr>
        <w:t xml:space="preserve">رحلة دانتي جادّة مهيبة من أوّلها إلى آخرها، ورحلة ابن القارح تسير على حدّ المفارقة الهازلة. </w:t>
      </w:r>
      <w:r>
        <w:rPr>
          <w:rFonts w:ascii="Times New Roman" w:cs="Traditional Arabic" w:hAnsi="Times New Roman"/>
          <w:b w:val="false"/>
          <w:sz w:val="32"/>
          <w:szCs w:val="32"/>
          <w:rtl/>
        </w:rPr>
        <w:t xml:space="preserve">وقد صدرت الرّسالة كاملة بالعربيّة والإنجليزيّة ضمن سلسلة مكتبة الأدب العربيّ، فاتّسعت دائرة قرّائها. </w:t>
      </w:r>
      <w:r>
        <w:rPr>
          <w:rFonts w:ascii="Times New Roman" w:cs="Traditional Arabic" w:hAnsi="Times New Roman"/>
          <w:b w:val="false"/>
          <w:sz w:val="32"/>
          <w:szCs w:val="32"/>
          <w:rtl/>
        </w:rPr>
        <w:t xml:space="preserve">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w:t>
      </w:r>
      <w:r>
        <w:rPr>
          <w:rFonts w:ascii="Times New Roman" w:cs="Traditional Arabic" w:hAnsi="Times New Roman"/>
          <w:b w:val="false"/>
          <w:sz w:val="32"/>
          <w:szCs w:val="32"/>
          <w:rtl/>
        </w:rPr>
        <w:t xml:space="preserve">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w:t>
      </w:r>
      <w:r>
        <w:rPr>
          <w:rFonts w:ascii="Times New Roman" w:cs="Traditional Arabic" w:hAnsi="Times New Roman"/>
          <w:b w:val="false"/>
          <w:sz w:val="32"/>
          <w:szCs w:val="32"/>
          <w:rtl/>
        </w:rPr>
        <w:t xml:space="preserve">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w:t>
      </w:r>
      <w:r>
        <w:rPr>
          <w:rFonts w:ascii="Times New Roman" w:cs="Traditional Arabic" w:hAnsi="Times New Roman"/>
          <w:b w:val="false"/>
          <w:sz w:val="32"/>
          <w:szCs w:val="32"/>
          <w:rtl/>
        </w:rPr>
        <w:t xml:space="preserve">أبو رحمة، عماد محمود. </w:t>
      </w:r>
      <w:r>
        <w:rPr>
          <w:rFonts w:ascii="Times New Roman" w:cs="Traditional Arabic" w:hAnsi="Times New Roman"/>
          <w:b w:val="false"/>
          <w:sz w:val="32"/>
          <w:szCs w:val="32"/>
          <w:rtl/>
        </w:rPr>
        <w:t xml:space="preserve">"أثر رسالة الغفران لأبي العلاء المعرّي في الكوميديا الإلهيّة لدانتي: دراسة نصّيّة مقارنة".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w:t>
      </w:r>
      <w:r>
        <w:rPr>
          <w:rFonts w:ascii="Times New Roman" w:cs="Traditional Arabic" w:hAnsi="Times New Roman"/>
          <w:b w:val="false"/>
          <w:sz w:val="32"/>
          <w:szCs w:val="32"/>
          <w:rtl/>
        </w:rPr>
        <w:t xml:space="preserve">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w:t>
      </w:r>
      <w:r>
        <w:rPr>
          <w:rFonts w:ascii="Times New Roman" w:cs="Traditional Arabic" w:hAnsi="Times New Roman"/>
          <w:b w:val="false"/>
          <w:sz w:val="32"/>
          <w:szCs w:val="32"/>
          <w:rtl/>
        </w:rPr>
        <w:t xml:space="preserve">بن قيراط، حنان. </w:t>
      </w:r>
      <w:r>
        <w:rPr>
          <w:rFonts w:ascii="Times New Roman" w:cs="Traditional Arabic" w:hAnsi="Times New Roman"/>
          <w:b w:val="false"/>
          <w:sz w:val="32"/>
          <w:szCs w:val="32"/>
          <w:rtl/>
        </w:rPr>
        <w:t xml:space="preserve">"فلسفة السّخرية في رسالة الغفران لأبي العلاء المعرّي".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w:t>
      </w:r>
      <w:r>
        <w:rPr>
          <w:rFonts w:ascii="Times New Roman" w:cs="Traditional Arabic" w:hAnsi="Times New Roman"/>
          <w:b w:val="false"/>
          <w:sz w:val="32"/>
          <w:szCs w:val="32"/>
          <w:rtl/>
        </w:rPr>
        <w:t xml:space="preserve">توحيدي فر، نرجس.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2011.</w:t>
      </w:r>
    </w:p>
    <w:p>
      <w:pPr>
        <w:bidi/>
        <w:spacing w:after="40" w:before="0" w:line="360" w:lineRule="auto"/>
        <w:jc w:val="both"/>
      </w:pPr>
      <w:r>
        <w:rPr>
          <w:rFonts w:ascii="Times New Roman" w:cs="Traditional Arabic" w:hAnsi="Times New Roman"/>
          <w:b w:val="false"/>
          <w:sz w:val="32"/>
          <w:szCs w:val="32"/>
          <w:rtl/>
        </w:rPr>
        <w:t xml:space="preserve">4. </w:t>
      </w:r>
      <w:r>
        <w:rPr>
          <w:rFonts w:ascii="Times New Roman" w:cs="Traditional Arabic" w:hAnsi="Times New Roman"/>
          <w:b w:val="false"/>
          <w:sz w:val="32"/>
          <w:szCs w:val="32"/>
          <w:rtl/>
        </w:rPr>
        <w:t xml:space="preserve">الجندي، محمّد سليم.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الجزء الأوّل. </w:t>
      </w:r>
      <w:r>
        <w:rPr>
          <w:rFonts w:ascii="Times New Roman" w:cs="Traditional Arabic" w:hAnsi="Times New Roman"/>
          <w:b w:val="false"/>
          <w:sz w:val="32"/>
          <w:szCs w:val="32"/>
          <w:rtl/>
        </w:rPr>
        <w:t xml:space="preserve">تعليق وإشراف: عبد الهادي هاشم. </w:t>
      </w:r>
      <w:r>
        <w:rPr>
          <w:rFonts w:ascii="Times New Roman" w:cs="Traditional Arabic" w:hAnsi="Times New Roman"/>
          <w:b w:val="false"/>
          <w:sz w:val="32"/>
          <w:szCs w:val="32"/>
          <w:rtl/>
        </w:rPr>
        <w:t xml:space="preserve">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w:t>
      </w:r>
      <w:r>
        <w:rPr>
          <w:rFonts w:ascii="Times New Roman" w:cs="Traditional Arabic" w:hAnsi="Times New Roman"/>
          <w:b w:val="false"/>
          <w:sz w:val="32"/>
          <w:szCs w:val="32"/>
          <w:rtl/>
        </w:rPr>
        <w:t xml:space="preserve">ضيف، شوقي.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13.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w:t>
      </w:r>
      <w:r>
        <w:rPr>
          <w:rFonts w:ascii="Times New Roman" w:cs="Traditional Arabic" w:hAnsi="Times New Roman"/>
          <w:b w:val="false"/>
          <w:sz w:val="32"/>
          <w:szCs w:val="32"/>
          <w:rtl/>
        </w:rPr>
        <w:t xml:space="preserve">طه، نعمان محمّد أمين.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w:t>
      </w:r>
      <w:r>
        <w:rPr>
          <w:rFonts w:ascii="Times New Roman" w:cs="Traditional Arabic" w:hAnsi="Times New Roman"/>
          <w:b w:val="false"/>
          <w:sz w:val="32"/>
          <w:szCs w:val="32"/>
          <w:rtl/>
        </w:rPr>
        <w:t xml:space="preserve">عبد الرّحمن، عائشة (بنت الشّاطئ).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w:t>
      </w:r>
      <w:r>
        <w:rPr>
          <w:rFonts w:ascii="Times New Roman" w:cs="Traditional Arabic" w:hAnsi="Times New Roman"/>
          <w:b w:val="false"/>
          <w:sz w:val="32"/>
          <w:szCs w:val="32"/>
          <w:rtl/>
        </w:rPr>
        <w:t xml:space="preserve">العقّاد، عبّاس محمود.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w:t>
      </w:r>
      <w:r>
        <w:rPr>
          <w:rFonts w:ascii="Times New Roman" w:cs="Traditional Arabic" w:hAnsi="Times New Roman"/>
          <w:b w:val="false"/>
          <w:sz w:val="32"/>
          <w:szCs w:val="32"/>
          <w:rtl/>
        </w:rPr>
        <w:t xml:space="preserve">كتّاني، سمير. </w:t>
      </w:r>
      <w:r>
        <w:rPr>
          <w:rFonts w:ascii="Times New Roman" w:cs="Traditional Arabic" w:hAnsi="Times New Roman"/>
          <w:b w:val="false"/>
          <w:sz w:val="32"/>
          <w:szCs w:val="32"/>
          <w:rtl/>
        </w:rPr>
        <w:t xml:space="preserve">"الأدب كإطار للمعارف في الموروث العربيّ الكلاسيكيّ: مفاهيمه، طبيعته ومضامينه".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w:t>
      </w:r>
      <w:r>
        <w:rPr>
          <w:rFonts w:ascii="Times New Roman" w:cs="Traditional Arabic" w:hAnsi="Times New Roman"/>
          <w:b w:val="false"/>
          <w:sz w:val="32"/>
          <w:szCs w:val="32"/>
          <w:rtl/>
        </w:rPr>
        <w:t xml:space="preserve">كرد علي، محمّد.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w:t>
      </w:r>
      <w:r>
        <w:rPr>
          <w:rFonts w:ascii="Times New Roman" w:cs="Traditional Arabic" w:hAnsi="Times New Roman"/>
          <w:b w:val="false"/>
          <w:sz w:val="32"/>
          <w:szCs w:val="32"/>
          <w:rtl/>
        </w:rPr>
        <w:t xml:space="preserve">مبارك، زكي.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عائشة عبد الرّحمن (بنت الشّاطئ). </w:t>
      </w:r>
      <w:r>
        <w:rPr>
          <w:rFonts w:ascii="Times New Roman" w:cs="Traditional Arabic" w:hAnsi="Times New Roman"/>
          <w:b w:val="false"/>
          <w:sz w:val="32"/>
          <w:szCs w:val="32"/>
          <w:rtl/>
        </w:rPr>
        <w:t xml:space="preserve">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كامل كيلاني. </w:t>
      </w:r>
      <w:r>
        <w:rPr>
          <w:rFonts w:ascii="Times New Roman" w:cs="Traditional Arabic" w:hAnsi="Times New Roman"/>
          <w:b w:val="false"/>
          <w:sz w:val="32"/>
          <w:szCs w:val="32"/>
          <w:rtl/>
        </w:rPr>
        <w:t xml:space="preserve">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[د.ت].</w:t>
      </w:r>
    </w:p>
    <w:p>
      <w:pPr>
        <w:bidi/>
        <w:spacing w:after="40" w:before="0" w:line="360" w:lineRule="auto"/>
        <w:jc w:val="both"/>
      </w:pPr>
      <w:r>
        <w:rPr>
          <w:rFonts w:ascii="Times New Roman" w:cs="Traditional Arabic" w:hAnsi="Times New Roman"/>
          <w:b w:val="false"/>
          <w:sz w:val="32"/>
          <w:szCs w:val="32"/>
          <w:rtl/>
        </w:rPr>
        <w:t xml:space="preserve">17.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اختيار وتقديم: أحمد رجب شلتوت. </w:t>
      </w:r>
      <w:r>
        <w:rPr>
          <w:rFonts w:ascii="Times New Roman" w:cs="Traditional Arabic" w:hAnsi="Times New Roman"/>
          <w:b w:val="false"/>
          <w:sz w:val="32"/>
          <w:szCs w:val="32"/>
          <w:rtl/>
        </w:rPr>
        <w:t xml:space="preserve">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w:t>
      </w:r>
      <w:r>
        <w:rPr>
          <w:rFonts w:ascii="Times New Roman" w:cs="Traditional Arabic" w:hAnsi="Times New Roman"/>
          <w:b w:val="false"/>
          <w:sz w:val="32"/>
          <w:szCs w:val="32"/>
          <w:rtl/>
        </w:rPr>
        <w:t xml:space="preserve">المقدسي، أنيس.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8. </w:t>
      </w:r>
      <w:r>
        <w:rPr>
          <w:rFonts w:ascii="Times New Roman" w:cs="Traditional Arabic" w:hAnsi="Times New Roman"/>
          <w:b w:val="false"/>
          <w:sz w:val="32"/>
          <w:szCs w:val="32"/>
          <w:rtl/>
        </w:rPr>
        <w:t xml:space="preserve">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w:t>
      </w:r>
      <w:r>
        <w:rPr>
          <w:rFonts w:ascii="Times New Roman" w:cs="Traditional Arabic" w:hAnsi="Times New Roman"/>
          <w:b w:val="false"/>
          <w:sz w:val="32"/>
          <w:szCs w:val="32"/>
          <w:rtl/>
        </w:rPr>
        <w:t xml:space="preserve">الواد، حسين.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بن قيراط،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1/117.</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1/37-38.</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1/57، حيث يناقش ما استنتجه المتأخّرون من كلام المعرّي من نتائج غريبة ويردّ عليها.</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1/543-544.</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1/529-532.</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1/563-564.</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29.</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وإطلالة الخنساء).</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6">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2026-08-17T12:26:42.477Z</dcterms:created>
  <dcterms:modified xsi:type="dcterms:W3CDTF">2026-08-17T12:26:42.477Z</dcterms:modified>
</cp:coreProperties>
</file>

<file path=docProps/custom.xml><?xml version="1.0" encoding="utf-8"?>
<Properties xmlns="http://schemas.openxmlformats.org/officeDocument/2006/custom-properties" xmlns:vt="http://schemas.openxmlformats.org/officeDocument/2006/docPropsVTypes"/>
</file>