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bidi/>
        <w:spacing w:after="200" w:line="360"/>
        <w:jc w:val="center"/>
      </w:pPr>
      <w:r>
        <w:rPr>
          <w:rFonts w:ascii="Simplified Arabic" w:cs="Simplified Arabic" w:eastAsia="Simplified Arabic" w:hAnsi="Simplified Arabic"/>
          <w:b/>
          <w:bCs/>
          <w:sz w:val="36"/>
          <w:szCs w:val="36"/>
          <w:rtl/>
        </w:rPr>
        <w:t xml:space="preserve">أكاديميّة القاسمي</w:t>
      </w:r>
    </w:p>
    <w:p>
      <w:pPr>
        <w:bidi/>
        <w:spacing w:after="200" w:line="360"/>
        <w:jc w:val="center"/>
      </w:pPr>
      <w:r>
        <w:rPr>
          <w:rFonts w:ascii="Simplified Arabic" w:cs="Simplified Arabic" w:eastAsia="Simplified Arabic" w:hAnsi="Simplified Arabic"/>
          <w:b/>
          <w:bCs/>
          <w:sz w:val="32"/>
          <w:szCs w:val="32"/>
          <w:rtl/>
        </w:rPr>
        <w:t xml:space="preserve">كلّيّة أكاديميّة للتربية</w:t>
      </w:r>
    </w:p>
    <w:p/>
    <w:p/>
    <w:p>
      <w:pPr>
        <w:bidi/>
        <w:spacing w:after="200" w:line="360"/>
        <w:jc w:val="center"/>
      </w:pPr>
      <w:r>
        <w:rPr>
          <w:rFonts w:ascii="Simplified Arabic" w:cs="Simplified Arabic" w:eastAsia="Simplified Arabic" w:hAnsi="Simplified Arabic"/>
          <w:b/>
          <w:bCs/>
          <w:sz w:val="26"/>
          <w:szCs w:val="26"/>
          <w:rtl/>
        </w:rPr>
        <w:t xml:space="preserve">بحث بعنوان:</w:t>
      </w:r>
    </w:p>
    <w:p>
      <w:pPr>
        <w:bidi/>
        <w:spacing w:after="200" w:line="360"/>
        <w:jc w:val="center"/>
      </w:pPr>
      <w:r>
        <w:rPr>
          <w:rFonts w:ascii="Simplified Arabic" w:cs="Simplified Arabic" w:eastAsia="Simplified Arabic" w:hAnsi="Simplified Arabic"/>
          <w:b/>
          <w:bCs/>
          <w:sz w:val="32"/>
          <w:szCs w:val="32"/>
          <w:rtl/>
        </w:rPr>
        <w:t xml:space="preserve">الأحكام الفقهيّة المتعلقة بنزع الأجهزة الطبيّة عن الميت سريريًّا</w:t>
      </w:r>
    </w:p>
    <w:p>
      <w:pPr>
        <w:bidi/>
        <w:spacing w:after="200" w:line="360"/>
        <w:jc w:val="center"/>
      </w:pPr>
      <w:r>
        <w:rPr>
          <w:rFonts w:ascii="Simplified Arabic" w:cs="Simplified Arabic" w:eastAsia="Simplified Arabic" w:hAnsi="Simplified Arabic"/>
          <w:b/>
          <w:bCs/>
          <w:sz w:val="30"/>
          <w:szCs w:val="30"/>
          <w:rtl/>
        </w:rPr>
        <w:t xml:space="preserve">دراسة فقهيّة طبيّة قانونيّة مقارنة</w:t>
      </w:r>
    </w:p>
    <w:p/>
    <w:p>
      <w:pPr>
        <w:bidi/>
        <w:spacing w:after="200" w:line="360"/>
        <w:jc w:val="center"/>
      </w:pPr>
      <w:r>
        <w:rPr>
          <w:rFonts w:ascii="Simplified Arabic" w:cs="Simplified Arabic" w:eastAsia="Simplified Arabic" w:hAnsi="Simplified Arabic"/>
          <w:b/>
          <w:bCs/>
          <w:sz w:val="26"/>
          <w:szCs w:val="26"/>
          <w:rtl/>
        </w:rPr>
        <w:t xml:space="preserve">ضمن مساق:</w:t>
      </w:r>
    </w:p>
    <w:p>
      <w:pPr>
        <w:bidi/>
        <w:spacing w:after="200" w:line="360"/>
        <w:jc w:val="center"/>
      </w:pPr>
      <w:r>
        <w:rPr>
          <w:rFonts w:ascii="Simplified Arabic" w:cs="Simplified Arabic" w:eastAsia="Simplified Arabic" w:hAnsi="Simplified Arabic"/>
          <w:b/>
          <w:bCs/>
          <w:sz w:val="28"/>
          <w:szCs w:val="28"/>
          <w:rtl/>
        </w:rPr>
        <w:t xml:space="preserve">حلقة بحث في الدين الإسلاميّ - سيمنار</w:t>
      </w:r>
    </w:p>
    <w:p/>
    <w:p>
      <w:pPr>
        <w:bidi/>
        <w:spacing w:after="200" w:line="360"/>
        <w:jc w:val="center"/>
      </w:pPr>
      <w:r>
        <w:rPr>
          <w:rFonts w:ascii="Simplified Arabic" w:cs="Simplified Arabic" w:eastAsia="Simplified Arabic" w:hAnsi="Simplified Arabic"/>
          <w:b/>
          <w:bCs/>
          <w:sz w:val="26"/>
          <w:szCs w:val="26"/>
          <w:rtl/>
        </w:rPr>
        <w:t xml:space="preserve">مقدَّم من الطالب:</w:t>
      </w:r>
    </w:p>
    <w:p>
      <w:pPr>
        <w:bidi/>
        <w:spacing w:after="200" w:line="360"/>
        <w:jc w:val="center"/>
      </w:pPr>
      <w:r>
        <w:rPr>
          <w:rFonts w:ascii="Simplified Arabic" w:cs="Simplified Arabic" w:eastAsia="Simplified Arabic" w:hAnsi="Simplified Arabic"/>
          <w:b/>
          <w:bCs/>
          <w:sz w:val="28"/>
          <w:szCs w:val="28"/>
          <w:rtl/>
        </w:rPr>
        <w:t xml:space="preserve">عبد المهدي دحلة - 212684527</w:t>
      </w:r>
    </w:p>
    <w:p>
      <w:pPr>
        <w:bidi/>
        <w:spacing w:after="200" w:line="360"/>
        <w:jc w:val="center"/>
      </w:pPr>
      <w:r>
        <w:rPr>
          <w:rFonts w:ascii="Simplified Arabic" w:cs="Simplified Arabic" w:eastAsia="Simplified Arabic" w:hAnsi="Simplified Arabic"/>
          <w:b/>
          <w:bCs/>
          <w:sz w:val="26"/>
          <w:szCs w:val="26"/>
          <w:rtl/>
        </w:rPr>
        <w:t xml:space="preserve">التخصص: دين ولغة عربية</w:t>
      </w:r>
    </w:p>
    <w:p/>
    <w:p>
      <w:pPr>
        <w:bidi/>
        <w:spacing w:after="200" w:line="360"/>
        <w:jc w:val="center"/>
      </w:pPr>
      <w:r>
        <w:rPr>
          <w:rFonts w:ascii="Simplified Arabic" w:cs="Simplified Arabic" w:eastAsia="Simplified Arabic" w:hAnsi="Simplified Arabic"/>
          <w:b/>
          <w:bCs/>
          <w:sz w:val="26"/>
          <w:szCs w:val="26"/>
          <w:rtl/>
        </w:rPr>
        <w:t xml:space="preserve">مقدَّم إلى المحاضر:</w:t>
      </w:r>
    </w:p>
    <w:p>
      <w:pPr>
        <w:bidi/>
        <w:spacing w:after="200" w:line="360"/>
        <w:jc w:val="center"/>
      </w:pPr>
      <w:r>
        <w:rPr>
          <w:rFonts w:ascii="Simplified Arabic" w:cs="Simplified Arabic" w:eastAsia="Simplified Arabic" w:hAnsi="Simplified Arabic"/>
          <w:b/>
          <w:bCs/>
          <w:sz w:val="28"/>
          <w:szCs w:val="28"/>
          <w:rtl/>
        </w:rPr>
        <w:t xml:space="preserve">د. عوني مصاروة</w:t>
      </w:r>
    </w:p>
    <w:p/>
    <w:p>
      <w:pPr>
        <w:bidi/>
        <w:spacing w:after="200" w:line="360"/>
        <w:jc w:val="center"/>
      </w:pPr>
      <w:r>
        <w:rPr>
          <w:rFonts w:ascii="Simplified Arabic" w:cs="Simplified Arabic" w:eastAsia="Simplified Arabic" w:hAnsi="Simplified Arabic"/>
          <w:b/>
          <w:bCs/>
          <w:sz w:val="26"/>
          <w:szCs w:val="26"/>
          <w:rtl/>
        </w:rPr>
        <w:t xml:space="preserve">السنة الدراسيّة:</w:t>
      </w:r>
    </w:p>
    <w:p>
      <w:pPr>
        <w:bidi/>
        <w:spacing w:after="200" w:line="360"/>
        <w:jc w:val="center"/>
      </w:pPr>
      <w:r>
        <w:rPr>
          <w:rFonts w:ascii="Simplified Arabic" w:cs="Simplified Arabic" w:eastAsia="Simplified Arabic" w:hAnsi="Simplified Arabic"/>
          <w:b/>
          <w:bCs/>
          <w:sz w:val="26"/>
          <w:szCs w:val="26"/>
          <w:rtl/>
        </w:rPr>
        <w:t xml:space="preserve">1447هـ</w:t>
      </w:r>
    </w:p>
    <w:p>
      <w:pPr>
        <w:bidi/>
        <w:spacing w:after="200" w:line="360"/>
        <w:jc w:val="center"/>
      </w:pPr>
      <w:r>
        <w:rPr>
          <w:rFonts w:ascii="Simplified Arabic" w:cs="Simplified Arabic" w:eastAsia="Simplified Arabic" w:hAnsi="Simplified Arabic"/>
          <w:b/>
          <w:bCs/>
          <w:sz w:val="26"/>
          <w:szCs w:val="26"/>
          <w:rtl/>
        </w:rPr>
        <w:t xml:space="preserve">2025/2026م</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المقدّمة</w:t>
      </w:r>
    </w:p>
    <w:p>
      <w:pPr>
        <w:bidi/>
        <w:spacing w:after="160" w:line="360"/>
        <w:jc w:val="both"/>
      </w:pPr>
      <w:r>
        <w:rPr>
          <w:rFonts w:ascii="Simplified Arabic" w:cs="Simplified Arabic" w:eastAsia="Simplified Arabic" w:hAnsi="Simplified Arabic"/>
          <w:b w:val="false"/>
          <w:bCs w:val="false"/>
          <w:sz w:val="28"/>
          <w:szCs w:val="28"/>
          <w:rtl/>
        </w:rPr>
        <w:t xml:space="preserve">الحمد لله ربّ العالمين، جعل حفظ النفس الإنسانيّة من أعظم مقاصد شريعته، والصلاة والسلام على سيّدنا محمد، وعلى آله وصحبه أجمعين، أما بعد:</w:t>
      </w:r>
    </w:p>
    <w:p>
      <w:pPr>
        <w:bidi/>
        <w:spacing w:after="160" w:line="360"/>
        <w:jc w:val="both"/>
      </w:pPr>
      <w:r>
        <w:rPr>
          <w:rFonts w:ascii="Simplified Arabic" w:cs="Simplified Arabic" w:eastAsia="Simplified Arabic" w:hAnsi="Simplified Arabic"/>
          <w:b w:val="false"/>
          <w:bCs w:val="false"/>
          <w:sz w:val="28"/>
          <w:szCs w:val="28"/>
          <w:rtl/>
        </w:rPr>
        <w:t xml:space="preserve">فإنّ الشريعة الإسلاميّة جاءت بتحقيق مصالح العباد ودفع المفاسد عنهم، وجعلت حفظ النفس الإنسانيّة في مرتبة تالية لحفظ الدين من مقاصدها الضروريّة، فشرعت من الأحكام ما يصون حياة الإنسان وكرامته في جميع أطواره، من نشأته إلى وفاته، بل وحتى بعد موته. وقد أولى الإسلام عناية خاصة بالإنسان في حال الاحتضار وبعد الوفاة، فحرّم الاعتداء على جسده أو امتهانه، وقد قال النبيّ صلى الله عليه وسلم: </w:t>
      </w:r>
      <w:r>
        <w:rPr>
          <w:rFonts w:ascii="Simplified Arabic" w:cs="Simplified Arabic" w:eastAsia="Simplified Arabic" w:hAnsi="Simplified Arabic"/>
          <w:b/>
          <w:bCs/>
          <w:sz w:val="28"/>
          <w:szCs w:val="28"/>
          <w:rtl/>
        </w:rPr>
        <w:t xml:space="preserve">"كسرُ عظمِ الميّتِ ككسرِه حيًّا"</w:t>
      </w:r>
      <w:r>
        <w:rPr>
          <w:rStyle w:val="FootnoteReference"/>
        </w:rPr>
        <w:footnoteReference w:id="1"/>
      </w:r>
      <w:r>
        <w:rPr>
          <w:rFonts w:ascii="Simplified Arabic" w:cs="Simplified Arabic" w:eastAsia="Simplified Arabic" w:hAnsi="Simplified Arabic"/>
          <w:b w:val="false"/>
          <w:bCs w:val="false"/>
          <w:sz w:val="28"/>
          <w:szCs w:val="28"/>
          <w:rtl/>
        </w:rPr>
        <w:t xml:space="preserve">، فدلّ ذلك على أنّ حرمة المسلم ميّتًا كحرمته حيًّا.</w:t>
      </w:r>
    </w:p>
    <w:p>
      <w:pPr>
        <w:bidi/>
        <w:spacing w:after="160" w:line="360"/>
        <w:jc w:val="both"/>
      </w:pPr>
      <w:r>
        <w:rPr>
          <w:rFonts w:ascii="Simplified Arabic" w:cs="Simplified Arabic" w:eastAsia="Simplified Arabic" w:hAnsi="Simplified Arabic"/>
          <w:b w:val="false"/>
          <w:bCs w:val="false"/>
          <w:sz w:val="28"/>
          <w:szCs w:val="28"/>
          <w:rtl/>
        </w:rPr>
        <w:t xml:space="preserve">ومع التقدّم الطبيّ الهائل في العصر الحديث ظهرت وسائل علاجيّة وتقنيّات طبيّة متطوّرة، من أبرزها الأجهزة الطبيّة التي تقوم بدعم الوظائف الحيويّة للجسم، كأجهزة التنفّس الاصطناعيّ وأجهزة دعم القلب والدورة الدمويّة. وقد أسهمت هذه الأجهزة في إنقاذ حياة كثير من المرضى، إلا أنها في الوقت ذاته أفرزت إشكالات فقهيّة وطبيّة جديدة، خاصة في الحالات التي يتوقف فيها نشاط الدماغ توقفًا كاملًا لا رجعة فيه، بينما تستمر بعض مظاهر الحياة الجسديّة بفعل هذه الأجهزة، وهو ما يُعرف اصطلاحًا بالموت السريريّ أو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وتكمن الإشكاليّة في تحديد الحكم الشرعيّ لنزع الأجهزة الطبيّة عن المريض الذي حُكم بموته سريريًّا: هل يُعدّ هذا النزع إزهاقًا للنفس المحرَّمة، أم أنه رفعٌ لوسيلة صناعيّة لا أثر لها في حياة المريض؟ كما تتداخل في هذه المسألة اعتبارات فقهيّة وطبيّة وقانونيّة وأخلاقيّة، تتعلق بتعريف الموت، ومسؤوليّة الطبيب، وحقوق المريض وذويه، وحدود التدخّل الطبيّ المشروع.</w:t>
      </w:r>
    </w:p>
    <w:p>
      <w:pPr>
        <w:bidi/>
        <w:spacing w:after="160" w:line="360"/>
        <w:jc w:val="both"/>
      </w:pPr>
      <w:r>
        <w:rPr>
          <w:rFonts w:ascii="Simplified Arabic" w:cs="Simplified Arabic" w:eastAsia="Simplified Arabic" w:hAnsi="Simplified Arabic"/>
          <w:b w:val="false"/>
          <w:bCs w:val="false"/>
          <w:sz w:val="28"/>
          <w:szCs w:val="28"/>
          <w:rtl/>
        </w:rPr>
        <w:t xml:space="preserve">ومن هنا جاء هذا البحث، الذي يسعى إلى دراسة الأحكام الفقهيّة المتعلقة بنزع الأجهزة الطبيّة عن الميت سريريًّا دراسةً تأصيليّة مقارنة، على خمسة فصول: فصل للتعريفات، وفصل تمهيديّ لتاريخ المسألة وربطها بالشرائع، وفصل للآثار المترتبة عليها، وفصل للتأصيل الفقهيّ وتحرير المسألة وأقوال الفقهاء وموقف القانون، وفصل للفتاوى المؤيّدة والمعارضة، ثم الخاتمة والنتائج والتوصيات والفهارس. والله وليّ التوفيق.</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ملخّص البحث</w:t>
      </w:r>
    </w:p>
    <w:p>
      <w:pPr>
        <w:bidi/>
        <w:spacing w:after="160" w:line="360"/>
        <w:jc w:val="both"/>
      </w:pPr>
      <w:r>
        <w:rPr>
          <w:rFonts w:ascii="Simplified Arabic" w:cs="Simplified Arabic" w:eastAsia="Simplified Arabic" w:hAnsi="Simplified Arabic"/>
          <w:b w:val="false"/>
          <w:bCs w:val="false"/>
          <w:sz w:val="28"/>
          <w:szCs w:val="28"/>
          <w:rtl/>
        </w:rPr>
        <w:t xml:space="preserve">هدف هذا البحث إلى بيان الأحكام الفقهيّة المتعلقة بنزع الأجهزة الطبيّة عن الميت سريريًّا، من النواحي الفقهيّة والطبيّة والقانونيّة. حرّر البحث أولًا المصطلحات المتداخلة، إذ يشيع في الاستعمال الفقهيّ المعاصر إطلاق "الميت سريريًّا" على من تعطّل دماغه تعطّلًا نهائيًّا مع بقاء قلبه نابضًا بفعل أجهزة الإنعاش، بينما يفرّق الاصطلاح الطبيّ الدقيق بين الموت السريريّ القابل للإنعاش والموت الدماغيّ الذي لا رجعة فيه. ثم مهّد بعرض تاريخ ظهور المسألة منذ ظهور أجهزة الإنعاش ومعايير هارفارد سنة 1968م، وربطها بموقف الشرائع السماويّة والتشريعات القديمة من الموت ومسؤوليّة الطبيب.</w:t>
      </w:r>
    </w:p>
    <w:p>
      <w:pPr>
        <w:bidi/>
        <w:spacing w:after="160" w:line="360"/>
        <w:jc w:val="both"/>
      </w:pPr>
      <w:r>
        <w:rPr>
          <w:rFonts w:ascii="Simplified Arabic" w:cs="Simplified Arabic" w:eastAsia="Simplified Arabic" w:hAnsi="Simplified Arabic"/>
          <w:b w:val="false"/>
          <w:bCs w:val="false"/>
          <w:sz w:val="28"/>
          <w:szCs w:val="28"/>
          <w:rtl/>
        </w:rPr>
        <w:t xml:space="preserve">وعرض البحث الآثار الفقهيّة والطبيّة والاجتماعيّة والقانونيّة والاقتصاديّة المترتبة على المسألة، ثم أصّلها فقهيًّا: صوّر المسألة، وبيّن تعلّقها بمقاصد الشريعة، وحرّر محلّ الاتفاق ومحلّ النزاع وأسباب الاختلاف والتكييف الفقهيّ، وعرض أقوال المؤيّدين والمعارضين وأدلّتهم ومناقشتها والردّ عليها، وانتهى إلى القول الراجح، ثم عرض موقف قوانين سبع دول عربيّة وأجنبيّة، وستّ فتاوى وقرارات مجمعيّة مؤيّدة ومعارضة مع الردّ والتعقيب عليها.</w:t>
      </w:r>
    </w:p>
    <w:p>
      <w:pPr>
        <w:bidi/>
        <w:spacing w:after="160" w:line="360"/>
        <w:jc w:val="both"/>
      </w:pPr>
      <w:r>
        <w:rPr>
          <w:rFonts w:ascii="Simplified Arabic" w:cs="Simplified Arabic" w:eastAsia="Simplified Arabic" w:hAnsi="Simplified Arabic"/>
          <w:b w:val="false"/>
          <w:bCs w:val="false"/>
          <w:sz w:val="28"/>
          <w:szCs w:val="28"/>
          <w:rtl/>
        </w:rPr>
        <w:t xml:space="preserve">وانتهى البحث إلى ترجيح جواز نزع الأجهزة عمّن ثبت موته الدماغيّ بالضوابط الشرعيّة والطبيّة، مع الاحتياط في الأحكام الشرعيّة المترتبة على الوفاة، كالإرث والعدّة، فلا تجري إلا بعد التوقف التامّ للقلب والتنفّس، وختم بجملة من النتائج والتوصيات العمليّة.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أهميّة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معالجة مسألة فقهيّة معاصرة ذات أبعاد طبيّة وقانونيّة وأخلاقيّة تمسّ حياة الناس وموتهم.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الحكم الشرعيّ لنزع الأجهزة الطبيّة عن الميت سريريًّا، وهي مسألة تقع كلّ يوم في أقسام العناية المركّزة.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الإسهام في ضبط مفهوم الموت السريريّ والموت الدماغيّ فقهيًّا، ورفع الاشتباه الاصطلاحيّ الواقع بينهما.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توضيح الضوابط الشرعيّة التي تحكم قرارات الأطباء وذوي المرضى في هذه الحالات الحرجة.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ربط الفقه الإسلاميّ بالتطوّرات الطبيّة الحديثة، وإظهار سعة الشريعة واستيعابها للنوازل.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الإفادة العلميّة لطلبة الشريعة والطبّ والقانون، ولكلّ من تنزل به هذه النازلة في أهله.</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أسباب اختيار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كثرة وقوع هذه النازلة في أقسام العناية المركّزة، وحيرة كثير من الأسر المسلمة بين إبقاء الأجهزة ونزعها.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الظاهر بين الفقهاء المعاصرين والمجامع الفقهيّة في اعتبار الموت الدماغيّ موتًا شرعيًّا، ورغبتي في تحرير محلّ النزاع فيه.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شيوع الخلط عند الناس بين نزع الأجهزة عن الميت دماغيًّا وبين قتل الرحمة المحرّم، والحاجة إلى بيان الفرق الشرعيّ بينهما.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الرغبة في الجمع بين الجانب الفقهيّ والجانبين الطبيّ والقانونيّ في دراسة واحدة مقارنة.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قلّة الدراسات التي تناولت المسألة من زواياها الثلاث مجتمعة في بيئتنا المحليّة.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أهداف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مفهوم الموت السريريّ والموت الدماغيّ من الناحية الطبيّة، وتأصيل مفهوم الموت في الفقه الإسلاميّ ومقارنته به.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عرض أقوال الفقهاء المعاصرين في حكم نزع الأجهزة الطبيّة ومناقشة أدلّتهم والترجيح بينها.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دراسة قرارات المجامع الفقهيّة والفتاوى المؤيّدة والمعارضة المتعلقة بالمسألة.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الضوابط والشروط الشرعيّة المعتبرة في نزع الأجهزة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إبراز الموقف القانونيّ المقارن (عربيًّا وأجنبيًّا) من نزع الأجهزة الطبيّة عن الميت سريريًّا.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إشكاليّة البحث:</w:t>
      </w:r>
    </w:p>
    <w:p>
      <w:pPr>
        <w:bidi/>
        <w:spacing w:after="160" w:line="360"/>
        <w:jc w:val="both"/>
      </w:pPr>
      <w:r>
        <w:rPr>
          <w:rFonts w:ascii="Simplified Arabic" w:cs="Simplified Arabic" w:eastAsia="Simplified Arabic" w:hAnsi="Simplified Arabic"/>
          <w:b w:val="false"/>
          <w:bCs w:val="false"/>
          <w:sz w:val="28"/>
          <w:szCs w:val="28"/>
          <w:rtl/>
        </w:rPr>
        <w:t xml:space="preserve">تتمحور إشكاليّة البحث حول السؤال الرئيس الآتي: ما الحكم الشرعيّ لنزع الأجهزة الطبيّة عن الميت سريريًّا في ضوء المعطيات الطبيّة المعاصرة وقرارات المجامع الفقهيّة؟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الأسئلة الفرعيّة: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المقصود بالموت السريريّ والموت الدماغيّ من الناحية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كيف عرّف الفقه الإسلاميّ الموت، وما علاماته الشرعيّة؟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هل يُعدّ الموت الدماغيّ موتًا حقيقيًّا يُرتِّب أحكام الوفاة؟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حكم نزع الأجهزة الطبيّة عن الميت سريريًّا عند الفقهاء المعاصرين، وما أدلّة كلّ فريق؟</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الضوابط الشرعيّة التي يجب مراعاتها عند نزع الأجهزة؟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موقف المجامع الفقهيّة والفتاوى والقوانين الوضعيّة من هذه المسألة؟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منهجيّة البحث</w:t>
      </w:r>
    </w:p>
    <w:p>
      <w:pPr>
        <w:bidi/>
        <w:spacing w:after="160" w:line="360"/>
        <w:jc w:val="both"/>
      </w:pPr>
      <w:r>
        <w:rPr>
          <w:rFonts w:ascii="Simplified Arabic" w:cs="Simplified Arabic" w:eastAsia="Simplified Arabic" w:hAnsi="Simplified Arabic"/>
          <w:b w:val="false"/>
          <w:bCs w:val="false"/>
          <w:sz w:val="28"/>
          <w:szCs w:val="28"/>
          <w:rtl/>
        </w:rPr>
        <w:t xml:space="preserve">يعتمد البحث على المنهج الاستقرائيّ التحليليّ المقارن، وذلك من خلال: استقراء النصوص الشرعيّة المتعلقة بحفظ النفس والموت؛ وجمع أقوال الفقهاء المعاصرين وقرارات المجامع الفقهيّة والفتاوى؛ وتحليل المعطيات الطبيّة المتعلقة بالموت السريريّ والموت الدماغيّ؛ والمقارنة بين الآراء الفقهيّة والترجيح بينها وفق القواعد الأصوليّة؛ والاستعانة بالمراجع الطبيّة والقانونيّة فيما يخدم موضوع البحث.</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الفصل الأوّل: تعريفات أساسيّة وتعريفات ذات صلة</w:t>
      </w:r>
    </w:p>
    <w:p>
      <w:pPr>
        <w:bidi/>
        <w:spacing w:after="200" w:line="360"/>
        <w:jc w:val="center"/>
      </w:pPr>
      <w:r>
        <w:rPr>
          <w:rFonts w:ascii="Simplified Arabic" w:cs="Simplified Arabic" w:eastAsia="Simplified Arabic" w:hAnsi="Simplified Arabic"/>
          <w:b/>
          <w:bCs/>
          <w:sz w:val="28"/>
          <w:szCs w:val="28"/>
          <w:rtl/>
        </w:rPr>
        <w:t xml:space="preserve">وفيه مبحثان:</w:t>
      </w:r>
    </w:p>
    <w:p>
      <w:pPr>
        <w:bidi/>
        <w:spacing w:after="200" w:line="360"/>
        <w:jc w:val="center"/>
      </w:pPr>
      <w:r>
        <w:rPr>
          <w:rFonts w:ascii="Simplified Arabic" w:cs="Simplified Arabic" w:eastAsia="Simplified Arabic" w:hAnsi="Simplified Arabic"/>
          <w:b/>
          <w:bCs/>
          <w:sz w:val="28"/>
          <w:szCs w:val="28"/>
          <w:rtl/>
        </w:rPr>
        <w:t xml:space="preserve">المبحث الأوّل: تعريفات أساسيّة.</w:t>
      </w:r>
    </w:p>
    <w:p>
      <w:pPr>
        <w:bidi/>
        <w:spacing w:after="200" w:line="360"/>
        <w:jc w:val="center"/>
      </w:pPr>
      <w:r>
        <w:rPr>
          <w:rFonts w:ascii="Simplified Arabic" w:cs="Simplified Arabic" w:eastAsia="Simplified Arabic" w:hAnsi="Simplified Arabic"/>
          <w:b/>
          <w:bCs/>
          <w:sz w:val="28"/>
          <w:szCs w:val="28"/>
          <w:rtl/>
        </w:rPr>
        <w:t xml:space="preserve">المبحث الثاني: تعريفات ذات صلة.</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الأوّل: تعريفات أساسيّة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الأحكام.</w:t>
      </w:r>
    </w:p>
    <w:p>
      <w:pPr>
        <w:bidi/>
        <w:spacing w:after="120" w:before="160" w:line="360"/>
        <w:jc w:val="right"/>
      </w:pPr>
      <w:r>
        <w:rPr>
          <w:rFonts w:ascii="Simplified Arabic" w:cs="Simplified Arabic" w:eastAsia="Simplified Arabic" w:hAnsi="Simplified Arabic"/>
          <w:b/>
          <w:bCs/>
          <w:sz w:val="28"/>
          <w:szCs w:val="28"/>
          <w:rtl/>
        </w:rPr>
        <w:t xml:space="preserve">الفرع الأوّل: تعريف الحكم لغةً.</w:t>
      </w:r>
    </w:p>
    <w:p>
      <w:pPr>
        <w:bidi/>
        <w:spacing w:after="160" w:line="360"/>
        <w:jc w:val="both"/>
      </w:pPr>
      <w:r>
        <w:rPr>
          <w:rFonts w:ascii="Simplified Arabic" w:cs="Simplified Arabic" w:eastAsia="Simplified Arabic" w:hAnsi="Simplified Arabic"/>
          <w:b w:val="false"/>
          <w:bCs w:val="false"/>
          <w:sz w:val="28"/>
          <w:szCs w:val="28"/>
          <w:rtl/>
        </w:rPr>
        <w:t xml:space="preserve">الحكم في اللغة مصدر حكم يحكم، وأصل المادة يدلّ على المنع، ومنه سمّيت حَكَمة الدابّة لأنها تمنعها، والحُكم: القضاء بالشيء والفصل فيه</w:t>
      </w:r>
      <w:r>
        <w:rPr>
          <w:rStyle w:val="FootnoteReference"/>
        </w:rPr>
        <w:footnoteReference w:id="2"/>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تعريف الحكم اصطلاحًا.</w:t>
      </w:r>
    </w:p>
    <w:p>
      <w:pPr>
        <w:bidi/>
        <w:spacing w:after="160" w:line="360"/>
        <w:jc w:val="both"/>
      </w:pPr>
      <w:r>
        <w:rPr>
          <w:rFonts w:ascii="Simplified Arabic" w:cs="Simplified Arabic" w:eastAsia="Simplified Arabic" w:hAnsi="Simplified Arabic"/>
          <w:b w:val="false"/>
          <w:bCs w:val="false"/>
          <w:sz w:val="28"/>
          <w:szCs w:val="28"/>
          <w:rtl/>
        </w:rPr>
        <w:t xml:space="preserve">الحكم الشرعيّ عند الأصوليّين: خطاب الله تعالى المتعلق بأفعال المكلَّفين بالاقتضاء أو التخيير أو الوضع</w:t>
      </w:r>
      <w:r>
        <w:rPr>
          <w:rStyle w:val="FootnoteReference"/>
        </w:rPr>
        <w:footnoteReference w:id="3"/>
      </w:r>
      <w:r>
        <w:rPr>
          <w:rFonts w:ascii="Simplified Arabic" w:cs="Simplified Arabic" w:eastAsia="Simplified Arabic" w:hAnsi="Simplified Arabic"/>
          <w:b w:val="false"/>
          <w:bCs w:val="false"/>
          <w:sz w:val="28"/>
          <w:szCs w:val="28"/>
          <w:rtl/>
        </w:rPr>
        <w:t xml:space="preserve">، والمراد بالأحكام في عنوان هذا البحث: الأحكام الشرعيّة العمليّة المتعلقة بمسألة نزع الأجهزة الطبيّة.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الفقهيّة.</w:t>
      </w:r>
    </w:p>
    <w:p>
      <w:pPr>
        <w:bidi/>
        <w:spacing w:after="120" w:before="160" w:line="360"/>
        <w:jc w:val="right"/>
      </w:pPr>
      <w:r>
        <w:rPr>
          <w:rFonts w:ascii="Simplified Arabic" w:cs="Simplified Arabic" w:eastAsia="Simplified Arabic" w:hAnsi="Simplified Arabic"/>
          <w:b/>
          <w:bCs/>
          <w:sz w:val="28"/>
          <w:szCs w:val="28"/>
          <w:rtl/>
        </w:rPr>
        <w:t xml:space="preserve">الفرع الأوّل: تعريف الفقه لغةً.</w:t>
      </w:r>
    </w:p>
    <w:p>
      <w:pPr>
        <w:bidi/>
        <w:spacing w:after="160" w:line="360"/>
        <w:jc w:val="both"/>
      </w:pPr>
      <w:r>
        <w:rPr>
          <w:rFonts w:ascii="Simplified Arabic" w:cs="Simplified Arabic" w:eastAsia="Simplified Arabic" w:hAnsi="Simplified Arabic"/>
          <w:b w:val="false"/>
          <w:bCs w:val="false"/>
          <w:sz w:val="28"/>
          <w:szCs w:val="28"/>
          <w:rtl/>
        </w:rPr>
        <w:t xml:space="preserve">الفقه في اللغة: الفهم والعلم بالشيء، قال تعالى: </w:t>
      </w:r>
      <w:r>
        <w:rPr>
          <w:rFonts w:ascii="Simplified Arabic" w:cs="Simplified Arabic" w:eastAsia="Simplified Arabic" w:hAnsi="Simplified Arabic"/>
          <w:b/>
          <w:bCs/>
          <w:sz w:val="28"/>
          <w:szCs w:val="28"/>
          <w:rtl/>
        </w:rPr>
        <w:t xml:space="preserve">﴿قَالُوا يَا شُعَيْبُ مَا نَفْقَهُ كَثِيرًا مِّمَّا تَقُولُ﴾</w:t>
      </w:r>
      <w:r>
        <w:rPr>
          <w:rFonts w:ascii="Simplified Arabic" w:cs="Simplified Arabic" w:eastAsia="Simplified Arabic" w:hAnsi="Simplified Arabic"/>
          <w:b w:val="false"/>
          <w:bCs w:val="false"/>
          <w:sz w:val="28"/>
          <w:szCs w:val="28"/>
          <w:rtl/>
        </w:rPr>
        <w:t xml:space="preserve"> (هود: 91) أي ما نفهم</w:t>
      </w:r>
      <w:r>
        <w:rPr>
          <w:rStyle w:val="FootnoteReference"/>
        </w:rPr>
        <w:footnoteReference w:id="4"/>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تعريف الفقه اصطلاحًا.</w:t>
      </w:r>
    </w:p>
    <w:p>
      <w:pPr>
        <w:bidi/>
        <w:spacing w:after="160" w:line="360"/>
        <w:jc w:val="both"/>
      </w:pPr>
      <w:r>
        <w:rPr>
          <w:rFonts w:ascii="Simplified Arabic" w:cs="Simplified Arabic" w:eastAsia="Simplified Arabic" w:hAnsi="Simplified Arabic"/>
          <w:b w:val="false"/>
          <w:bCs w:val="false"/>
          <w:sz w:val="28"/>
          <w:szCs w:val="28"/>
          <w:rtl/>
        </w:rPr>
        <w:t xml:space="preserve">الفقه اصطلاحًا: العلم بالأحكام الشرعيّة العمليّة المكتسَب من أدلّتها التفصيليّة</w:t>
      </w:r>
      <w:r>
        <w:rPr>
          <w:rStyle w:val="FootnoteReference"/>
        </w:rPr>
        <w:footnoteReference w:id="5"/>
      </w:r>
      <w:r>
        <w:rPr>
          <w:rFonts w:ascii="Simplified Arabic" w:cs="Simplified Arabic" w:eastAsia="Simplified Arabic" w:hAnsi="Simplified Arabic"/>
          <w:b w:val="false"/>
          <w:bCs w:val="false"/>
          <w:sz w:val="28"/>
          <w:szCs w:val="28"/>
          <w:rtl/>
        </w:rPr>
        <w:t xml:space="preserve">، فوصف الأحكام بالفقهيّة يعني أنها أحكام عمليّة مستنبَطة من الأدلّة الشرعيّة.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النزع.</w:t>
      </w:r>
    </w:p>
    <w:p>
      <w:pPr>
        <w:bidi/>
        <w:spacing w:after="120" w:before="160" w:line="360"/>
        <w:jc w:val="right"/>
      </w:pPr>
      <w:r>
        <w:rPr>
          <w:rFonts w:ascii="Simplified Arabic" w:cs="Simplified Arabic" w:eastAsia="Simplified Arabic" w:hAnsi="Simplified Arabic"/>
          <w:b/>
          <w:bCs/>
          <w:sz w:val="28"/>
          <w:szCs w:val="28"/>
          <w:rtl/>
        </w:rPr>
        <w:t xml:space="preserve">الفرع الأوّل: تعريف النزع لغةً.</w:t>
      </w:r>
    </w:p>
    <w:p>
      <w:pPr>
        <w:bidi/>
        <w:spacing w:after="160" w:line="360"/>
        <w:jc w:val="both"/>
      </w:pPr>
      <w:r>
        <w:rPr>
          <w:rFonts w:ascii="Simplified Arabic" w:cs="Simplified Arabic" w:eastAsia="Simplified Arabic" w:hAnsi="Simplified Arabic"/>
          <w:b w:val="false"/>
          <w:bCs w:val="false"/>
          <w:sz w:val="28"/>
          <w:szCs w:val="28"/>
          <w:rtl/>
        </w:rPr>
        <w:t xml:space="preserve">النزع في اللغة: اقتلاع الشيء من مكانه وجذبه، يقال: نزع الشيء ينزِعه نزعًا إذا قلعه</w:t>
      </w:r>
      <w:r>
        <w:rPr>
          <w:rStyle w:val="FootnoteReference"/>
        </w:rPr>
        <w:footnoteReference w:id="6"/>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تعريف النزع اصطلاحًا.</w:t>
      </w:r>
    </w:p>
    <w:p>
      <w:pPr>
        <w:bidi/>
        <w:spacing w:after="160" w:line="360"/>
        <w:jc w:val="both"/>
      </w:pPr>
      <w:r>
        <w:rPr>
          <w:rFonts w:ascii="Simplified Arabic" w:cs="Simplified Arabic" w:eastAsia="Simplified Arabic" w:hAnsi="Simplified Arabic"/>
          <w:b w:val="false"/>
          <w:bCs w:val="false"/>
          <w:sz w:val="28"/>
          <w:szCs w:val="28"/>
          <w:rtl/>
        </w:rPr>
        <w:t xml:space="preserve">المراد بنزع الأجهزة في هذا البحث: إيقاف عمل أجهزة الدعم الحيويّ المركّبة على المريض وفصلها عن جسده، سواء أكان ذلك بإطفائها أم بسحب وصلاتها</w:t>
      </w:r>
      <w:r>
        <w:rPr>
          <w:rStyle w:val="FootnoteReference"/>
        </w:rPr>
        <w:footnoteReference w:id="7"/>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الرابع: الأجهزة الطبيّة.</w:t>
      </w:r>
    </w:p>
    <w:p>
      <w:pPr>
        <w:bidi/>
        <w:spacing w:after="120" w:before="160" w:line="360"/>
        <w:jc w:val="right"/>
      </w:pPr>
      <w:r>
        <w:rPr>
          <w:rFonts w:ascii="Simplified Arabic" w:cs="Simplified Arabic" w:eastAsia="Simplified Arabic" w:hAnsi="Simplified Arabic"/>
          <w:b/>
          <w:bCs/>
          <w:sz w:val="28"/>
          <w:szCs w:val="28"/>
          <w:rtl/>
        </w:rPr>
        <w:t xml:space="preserve">الفرع الأوّل: تعريف الجهاز لغةً.</w:t>
      </w:r>
    </w:p>
    <w:p>
      <w:pPr>
        <w:bidi/>
        <w:spacing w:after="160" w:line="360"/>
        <w:jc w:val="both"/>
      </w:pPr>
      <w:r>
        <w:rPr>
          <w:rFonts w:ascii="Simplified Arabic" w:cs="Simplified Arabic" w:eastAsia="Simplified Arabic" w:hAnsi="Simplified Arabic"/>
          <w:b w:val="false"/>
          <w:bCs w:val="false"/>
          <w:sz w:val="28"/>
          <w:szCs w:val="28"/>
          <w:rtl/>
        </w:rPr>
        <w:t xml:space="preserve">الجهاز في اللغة: ما يُحتاج إليه من عُدّة وأدوات، ومنه جهاز العروس وجهاز الميت وجهاز المسافر، أي ما يحتاجون إليه</w:t>
      </w:r>
      <w:r>
        <w:rPr>
          <w:rStyle w:val="FootnoteReference"/>
        </w:rPr>
        <w:footnoteReference w:id="8"/>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تعريف الأجهزة الطبيّة طبًّا.</w:t>
      </w:r>
    </w:p>
    <w:p>
      <w:pPr>
        <w:bidi/>
        <w:spacing w:after="160" w:line="360"/>
        <w:jc w:val="both"/>
      </w:pPr>
      <w:r>
        <w:rPr>
          <w:rFonts w:ascii="Simplified Arabic" w:cs="Simplified Arabic" w:eastAsia="Simplified Arabic" w:hAnsi="Simplified Arabic"/>
          <w:b w:val="false"/>
          <w:bCs w:val="false"/>
          <w:sz w:val="28"/>
          <w:szCs w:val="28"/>
          <w:rtl/>
        </w:rPr>
        <w:t xml:space="preserve">الأجهزة الطبيّة: كلّ آلة أو أداة تُستخدم في تشخيص الأمراض أو علاجها أو تخفيفها أو دعم وظائف الجسم، والمقصود منها في هذا البحث خصوصًا أجهزة الإنعاش الصناعيّ التي تتولّى القيام بوظيفة حيويّة عجز عنها عضو من أعضاء المريض قيامًا آليًّا مؤقتًا</w:t>
      </w:r>
      <w:r>
        <w:rPr>
          <w:rStyle w:val="FootnoteReference"/>
        </w:rPr>
        <w:footnoteReference w:id="9"/>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الخامس: الميت.</w:t>
      </w:r>
    </w:p>
    <w:p>
      <w:pPr>
        <w:bidi/>
        <w:spacing w:after="120" w:before="160" w:line="360"/>
        <w:jc w:val="right"/>
      </w:pPr>
      <w:r>
        <w:rPr>
          <w:rFonts w:ascii="Simplified Arabic" w:cs="Simplified Arabic" w:eastAsia="Simplified Arabic" w:hAnsi="Simplified Arabic"/>
          <w:b/>
          <w:bCs/>
          <w:sz w:val="28"/>
          <w:szCs w:val="28"/>
          <w:rtl/>
        </w:rPr>
        <w:t xml:space="preserve">الفرع الأوّل: تعريف الموت لغةً.</w:t>
      </w:r>
    </w:p>
    <w:p>
      <w:pPr>
        <w:bidi/>
        <w:spacing w:after="160" w:line="360"/>
        <w:jc w:val="both"/>
      </w:pPr>
      <w:r>
        <w:rPr>
          <w:rFonts w:ascii="Simplified Arabic" w:cs="Simplified Arabic" w:eastAsia="Simplified Arabic" w:hAnsi="Simplified Arabic"/>
          <w:b w:val="false"/>
          <w:bCs w:val="false"/>
          <w:sz w:val="28"/>
          <w:szCs w:val="28"/>
          <w:rtl/>
        </w:rPr>
        <w:t xml:space="preserve">الموت في اللغة ضدّ الحياة، يقال: مات يموت موتًا فهو ميْت وميِّت، والجمع أموات وموتى، ويطلق الموت في اللغة أيضًا على السكون وذهاب القوّة، فيقال: ماتت الريح إذا سكنت</w:t>
      </w:r>
      <w:r>
        <w:rPr>
          <w:rStyle w:val="FootnoteReference"/>
        </w:rPr>
        <w:footnoteReference w:id="10"/>
      </w:r>
      <w:r>
        <w:rPr>
          <w:rFonts w:ascii="Simplified Arabic" w:cs="Simplified Arabic" w:eastAsia="Simplified Arabic" w:hAnsi="Simplified Arabic"/>
          <w:b w:val="false"/>
          <w:bCs w:val="false"/>
          <w:sz w:val="28"/>
          <w:szCs w:val="28"/>
          <w:rtl/>
        </w:rPr>
        <w:t xml:space="preserve">، وعرّفه الفيروزآباديّ بأنه ضدّ الحياة وذهابها</w:t>
      </w:r>
      <w:r>
        <w:rPr>
          <w:rStyle w:val="FootnoteReference"/>
        </w:rPr>
        <w:footnoteReference w:id="11"/>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تعريف الموت اصطلاحًا (شرعًا).</w:t>
      </w:r>
    </w:p>
    <w:p>
      <w:pPr>
        <w:bidi/>
        <w:spacing w:after="160" w:line="360"/>
        <w:jc w:val="both"/>
      </w:pPr>
      <w:r>
        <w:rPr>
          <w:rFonts w:ascii="Simplified Arabic" w:cs="Simplified Arabic" w:eastAsia="Simplified Arabic" w:hAnsi="Simplified Arabic"/>
          <w:b w:val="false"/>
          <w:bCs w:val="false"/>
          <w:sz w:val="28"/>
          <w:szCs w:val="28"/>
          <w:rtl/>
        </w:rPr>
        <w:t xml:space="preserve">المشهور عند الفقهاء أنّ الموت هو مفارقة الروح للبدن وانقطاع تعلّقها به انقطاعًا كليًّا، وهو حقيقة غيبيّة لا تُدرك بذاتها، وإنما تُدرك بعلاماتها وآثارها الظاهرة على البدن</w:t>
      </w:r>
      <w:r>
        <w:rPr>
          <w:rStyle w:val="FootnoteReference"/>
        </w:rPr>
        <w:footnoteReference w:id="12"/>
      </w:r>
      <w:r>
        <w:rPr>
          <w:rFonts w:ascii="Simplified Arabic" w:cs="Simplified Arabic" w:eastAsia="Simplified Arabic" w:hAnsi="Simplified Arabic"/>
          <w:b w:val="false"/>
          <w:bCs w:val="false"/>
          <w:sz w:val="28"/>
          <w:szCs w:val="28"/>
          <w:rtl/>
        </w:rPr>
        <w:t xml:space="preserve">. قال الله تعالى: </w:t>
      </w:r>
      <w:r>
        <w:rPr>
          <w:rFonts w:ascii="Simplified Arabic" w:cs="Simplified Arabic" w:eastAsia="Simplified Arabic" w:hAnsi="Simplified Arabic"/>
          <w:b/>
          <w:bCs/>
          <w:sz w:val="28"/>
          <w:szCs w:val="28"/>
          <w:rtl/>
        </w:rPr>
        <w:t xml:space="preserve">﴿اللَّهُ يَتَوَفَّى الْأَنفُسَ حِينَ مَوْتِهَا﴾</w:t>
      </w:r>
      <w:r>
        <w:rPr>
          <w:rFonts w:ascii="Simplified Arabic" w:cs="Simplified Arabic" w:eastAsia="Simplified Arabic" w:hAnsi="Simplified Arabic"/>
          <w:b w:val="false"/>
          <w:bCs w:val="false"/>
          <w:sz w:val="28"/>
          <w:szCs w:val="28"/>
          <w:rtl/>
        </w:rPr>
        <w:t xml:space="preserve"> (الزمر: 42)، وقال سبحانه: </w:t>
      </w:r>
      <w:r>
        <w:rPr>
          <w:rFonts w:ascii="Simplified Arabic" w:cs="Simplified Arabic" w:eastAsia="Simplified Arabic" w:hAnsi="Simplified Arabic"/>
          <w:b/>
          <w:bCs/>
          <w:sz w:val="28"/>
          <w:szCs w:val="28"/>
          <w:rtl/>
        </w:rPr>
        <w:t xml:space="preserve">﴿كُلُّ نَفْسٍ ذَائِقَةُ الْمَوْتِ﴾</w:t>
      </w:r>
      <w:r>
        <w:rPr>
          <w:rFonts w:ascii="Simplified Arabic" w:cs="Simplified Arabic" w:eastAsia="Simplified Arabic" w:hAnsi="Simplified Arabic"/>
          <w:b w:val="false"/>
          <w:bCs w:val="false"/>
          <w:sz w:val="28"/>
          <w:szCs w:val="28"/>
          <w:rtl/>
        </w:rPr>
        <w:t xml:space="preserve"> (آل عمران: 185).</w:t>
      </w:r>
    </w:p>
    <w:p>
      <w:pPr>
        <w:bidi/>
        <w:spacing w:after="120" w:before="160" w:line="360"/>
        <w:jc w:val="right"/>
      </w:pPr>
      <w:r>
        <w:rPr>
          <w:rFonts w:ascii="Simplified Arabic" w:cs="Simplified Arabic" w:eastAsia="Simplified Arabic" w:hAnsi="Simplified Arabic"/>
          <w:b/>
          <w:bCs/>
          <w:sz w:val="28"/>
          <w:szCs w:val="28"/>
          <w:rtl/>
        </w:rPr>
        <w:t xml:space="preserve">الفرع الثالث: تعريف الموت طبًّا.</w:t>
      </w:r>
    </w:p>
    <w:p>
      <w:pPr>
        <w:bidi/>
        <w:spacing w:after="160" w:line="360"/>
        <w:jc w:val="both"/>
      </w:pPr>
      <w:r>
        <w:rPr>
          <w:rFonts w:ascii="Simplified Arabic" w:cs="Simplified Arabic" w:eastAsia="Simplified Arabic" w:hAnsi="Simplified Arabic"/>
          <w:b w:val="false"/>
          <w:bCs w:val="false"/>
          <w:sz w:val="28"/>
          <w:szCs w:val="28"/>
          <w:rtl/>
        </w:rPr>
        <w:t xml:space="preserve">عرّف الأطباء الموت بأنه التوقف النهائيّ الذي لا رجعة فيه لوظائف الأعضاء الحيويّة الثلاثة: الدماغ والقلب والرئتين، وهي ما يسمّى عندهم بالمثلث الحيويّ</w:t>
      </w:r>
      <w:r>
        <w:rPr>
          <w:rStyle w:val="FootnoteReference"/>
        </w:rPr>
        <w:footnoteReference w:id="13"/>
      </w:r>
      <w:r>
        <w:rPr>
          <w:rFonts w:ascii="Simplified Arabic" w:cs="Simplified Arabic" w:eastAsia="Simplified Arabic" w:hAnsi="Simplified Arabic"/>
          <w:b w:val="false"/>
          <w:bCs w:val="false"/>
          <w:sz w:val="28"/>
          <w:szCs w:val="28"/>
          <w:rtl/>
        </w:rPr>
        <w:t xml:space="preserve">. غير أنّ التطوّر الطبيّ الحديث فكّ الترابط الزمنيّ بين الأعضاء الثلاثة، فقد يتوقف الدماغ كليًّا ويبقى القلب نابضًا بفعل أجهزة الإنعاش، وهنا نشأت الحاجة إلى إعادة تحديد لحظة الموت</w:t>
      </w:r>
      <w:r>
        <w:rPr>
          <w:rStyle w:val="FootnoteReference"/>
        </w:rPr>
        <w:footnoteReference w:id="14"/>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السادس: سريريًّا.</w:t>
      </w:r>
    </w:p>
    <w:p>
      <w:pPr>
        <w:bidi/>
        <w:spacing w:after="120" w:before="160" w:line="360"/>
        <w:jc w:val="right"/>
      </w:pPr>
      <w:r>
        <w:rPr>
          <w:rFonts w:ascii="Simplified Arabic" w:cs="Simplified Arabic" w:eastAsia="Simplified Arabic" w:hAnsi="Simplified Arabic"/>
          <w:b/>
          <w:bCs/>
          <w:sz w:val="28"/>
          <w:szCs w:val="28"/>
          <w:rtl/>
        </w:rPr>
        <w:t xml:space="preserve">الفرع الأوّل: تعريف السرير لغةً.</w:t>
      </w:r>
    </w:p>
    <w:p>
      <w:pPr>
        <w:bidi/>
        <w:spacing w:after="160" w:line="360"/>
        <w:jc w:val="both"/>
      </w:pPr>
      <w:r>
        <w:rPr>
          <w:rFonts w:ascii="Simplified Arabic" w:cs="Simplified Arabic" w:eastAsia="Simplified Arabic" w:hAnsi="Simplified Arabic"/>
          <w:b w:val="false"/>
          <w:bCs w:val="false"/>
          <w:sz w:val="28"/>
          <w:szCs w:val="28"/>
          <w:rtl/>
        </w:rPr>
        <w:t xml:space="preserve">السرير في اللغة: المضجع الذي يُنام عليه، والجمع أسِرّة وسُرُر</w:t>
      </w:r>
      <w:r>
        <w:rPr>
          <w:rStyle w:val="FootnoteReference"/>
        </w:rPr>
        <w:footnoteReference w:id="15"/>
      </w:r>
      <w:r>
        <w:rPr>
          <w:rFonts w:ascii="Simplified Arabic" w:cs="Simplified Arabic" w:eastAsia="Simplified Arabic" w:hAnsi="Simplified Arabic"/>
          <w:b w:val="false"/>
          <w:bCs w:val="false"/>
          <w:sz w:val="28"/>
          <w:szCs w:val="28"/>
          <w:rtl/>
        </w:rPr>
        <w:t xml:space="preserve">، والنسبة إليه "سريريّ"، ومنه الطبّ السريريّ، وهو الممارَس عند سرير المريض بالفحص والمشاهدة المباشرة.</w:t>
      </w:r>
    </w:p>
    <w:p>
      <w:pPr>
        <w:bidi/>
        <w:spacing w:after="120" w:before="160" w:line="360"/>
        <w:jc w:val="right"/>
      </w:pPr>
      <w:r>
        <w:rPr>
          <w:rFonts w:ascii="Simplified Arabic" w:cs="Simplified Arabic" w:eastAsia="Simplified Arabic" w:hAnsi="Simplified Arabic"/>
          <w:b/>
          <w:bCs/>
          <w:sz w:val="28"/>
          <w:szCs w:val="28"/>
          <w:rtl/>
        </w:rPr>
        <w:t xml:space="preserve">الفرع الثاني: تعريف الموت السريريّ طبًّا.</w:t>
      </w:r>
    </w:p>
    <w:p>
      <w:pPr>
        <w:bidi/>
        <w:spacing w:after="160" w:line="360"/>
        <w:jc w:val="both"/>
      </w:pPr>
      <w:r>
        <w:rPr>
          <w:rFonts w:ascii="Simplified Arabic" w:cs="Simplified Arabic" w:eastAsia="Simplified Arabic" w:hAnsi="Simplified Arabic"/>
          <w:b w:val="false"/>
          <w:bCs w:val="false"/>
          <w:sz w:val="28"/>
          <w:szCs w:val="28"/>
          <w:rtl/>
        </w:rPr>
        <w:t xml:space="preserve">الموت السريريّ (الإكلينيكيّ) في الاصطلاح الطبيّ الدقيق: توقف القلب والتنفّس والدورة الدمويّة توقفًا ظاهريًّا، مع بقاء خلايا الدماغ حيّة مدّة قصيرة لا تتجاوز دقائق معدودة، يمكن خلالها إعادة المريض إلى الحياة بوسائل الإنعاش القلبيّ الرئويّ، فهو حالة قابلة للعكس إذا أُدركت في وقتها</w:t>
      </w:r>
      <w:r>
        <w:rPr>
          <w:rStyle w:val="FootnoteReference"/>
        </w:rPr>
        <w:footnoteReference w:id="16"/>
      </w:r>
      <w:r>
        <w:rPr>
          <w:rFonts w:ascii="Simplified Arabic" w:cs="Simplified Arabic" w:eastAsia="Simplified Arabic" w:hAnsi="Simplified Arabic"/>
          <w:b w:val="false"/>
          <w:bCs w:val="false"/>
          <w:sz w:val="28"/>
          <w:szCs w:val="28"/>
          <w:rtl/>
        </w:rPr>
        <w:t xml:space="preserve">. أمّا في الاستعمال الفقهيّ المعاصر فقد جرى الباحثون على إطلاق "الميت سريريًّا" على من تعطّل دماغه تعطّلًا نهائيًّا وقلبُه نابض بالأجهزة، وهو بالاصطلاح الطبيّ الدقيق "ميت دماغيًّا"</w:t>
      </w:r>
      <w:r>
        <w:rPr>
          <w:rStyle w:val="FootnoteReference"/>
        </w:rPr>
        <w:footnoteReference w:id="17"/>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السابع: التعريف المركّب "نزع الأجهزة الطبيّة عن الميت سريريًّا".</w:t>
      </w:r>
    </w:p>
    <w:p>
      <w:pPr>
        <w:bidi/>
        <w:spacing w:after="160" w:line="360"/>
        <w:jc w:val="both"/>
      </w:pPr>
      <w:r>
        <w:rPr>
          <w:rFonts w:ascii="Simplified Arabic" w:cs="Simplified Arabic" w:eastAsia="Simplified Arabic" w:hAnsi="Simplified Arabic"/>
          <w:b w:val="false"/>
          <w:bCs w:val="false"/>
          <w:sz w:val="28"/>
          <w:szCs w:val="28"/>
          <w:rtl/>
        </w:rPr>
        <w:t xml:space="preserve">بناءً على ما تقدّم، فالمقصود بعنوان البحث: إيقافُ أجهزة الدعم الحيويّ وفصلُها عن المريض الذي ثبت طبيًّا التوقفُ النهائيّ الذي لا رجعة فيه لجميع وظائف دماغه بما فيها جذع الدماغ، مع بقاء قلبه وتنفّسه عاملَين آليًّا بفعل الأجهزة، وبيانُ الأحكام الشرعيّة المتعلقة بهذا الفعل.</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الثاني: تعريفات ذات صلة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هو التوقف الكامل الذي لا رجعة فيه لجميع وظائف الدماغ، بما في ذلك جذع الدماغ الذي يتحكم في التنفّس والوعي والمنعكسات الحيويّة، مع إمكان بقاء القلب نابضًا مدّةً بفعل أجهزة الإنعاش؛ لأنّ للقلب منظّمًا كهربائيًّا ذاتيًّا لا يفتقر في أصل نبضه إلى أمر الدماغ، وإنما يفتقر إلى الأكسجين الذي توفّره المنفسة</w:t>
      </w:r>
      <w:r>
        <w:rPr>
          <w:rStyle w:val="FootnoteReference"/>
        </w:rPr>
        <w:footnoteReference w:id="18"/>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الإنعاش القلبيّ الرئويّ.</w:t>
      </w:r>
    </w:p>
    <w:p>
      <w:pPr>
        <w:bidi/>
        <w:spacing w:after="160" w:line="360"/>
        <w:jc w:val="both"/>
      </w:pPr>
      <w:r>
        <w:rPr>
          <w:rFonts w:ascii="Simplified Arabic" w:cs="Simplified Arabic" w:eastAsia="Simplified Arabic" w:hAnsi="Simplified Arabic"/>
          <w:b w:val="false"/>
          <w:bCs w:val="false"/>
          <w:sz w:val="28"/>
          <w:szCs w:val="28"/>
          <w:rtl/>
        </w:rPr>
        <w:t xml:space="preserve">مجموعة إجراءات إسعافيّة تُتّخذ عند توقف القلب والتنفّس، من ضغطات الصدر والتنفّس الاصطناعيّ والصدمات الكهربائيّة، بغرض إعادة الدورة الدمويّة والتنفّس قبل تموّت خلايا الدماغ</w:t>
      </w:r>
      <w:r>
        <w:rPr>
          <w:rStyle w:val="FootnoteReference"/>
        </w:rPr>
        <w:footnoteReference w:id="19"/>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أجهزة الإنعاش الصناعيّ.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جهاز التنفّس الاصطناعيّ (المنفسة): </w:t>
      </w:r>
      <w:r>
        <w:rPr>
          <w:rFonts w:ascii="Simplified Arabic" w:cs="Simplified Arabic" w:eastAsia="Simplified Arabic" w:hAnsi="Simplified Arabic"/>
          <w:b w:val="false"/>
          <w:bCs w:val="false"/>
          <w:sz w:val="28"/>
          <w:szCs w:val="28"/>
          <w:rtl/>
        </w:rPr>
        <w:t xml:space="preserve">يدفع الهواء المؤكسج إلى رئتَي المريض ويخرجه منهما آليًّا وفق معدّل مضبوط، فيغني عن حركة التنفّس التلقائيّة التي يتحكم بها جذع الدماغ.</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أجهزة دعم القلب والدورة الدمويّة: </w:t>
      </w:r>
      <w:r>
        <w:rPr>
          <w:rFonts w:ascii="Simplified Arabic" w:cs="Simplified Arabic" w:eastAsia="Simplified Arabic" w:hAnsi="Simplified Arabic"/>
          <w:b w:val="false"/>
          <w:bCs w:val="false"/>
          <w:sz w:val="28"/>
          <w:szCs w:val="28"/>
          <w:rtl/>
        </w:rPr>
        <w:t xml:space="preserve">كأجهزة الصدمات الكهربائيّة، ومنظّمات ضربات القلب، والعقاقير الرافعة للضغط التي تُعطى عبر المضخّات.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جهاز الأكسجة الغشائيّة خارج الجسم (الإكمو): </w:t>
      </w:r>
      <w:r>
        <w:rPr>
          <w:rFonts w:ascii="Simplified Arabic" w:cs="Simplified Arabic" w:eastAsia="Simplified Arabic" w:hAnsi="Simplified Arabic"/>
          <w:b w:val="false"/>
          <w:bCs w:val="false"/>
          <w:sz w:val="28"/>
          <w:szCs w:val="28"/>
          <w:rtl/>
        </w:rPr>
        <w:t xml:space="preserve">يتولى ضخّ الدم وأكسجته خارج الجسم عند فشل القلب والرئتين معًا.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أجهزة التغذية والإماهة الاصطناعيّة: </w:t>
      </w:r>
      <w:r>
        <w:rPr>
          <w:rFonts w:ascii="Simplified Arabic" w:cs="Simplified Arabic" w:eastAsia="Simplified Arabic" w:hAnsi="Simplified Arabic"/>
          <w:b w:val="false"/>
          <w:bCs w:val="false"/>
          <w:sz w:val="28"/>
          <w:szCs w:val="28"/>
          <w:rtl/>
        </w:rPr>
        <w:t xml:space="preserve">كالأنابيب الأنفيّة المعِديّة والمحاليل الوريديّة.</w:t>
      </w:r>
      <w:r>
        <w:rPr>
          <w:rStyle w:val="FootnoteReference"/>
        </w:rPr>
        <w:footnoteReference w:id="20"/>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الرابع: الحالة النباتيّة (الغيبوبة المستديمة).</w:t>
      </w:r>
    </w:p>
    <w:p>
      <w:pPr>
        <w:bidi/>
        <w:spacing w:after="160" w:line="360"/>
        <w:jc w:val="both"/>
      </w:pPr>
      <w:r>
        <w:rPr>
          <w:rFonts w:ascii="Simplified Arabic" w:cs="Simplified Arabic" w:eastAsia="Simplified Arabic" w:hAnsi="Simplified Arabic"/>
          <w:b w:val="false"/>
          <w:bCs w:val="false"/>
          <w:sz w:val="28"/>
          <w:szCs w:val="28"/>
          <w:rtl/>
        </w:rPr>
        <w:t xml:space="preserve">حالة يفقد فيها المريض الوعي والإدراك مع سلامة جذع الدماغ، فيتنفّس غالبًا من تلقاء نفسه وتستمر دورته الدمويّة بلا أجهزة، وقد يستيقظ بعد مدّة طويلة. وصاحب هذه الحالة حيّ بلا خلاف بين الفقهاء والأطباء، ولا يجوز الخلط بينه وبين الميت دماغيًّا بحال</w:t>
      </w:r>
      <w:r>
        <w:rPr>
          <w:rStyle w:val="FootnoteReference"/>
        </w:rPr>
        <w:footnoteReference w:id="21"/>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الخامس: الاحتضار.</w:t>
      </w:r>
    </w:p>
    <w:p>
      <w:pPr>
        <w:bidi/>
        <w:spacing w:after="160" w:line="360"/>
        <w:jc w:val="both"/>
      </w:pPr>
      <w:r>
        <w:rPr>
          <w:rFonts w:ascii="Simplified Arabic" w:cs="Simplified Arabic" w:eastAsia="Simplified Arabic" w:hAnsi="Simplified Arabic"/>
          <w:b w:val="false"/>
          <w:bCs w:val="false"/>
          <w:sz w:val="28"/>
          <w:szCs w:val="28"/>
          <w:rtl/>
        </w:rPr>
        <w:t xml:space="preserve">الاحتضار: حالة من حضره الموت وقامت به أسبابه وظهرت عليه علاماته، وقد رتّب الفقهاء على هذه الحالة أحكامًا كتوجيه المحتضَر إلى القبلة وتلقينه الشهادة، وفرّقوا في الجنايات بين من فيه حياة مستقرّة ومن انتهى إلى حركة المذبوح</w:t>
      </w:r>
      <w:r>
        <w:rPr>
          <w:rStyle w:val="FootnoteReference"/>
        </w:rPr>
        <w:footnoteReference w:id="22"/>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السادس: موت الرحمة (القتل الرحيم).</w:t>
      </w:r>
    </w:p>
    <w:p>
      <w:pPr>
        <w:bidi/>
        <w:spacing w:after="160" w:line="360"/>
        <w:jc w:val="both"/>
      </w:pPr>
      <w:r>
        <w:rPr>
          <w:rFonts w:ascii="Simplified Arabic" w:cs="Simplified Arabic" w:eastAsia="Simplified Arabic" w:hAnsi="Simplified Arabic"/>
          <w:b w:val="false"/>
          <w:bCs w:val="false"/>
          <w:sz w:val="28"/>
          <w:szCs w:val="28"/>
          <w:rtl/>
        </w:rPr>
        <w:t xml:space="preserve">هو تعمّد إنهاء حياة المريض الميؤوس من شفائه بدافع الشفقة، إمّا بفعل إيجابيّ كحقنه بمادّة قاتلة، وإمّا بناءً على طلبه، وهو محرّم في الشريعة الإسلاميّة بالإجماع؛ لأنه إزهاق لنفس معصومة</w:t>
      </w:r>
      <w:r>
        <w:rPr>
          <w:rStyle w:val="FootnoteReference"/>
        </w:rPr>
        <w:footnoteReference w:id="23"/>
      </w:r>
      <w:r>
        <w:rPr>
          <w:rFonts w:ascii="Simplified Arabic" w:cs="Simplified Arabic" w:eastAsia="Simplified Arabic" w:hAnsi="Simplified Arabic"/>
          <w:b w:val="false"/>
          <w:bCs w:val="false"/>
          <w:sz w:val="28"/>
          <w:szCs w:val="28"/>
          <w:rtl/>
        </w:rPr>
        <w:t xml:space="preserve">. وسيأتي بيان الفرق الجوهريّ بينه وبين مسألة بحثنا.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السابع: العناية المركّزة.</w:t>
      </w:r>
    </w:p>
    <w:p>
      <w:pPr>
        <w:bidi/>
        <w:spacing w:after="160" w:line="360"/>
        <w:jc w:val="both"/>
      </w:pPr>
      <w:r>
        <w:rPr>
          <w:rFonts w:ascii="Simplified Arabic" w:cs="Simplified Arabic" w:eastAsia="Simplified Arabic" w:hAnsi="Simplified Arabic"/>
          <w:b w:val="false"/>
          <w:bCs w:val="false"/>
          <w:sz w:val="28"/>
          <w:szCs w:val="28"/>
          <w:rtl/>
        </w:rPr>
        <w:t xml:space="preserve">قسم في المستشفى مجهَّز بأجهزة المراقبة والدعم الحيويّ وطواقم متخصّصة، تُدار فيه حالات المرضى الحرجة التي تحتاج إلى مراقبة لصيقة ودعم لوظيفة أو أكثر من الوظائف الحيويّة.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الثامن: زراعة الأعضاء.</w:t>
      </w:r>
    </w:p>
    <w:p>
      <w:pPr>
        <w:bidi/>
        <w:spacing w:after="160" w:line="360"/>
        <w:jc w:val="both"/>
      </w:pPr>
      <w:r>
        <w:rPr>
          <w:rFonts w:ascii="Simplified Arabic" w:cs="Simplified Arabic" w:eastAsia="Simplified Arabic" w:hAnsi="Simplified Arabic"/>
          <w:b w:val="false"/>
          <w:bCs w:val="false"/>
          <w:sz w:val="28"/>
          <w:szCs w:val="28"/>
          <w:rtl/>
        </w:rPr>
        <w:t xml:space="preserve">نقل عضو سليم من جسد متبرّع حيّ أو ميت إلى جسد مريض تعطّل عضوه المماثل، وتتعلق بمسألتنا لأنّ أكثر أعضاء الموتى الصالحة للزرع إنما تؤخذ من الموتى دماغيًّا قبل توقف الدورة الدمويّة</w:t>
      </w:r>
      <w:r>
        <w:rPr>
          <w:rStyle w:val="FootnoteReference"/>
        </w:rPr>
        <w:footnoteReference w:id="24"/>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ظهر لي من هذا الفصل أنّ نصف الخلاف في مسألتنا خلاف اصطلاحيّ لا حقيقيّ؛ فمن الناس من يسمع "الميت سريريًّا" فيتصوّر صاحب الغيبوبة الذي قد يستيقظ، ومنهم من يتصوّر الميت دماغيًّا الذي لا رجعة له، والحكم يختلف باختلاف الصورتين اختلافًا جذريًّا. ولهذا كان ضبط المصطلحات أوّل واجبات الباحث في هذه النازلة.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الفصل الثاني (التمهيديّ): نشأة المسألة وتاريخها وربطها بالشرائع السماويّة والتشريعات الوضعيّة القديمة</w:t>
      </w:r>
    </w:p>
    <w:p>
      <w:pPr>
        <w:bidi/>
        <w:spacing w:after="200" w:line="360"/>
        <w:jc w:val="center"/>
      </w:pPr>
      <w:r>
        <w:rPr>
          <w:rFonts w:ascii="Simplified Arabic" w:cs="Simplified Arabic" w:eastAsia="Simplified Arabic" w:hAnsi="Simplified Arabic"/>
          <w:b/>
          <w:bCs/>
          <w:sz w:val="28"/>
          <w:szCs w:val="28"/>
          <w:rtl/>
        </w:rPr>
        <w:t xml:space="preserve">وفيه مبحثان:</w:t>
      </w:r>
    </w:p>
    <w:p>
      <w:pPr>
        <w:bidi/>
        <w:spacing w:after="200" w:line="360"/>
        <w:jc w:val="center"/>
      </w:pPr>
      <w:r>
        <w:rPr>
          <w:rFonts w:ascii="Simplified Arabic" w:cs="Simplified Arabic" w:eastAsia="Simplified Arabic" w:hAnsi="Simplified Arabic"/>
          <w:b/>
          <w:bCs/>
          <w:sz w:val="28"/>
          <w:szCs w:val="28"/>
          <w:rtl/>
        </w:rPr>
        <w:t xml:space="preserve">المبحث الأوّل: تاريخ ظهور المسألة.</w:t>
      </w:r>
    </w:p>
    <w:p>
      <w:pPr>
        <w:bidi/>
        <w:spacing w:after="200" w:line="360"/>
        <w:jc w:val="center"/>
      </w:pPr>
      <w:r>
        <w:rPr>
          <w:rFonts w:ascii="Simplified Arabic" w:cs="Simplified Arabic" w:eastAsia="Simplified Arabic" w:hAnsi="Simplified Arabic"/>
          <w:b/>
          <w:bCs/>
          <w:sz w:val="28"/>
          <w:szCs w:val="28"/>
          <w:rtl/>
        </w:rPr>
        <w:t xml:space="preserve">المبحث الثاني: الموت وأحكامه في الشرائع السماويّة والتشريعات الوضعيّة القديمة.</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الأوّل: تاريخ ظهور المسألة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الموت وعلاماته قبل ظهور أجهزة الإنعاش.</w:t>
      </w:r>
    </w:p>
    <w:p>
      <w:pPr>
        <w:bidi/>
        <w:spacing w:after="160" w:line="360"/>
        <w:jc w:val="both"/>
      </w:pPr>
      <w:r>
        <w:rPr>
          <w:rFonts w:ascii="Simplified Arabic" w:cs="Simplified Arabic" w:eastAsia="Simplified Arabic" w:hAnsi="Simplified Arabic"/>
          <w:b w:val="false"/>
          <w:bCs w:val="false"/>
          <w:sz w:val="28"/>
          <w:szCs w:val="28"/>
          <w:rtl/>
        </w:rPr>
        <w:t xml:space="preserve">قبل ظهور أجهزة الإنعاش كان الموت حادثة واحدة متزامنة: يتوقف التنفّس فيتوقف القلب فيموت الدماغ خلال دقائق، ولذلك اكتفى الفقهاء المتقدّمون بعلامات ظاهرة ذكروها في كتب الجنائز، منها: انقطاع النفَس، واسترخاء القدمين، وانفصال الكفّين، وميل الأنف، وامتداد جلدة الوجه، وانخساف الصدغين</w:t>
      </w:r>
      <w:r>
        <w:rPr>
          <w:rStyle w:val="FootnoteReference"/>
        </w:rPr>
        <w:footnoteReference w:id="25"/>
      </w:r>
      <w:r>
        <w:rPr>
          <w:rFonts w:ascii="Simplified Arabic" w:cs="Simplified Arabic" w:eastAsia="Simplified Arabic" w:hAnsi="Simplified Arabic"/>
          <w:b w:val="false"/>
          <w:bCs w:val="false"/>
          <w:sz w:val="28"/>
          <w:szCs w:val="28"/>
          <w:rtl/>
        </w:rPr>
        <w:t xml:space="preserve">. وهذه العلامات مبناها على المشاهدة الحسيّة المتاحة في عصورهم، ولم يجعلها الفقهاء تعبّدية توقيفيّة، بل نصّوا على أنه إذا شُكّ في الموت وجب التأخير حتى يُتيقّن، عملًا بقاعدة أنّ اليقين لا يزول بالشكّ</w:t>
      </w:r>
      <w:r>
        <w:rPr>
          <w:rStyle w:val="FootnoteReference"/>
        </w:rPr>
        <w:footnoteReference w:id="26"/>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ظهور الإنعاش الصناعيّ والعناية المركّزة في القرن العشرين.</w:t>
      </w:r>
    </w:p>
    <w:p>
      <w:pPr>
        <w:bidi/>
        <w:spacing w:after="160" w:line="360"/>
        <w:jc w:val="both"/>
      </w:pPr>
      <w:r>
        <w:rPr>
          <w:rFonts w:ascii="Simplified Arabic" w:cs="Simplified Arabic" w:eastAsia="Simplified Arabic" w:hAnsi="Simplified Arabic"/>
          <w:b w:val="false"/>
          <w:bCs w:val="false"/>
          <w:sz w:val="28"/>
          <w:szCs w:val="28"/>
          <w:rtl/>
        </w:rPr>
        <w:t xml:space="preserve">في منتصف القرن العشرين دخلت أجهزة التنفّس الاصطناعيّ المستشفيات ونشأت أقسام العناية المركّزة، فانفكّت لأوّل مرّة في تاريخ البشر الرابطة بين توقف الدماغ وتوقف القلب: صار في المستشفيات أجساد دماغُها ميت وقلبها ينبض بالآلة. ووصف طبيبان فرنسيّان سنة 1959م هذه الحالة بما سمّياه "الغيبوبة المتجاوزة"، ثم وضعت لجنة كليّة الطبّ بجامعة هارفارد سنة 1968م معاييرها الشهيرة لتشخيص هذه الحالة، وتوالت بعدها المعايير القانونيّة حتى صدر في الولايات المتحدة قانون التحديد الموحّد للوفاة سنة 1981م</w:t>
      </w:r>
      <w:r>
        <w:rPr>
          <w:rStyle w:val="FootnoteReference"/>
        </w:rPr>
        <w:footnoteReference w:id="27"/>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دخول المسألة الفقه الإسلاميّ المعاصر.</w:t>
      </w:r>
    </w:p>
    <w:p>
      <w:pPr>
        <w:bidi/>
        <w:spacing w:after="160" w:line="360"/>
        <w:jc w:val="both"/>
      </w:pPr>
      <w:r>
        <w:rPr>
          <w:rFonts w:ascii="Simplified Arabic" w:cs="Simplified Arabic" w:eastAsia="Simplified Arabic" w:hAnsi="Simplified Arabic"/>
          <w:b w:val="false"/>
          <w:bCs w:val="false"/>
          <w:sz w:val="28"/>
          <w:szCs w:val="28"/>
          <w:rtl/>
        </w:rPr>
        <w:t xml:space="preserve">دخلت النازلة الفقهَ الإسلاميّ المعاصر من باب فقه النوازل في ثمانينيّات القرن الماضي؛ فعقدت المنظمة الإسلاميّة للعلوم الطبيّة بالكويت سنة 1985م ندوة "الحياة الإنسانيّة: بدايتها ونهايتها في المفهوم الإسلاميّ" التي جمعت الفقهاء والأطباء، وقدّم فيها الأطباء المسلمون، ومنهم الدكتور محمد علي البار، البيانَ الطبيّ لحقيقة الموت الدماغيّ</w:t>
      </w:r>
      <w:r>
        <w:rPr>
          <w:rStyle w:val="FootnoteReference"/>
        </w:rPr>
        <w:footnoteReference w:id="28"/>
      </w:r>
      <w:r>
        <w:rPr>
          <w:rFonts w:ascii="Simplified Arabic" w:cs="Simplified Arabic" w:eastAsia="Simplified Arabic" w:hAnsi="Simplified Arabic"/>
          <w:b w:val="false"/>
          <w:bCs w:val="false"/>
          <w:sz w:val="28"/>
          <w:szCs w:val="28"/>
          <w:rtl/>
        </w:rPr>
        <w:t xml:space="preserve">، ثم صدر قرار مجمع الفقه الإسلاميّ الدوليّ بعمّان سنة 1986م، وقرار المجمع الفقهيّ برابطة العالم الإسلاميّ بمكة سنة 1987م، وسيأتي نصّهما في الفصل الخامس</w:t>
      </w:r>
      <w:r>
        <w:rPr>
          <w:rStyle w:val="FootnoteReference"/>
        </w:rPr>
        <w:footnoteReference w:id="29"/>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الثاني: الموت وأحكامه في الشرائع السماويّة والتشريعات الوضعيّة القديمة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الموت وتحديده في الشريعة اليهوديّة.</w:t>
      </w:r>
    </w:p>
    <w:p>
      <w:pPr>
        <w:bidi/>
        <w:spacing w:after="160" w:line="360"/>
        <w:jc w:val="both"/>
      </w:pPr>
      <w:r>
        <w:rPr>
          <w:rFonts w:ascii="Simplified Arabic" w:cs="Simplified Arabic" w:eastAsia="Simplified Arabic" w:hAnsi="Simplified Arabic"/>
          <w:b w:val="false"/>
          <w:bCs w:val="false"/>
          <w:sz w:val="28"/>
          <w:szCs w:val="28"/>
          <w:rtl/>
        </w:rPr>
        <w:t xml:space="preserve">عُنيت الشريعة اليهوديّة بتحديد لحظة الموت، وجعل فقهاؤها المتقدّمون علامته الأساسيّة انقطاع النفَس، يُتحقّق منه عند الأنف؛ ولهذا لمّا ظهرت مسألة الموت الدماغيّ انقسم فقهاء اليهود المعاصرون بين من اعتبره موتًا لأنّ تعطّل جذع الدماغ هو حقيقة انقطاع التنفّس الذاتيّ، وبين متمسّك بتوقف القلب، وقد قبلت الحاخاميّة الرئيسيّة في إسرائيل الموتَ الدماغيّ بشروط منذ سنة 1986م، وانعكس هذا التوافق لاحقًا في قانون الموت الدماغيّ-التنفّسيّ الإسرائيليّ لسنة 2008م الذي راعى موقف الأسر المتديّنة المعارِضة</w:t>
      </w:r>
      <w:r>
        <w:rPr>
          <w:rStyle w:val="FootnoteReference"/>
        </w:rPr>
        <w:footnoteReference w:id="30"/>
      </w:r>
      <w:r>
        <w:rPr>
          <w:rStyle w:val="FootnoteReference"/>
        </w:rPr>
        <w:footnoteReference w:id="31"/>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الموت والوسائل الاستثنائيّة في المسيحيّة.</w:t>
      </w:r>
    </w:p>
    <w:p>
      <w:pPr>
        <w:bidi/>
        <w:spacing w:after="160" w:line="360"/>
        <w:jc w:val="both"/>
      </w:pPr>
      <w:r>
        <w:rPr>
          <w:rFonts w:ascii="Simplified Arabic" w:cs="Simplified Arabic" w:eastAsia="Simplified Arabic" w:hAnsi="Simplified Arabic"/>
          <w:b w:val="false"/>
          <w:bCs w:val="false"/>
          <w:sz w:val="28"/>
          <w:szCs w:val="28"/>
          <w:rtl/>
        </w:rPr>
        <w:t xml:space="preserve">أمّا الكنائس المسيحيّة فالغالب عليها قبول المعيار العصبيّ للموت متى تثبّت منه الأطباء، وقد سبق للكنيسة الكاثوليكيّة منذ سنة 1957م أن قرّرت على لسان البابا بيوس الثاني عشر، في خطابه الشهير لأطباء التخدير والإنعاش، أنه لا يلزم الأطباءَ والأهلَ استعمالُ "الوسائل غير العاديّة" لإطالة حياة ميؤوس منها، وأنّ تقرير لحظة الموت مردّه إلى الطبيب لا إلى الكنيسة</w:t>
      </w:r>
      <w:r>
        <w:rPr>
          <w:rStyle w:val="FootnoteReference"/>
        </w:rPr>
        <w:footnoteReference w:id="32"/>
      </w:r>
      <w:r>
        <w:rPr>
          <w:rFonts w:ascii="Simplified Arabic" w:cs="Simplified Arabic" w:eastAsia="Simplified Arabic" w:hAnsi="Simplified Arabic"/>
          <w:b w:val="false"/>
          <w:bCs w:val="false"/>
          <w:sz w:val="28"/>
          <w:szCs w:val="28"/>
          <w:rtl/>
        </w:rPr>
        <w:t xml:space="preserve">. وهذا التفريق بين الوسائل العاديّة والاستثنائيّة قريب في روحه من تفريق فقهائنا بين التداوي الواجب وغير الواجب.</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التشريعات الوضعيّة القديمة.</w:t>
      </w:r>
    </w:p>
    <w:p>
      <w:pPr>
        <w:bidi/>
        <w:spacing w:after="160" w:line="360"/>
        <w:jc w:val="both"/>
      </w:pPr>
      <w:r>
        <w:rPr>
          <w:rFonts w:ascii="Simplified Arabic" w:cs="Simplified Arabic" w:eastAsia="Simplified Arabic" w:hAnsi="Simplified Arabic"/>
          <w:b w:val="false"/>
          <w:bCs w:val="false"/>
          <w:sz w:val="28"/>
          <w:szCs w:val="28"/>
          <w:rtl/>
        </w:rPr>
        <w:t xml:space="preserve">عرفت التشريعات الوضعيّة القديمة تنظيمَ العمل الطبيّ والمسؤوليّة عنه؛ فقد خصّصت شريعة حمورابي البابليّة موادّ لأجر الطبيب الجرّاح إذا نجح، ولعقوبته الغليظة إذا أخطأ فأتلف أو قتل، وهو أقدم تنظيم معروف للمسؤوليّة الطبيّة</w:t>
      </w:r>
      <w:r>
        <w:rPr>
          <w:rStyle w:val="FootnoteReference"/>
        </w:rPr>
        <w:footnoteReference w:id="33"/>
      </w:r>
      <w:r>
        <w:rPr>
          <w:rFonts w:ascii="Simplified Arabic" w:cs="Simplified Arabic" w:eastAsia="Simplified Arabic" w:hAnsi="Simplified Arabic"/>
          <w:b w:val="false"/>
          <w:bCs w:val="false"/>
          <w:sz w:val="28"/>
          <w:szCs w:val="28"/>
          <w:rtl/>
        </w:rPr>
        <w:t xml:space="preserve">. وعُني قدماء المصريّين عناية بالغة بجسد الميت وتكريمه، حتى بلغوا في ذلك مبلغ التحنيط وتشييد المقابر، ممّا يدلّ على أنّ حرمة الجسد الإنسانيّ بعد الموت قيمة ضاربة في عمق التاريخ الإنسانيّ، جاءت الشريعة الإسلاميّة فأقرّتها وهذّبتها. والمقصود من هذا العرض بيان أنّ سؤالَي مسألتنا، وهما تحديد لحظة الموت وحدود مسؤوليّة الطبيب، سؤالان قديمان قدم الحضارة، وإن كانت صورتهما المعاصرة وليدة أجهزة القرن العشرين.</w:t>
      </w:r>
    </w:p>
    <w:p>
      <w:pPr>
        <w:bidi/>
        <w:spacing w:after="160" w:line="36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لفت نظري في هذا الفصل أنّ الشرائع والقوانين على اختلافها تدور حول مركزين ثابتين: تعظيم حرمة النفس، وضبط يد الطبيب؛ فما اختلف الناس قديمًا وحديثًا في هذين الأصلين، وإنما اختلفوا في وسائل التحقّق، وهذه سنّة الله في تجدّد النوازل مع ثبات الأصول.</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الفصل الثالث: الآثار المتعلقة بنزع الأجهزة الطبيّة عن الميت سريريًّا</w:t>
      </w:r>
    </w:p>
    <w:p>
      <w:pPr>
        <w:bidi/>
        <w:spacing w:after="200" w:line="360"/>
        <w:jc w:val="center"/>
      </w:pPr>
      <w:r>
        <w:rPr>
          <w:rFonts w:ascii="Simplified Arabic" w:cs="Simplified Arabic" w:eastAsia="Simplified Arabic" w:hAnsi="Simplified Arabic"/>
          <w:b/>
          <w:bCs/>
          <w:sz w:val="28"/>
          <w:szCs w:val="28"/>
          <w:rtl/>
        </w:rPr>
        <w:t xml:space="preserve">وفيه خمسة مباحث:</w:t>
      </w:r>
    </w:p>
    <w:p>
      <w:pPr>
        <w:bidi/>
        <w:spacing w:after="200" w:line="360"/>
        <w:jc w:val="center"/>
      </w:pPr>
      <w:r>
        <w:rPr>
          <w:rFonts w:ascii="Simplified Arabic" w:cs="Simplified Arabic" w:eastAsia="Simplified Arabic" w:hAnsi="Simplified Arabic"/>
          <w:b/>
          <w:bCs/>
          <w:sz w:val="28"/>
          <w:szCs w:val="28"/>
          <w:rtl/>
        </w:rPr>
        <w:t xml:space="preserve">المبحث الأوّل: الآثار الفقهيّة.</w:t>
      </w:r>
    </w:p>
    <w:p>
      <w:pPr>
        <w:bidi/>
        <w:spacing w:after="200" w:line="360"/>
        <w:jc w:val="center"/>
      </w:pPr>
      <w:r>
        <w:rPr>
          <w:rFonts w:ascii="Simplified Arabic" w:cs="Simplified Arabic" w:eastAsia="Simplified Arabic" w:hAnsi="Simplified Arabic"/>
          <w:b/>
          <w:bCs/>
          <w:sz w:val="28"/>
          <w:szCs w:val="28"/>
          <w:rtl/>
        </w:rPr>
        <w:t xml:space="preserve">المبحث الثاني: الآثار الطبيّة.</w:t>
      </w:r>
    </w:p>
    <w:p>
      <w:pPr>
        <w:bidi/>
        <w:spacing w:after="200" w:line="360"/>
        <w:jc w:val="center"/>
      </w:pPr>
      <w:r>
        <w:rPr>
          <w:rFonts w:ascii="Simplified Arabic" w:cs="Simplified Arabic" w:eastAsia="Simplified Arabic" w:hAnsi="Simplified Arabic"/>
          <w:b/>
          <w:bCs/>
          <w:sz w:val="28"/>
          <w:szCs w:val="28"/>
          <w:rtl/>
        </w:rPr>
        <w:t xml:space="preserve">المبحث الثالث: الآثار الاجتماعيّة والنفسيّة.</w:t>
      </w:r>
    </w:p>
    <w:p>
      <w:pPr>
        <w:bidi/>
        <w:spacing w:after="200" w:line="360"/>
        <w:jc w:val="center"/>
      </w:pPr>
      <w:r>
        <w:rPr>
          <w:rFonts w:ascii="Simplified Arabic" w:cs="Simplified Arabic" w:eastAsia="Simplified Arabic" w:hAnsi="Simplified Arabic"/>
          <w:b/>
          <w:bCs/>
          <w:sz w:val="28"/>
          <w:szCs w:val="28"/>
          <w:rtl/>
        </w:rPr>
        <w:t xml:space="preserve">المبحث الرابع: الآثار القانونيّة.</w:t>
      </w:r>
    </w:p>
    <w:p>
      <w:pPr>
        <w:bidi/>
        <w:spacing w:after="200" w:line="360"/>
        <w:jc w:val="center"/>
      </w:pPr>
      <w:r>
        <w:rPr>
          <w:rFonts w:ascii="Simplified Arabic" w:cs="Simplified Arabic" w:eastAsia="Simplified Arabic" w:hAnsi="Simplified Arabic"/>
          <w:b/>
          <w:bCs/>
          <w:sz w:val="28"/>
          <w:szCs w:val="28"/>
          <w:rtl/>
        </w:rPr>
        <w:t xml:space="preserve">المبحث الخامس: الآثار الاقتصاديّة.</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الأوّل: الآثار الفقهيّة</w:t>
      </w:r>
    </w:p>
    <w:p>
      <w:pPr>
        <w:bidi/>
        <w:spacing w:after="160" w:line="360"/>
        <w:jc w:val="both"/>
      </w:pPr>
      <w:r>
        <w:rPr>
          <w:rFonts w:ascii="Simplified Arabic" w:cs="Simplified Arabic" w:eastAsia="Simplified Arabic" w:hAnsi="Simplified Arabic"/>
          <w:b w:val="false"/>
          <w:bCs w:val="false"/>
          <w:sz w:val="28"/>
          <w:szCs w:val="28"/>
          <w:rtl/>
        </w:rPr>
        <w:t xml:space="preserve">يترتب على الحكم بموت الإنسان جملة كبيرة من الأحكام الشرعيّة، ولذلك كان تحديد لحظة الموت، ومن ثمّ حكم نزع الأجهزة، مؤثّرًا في أبواب فقهيّة كثيرة، أهمّها: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وجوب تجهيز الميت وغسله وتكفينه والصلاة عليه ودفنه: فإن اعتُبر الميت دماغيًّا ميتًا وجبت المبادرة إلى ذلك بعد رفع الأجهزة وتوقف قلبه، وإن لم يُعتبر بقي على أحكام الأحياء.</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انتقال التركة إلى الورثة: فلحظة الوفاة هي مناط استحقاق الإرث، ويظهر أثر ذلك فيمن مات من ورثته أحد في الفترة بين موت دماغه وتوقف قلبه.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ابتداء عدّة الزوجة: فعدّة الوفاة تبتدئ من لحظة الحكم بالموت.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نفاذ الوصايا وحلول الديون المؤجّلة وانفساخ الوكالات.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الجناية على من نُزعت أجهزته: فمن نزع الأجهزة عن حيّ لم يثبت موته فقد جنى عليه، وتترتب على فعله أحكام القتل عمدًا أو خطأً، ومن نزعها عن ميت فلا قصاص ولا دية، وإنما يأثم إن أخلّ بالإجراءات</w:t>
      </w:r>
      <w:r>
        <w:rPr>
          <w:rStyle w:val="FootnoteReference"/>
        </w:rPr>
        <w:footnoteReference w:id="34"/>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val="false"/>
          <w:bCs w:val="false"/>
          <w:sz w:val="28"/>
          <w:szCs w:val="28"/>
          <w:rtl/>
        </w:rPr>
        <w:t xml:space="preserve">ولهذا كان التعجّل في الحكم بالموت قبل تحققه اعتداءً على حيّ، والتأخّر فيه بعد تحققه تعطيلًا لحقوق الورثة والزوجة وإرهاقًا للأحياء، وكلاهما مفسدة</w:t>
      </w:r>
      <w:r>
        <w:rPr>
          <w:rStyle w:val="FootnoteReference"/>
        </w:rPr>
        <w:footnoteReference w:id="35"/>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الثاني: الآثار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دقّة التشخيص: فتح باب النزع يوجب أعلى درجات التثبّت في تشخيص الموت الدماغيّ، وقد سجّلت الأدبيّات الطبيّة حالات نادرة من أخطاء التشخيص كان سببها الإخلال بالبروتوكول، وهو ما يجعل الالتزام الصارم به شرطًا لا يقبل التهاون</w:t>
      </w:r>
      <w:r>
        <w:rPr>
          <w:rStyle w:val="FootnoteReference"/>
        </w:rPr>
        <w:footnoteReference w:id="36"/>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أسرّة العناية المركّزة: إبقاء الجثامين على الأجهزة يشغل أسرّة وأجهزة نادرة يحتاجها مرضى تُرجى حياتهم، ففي حسم المسألة إنقاذ لأرواح أخرى.</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علاقة المسألة بزراعة الأعضاء: أكثر الأعضاء الصالحة للزرع تؤخذ من الموتى دماغيًّا قبل توقف الدورة الدمويّة، ولذلك اشترط الفقهاء والأنظمة استقلال لجنة تشخيص الوفاة عن فريق الزرع حسمًا لمادّة التهمة</w:t>
      </w:r>
      <w:r>
        <w:rPr>
          <w:rStyle w:val="FootnoteReference"/>
        </w:rPr>
        <w:footnoteReference w:id="37"/>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الثالث: الآثار الاجتماعيّة والنفسيّة</w:t>
      </w:r>
    </w:p>
    <w:p>
      <w:pPr>
        <w:bidi/>
        <w:spacing w:after="160" w:line="360"/>
        <w:jc w:val="both"/>
      </w:pPr>
      <w:r>
        <w:rPr>
          <w:rFonts w:ascii="Simplified Arabic" w:cs="Simplified Arabic" w:eastAsia="Simplified Arabic" w:hAnsi="Simplified Arabic"/>
          <w:b w:val="false"/>
          <w:bCs w:val="false"/>
          <w:sz w:val="28"/>
          <w:szCs w:val="28"/>
          <w:rtl/>
        </w:rPr>
        <w:t xml:space="preserve">لبقاء الجثمان موصولًا بالأجهزة أثر بالغ في الأسرة: أملٌ كاذب يتجدّد كلّ صباح مع مشهد الصدر الذي يعلو ويهبط، وحدادٌ معلّق لا يبتدئ، ونزاعات تنشأ بين الأهل أنفسهم أو بينهم وبين المستشفى، كما وقع في قضيّة الفتاة ماكماث في الولايات المتحدة التي تنازع أهلها والمستشفى شهورًا بعد إعلان موتها الدماغيّ</w:t>
      </w:r>
      <w:r>
        <w:rPr>
          <w:rStyle w:val="FootnoteReference"/>
        </w:rPr>
        <w:footnoteReference w:id="38"/>
      </w:r>
      <w:r>
        <w:rPr>
          <w:rFonts w:ascii="Simplified Arabic" w:cs="Simplified Arabic" w:eastAsia="Simplified Arabic" w:hAnsi="Simplified Arabic"/>
          <w:b w:val="false"/>
          <w:bCs w:val="false"/>
          <w:sz w:val="28"/>
          <w:szCs w:val="28"/>
          <w:rtl/>
        </w:rPr>
        <w:t xml:space="preserve">. ومن هنا أوصت الجهات الطبيّة بمراعاة مشاعر الأسر وتفهيمها حقيقة الحال برفق، بل أفردت إرشادات خاصة للتعامل مع الاعتراضات الدينيّة والضميريّة</w:t>
      </w:r>
      <w:r>
        <w:rPr>
          <w:rStyle w:val="FootnoteReference"/>
        </w:rPr>
        <w:footnoteReference w:id="39"/>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الرابع: الآثار القانونيّة</w:t>
      </w:r>
    </w:p>
    <w:p>
      <w:pPr>
        <w:bidi/>
        <w:spacing w:after="160" w:line="360"/>
        <w:jc w:val="both"/>
      </w:pPr>
      <w:r>
        <w:rPr>
          <w:rFonts w:ascii="Simplified Arabic" w:cs="Simplified Arabic" w:eastAsia="Simplified Arabic" w:hAnsi="Simplified Arabic"/>
          <w:b w:val="false"/>
          <w:bCs w:val="false"/>
          <w:sz w:val="28"/>
          <w:szCs w:val="28"/>
          <w:rtl/>
        </w:rPr>
        <w:t xml:space="preserve">مدار المسؤوليّة القانونيّة على ثبوت الوفاة؛ فمن نزع الأجهزة عن مريض لم تثبت وفاته الدماغيّة وفق الإجراءات المقرّرة، فتوقف قلبه ومات، فهو معرَّض للمساءلة الجنائيّة عن قتل عمد أو خطأ بحسب قصده وتفريطه، وللمسؤوليّة المدنيّة بالتعويض، وللمساءلة التأديبيّة المهنيّة</w:t>
      </w:r>
      <w:r>
        <w:rPr>
          <w:rStyle w:val="FootnoteReference"/>
        </w:rPr>
        <w:footnoteReference w:id="40"/>
      </w:r>
      <w:r>
        <w:rPr>
          <w:rFonts w:ascii="Simplified Arabic" w:cs="Simplified Arabic" w:eastAsia="Simplified Arabic" w:hAnsi="Simplified Arabic"/>
          <w:b w:val="false"/>
          <w:bCs w:val="false"/>
          <w:sz w:val="28"/>
          <w:szCs w:val="28"/>
          <w:rtl/>
        </w:rPr>
        <w:t xml:space="preserve">. أمّا إذا ثبتت الوفاة الدماغيّة باستيفاء البروتوكول واللجان والتوثيق، فإنّ رفع الأجهزة عمل مشروع لا تترتب عليه مسؤوليّة</w:t>
      </w:r>
      <w:r>
        <w:rPr>
          <w:rStyle w:val="FootnoteReference"/>
        </w:rPr>
        <w:footnoteReference w:id="41"/>
      </w:r>
      <w:r>
        <w:rPr>
          <w:rFonts w:ascii="Simplified Arabic" w:cs="Simplified Arabic" w:eastAsia="Simplified Arabic" w:hAnsi="Simplified Arabic"/>
          <w:b w:val="false"/>
          <w:bCs w:val="false"/>
          <w:sz w:val="28"/>
          <w:szCs w:val="28"/>
          <w:rtl/>
        </w:rPr>
        <w:t xml:space="preserve">. والمسؤوليّة عن الأعمال الطبيّة أصل عريق في الفقه الإسلاميّ، قرّره الفقهاء في قاعدة أنّ الطبيب الحاذق المأذون له إذا لم تجنِ يده لا يضمن</w:t>
      </w:r>
      <w:r>
        <w:rPr>
          <w:rStyle w:val="FootnoteReference"/>
        </w:rPr>
        <w:footnoteReference w:id="42"/>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الخامس: الآثار الاقتصاديّة</w:t>
      </w:r>
    </w:p>
    <w:p>
      <w:pPr>
        <w:bidi/>
        <w:spacing w:after="160" w:line="360"/>
        <w:jc w:val="both"/>
      </w:pPr>
      <w:r>
        <w:rPr>
          <w:rFonts w:ascii="Simplified Arabic" w:cs="Simplified Arabic" w:eastAsia="Simplified Arabic" w:hAnsi="Simplified Arabic"/>
          <w:b w:val="false"/>
          <w:bCs w:val="false"/>
          <w:sz w:val="28"/>
          <w:szCs w:val="28"/>
          <w:rtl/>
        </w:rPr>
        <w:t xml:space="preserve">الإبقاء على أجهزة الإنعاش لمن لا تُرجى حياته يستنزف أموالًا طائلة: كلفة سرير العناية المركّزة وتشغيل الأجهزة والأدوية والطواقم تُحسب باليوم الواحد بآلاف الشواكل، وقد تمتد أسابيع، فترهق الأسرَ ديونًا أو تستنزف ميزانيّات المرافق الصحيّة العامة، وكلّ ذلك في دعم آليّ لا طائل تحته إذا كان الدماغ قد مات موتًا موثّقًا. ومن قواعد الشريعة أنّ المال عصب الحياة وقد نهى الله عن إضاعته، فحفظ المال من الضروريّات التي تُراعى في الموازنة، من غير أن يكون وحده مسوّغًا للنزع مع قيام رجاء معتبر للحياة.</w:t>
      </w:r>
    </w:p>
    <w:p>
      <w:pPr>
        <w:bidi/>
        <w:spacing w:after="160" w:line="36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أدركت من استعراض هذه الآثار أنّ المسألة ليست ترفًا نظريًّا؛ فوراء كلّ سرير من أسرّة العناية المركّزة أسرة تنتظر، وميراث معلّق، وطبيب يخشى المساءلة، ومريض آخر ينتظر السرير. وهذا التشابك هو الذي يجعل الجواب الفقهيّ المنضبط حاجة مجتمعيّة لا مجرّد مسألة أكاديميّة.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الفصل الرابع: التأصيل الفقهيّ للمسألة، تحرير المسألة، أقوال الفقهاء، وموقف القانون والطبّ</w:t>
      </w:r>
    </w:p>
    <w:p>
      <w:pPr>
        <w:bidi/>
        <w:spacing w:after="200" w:line="360"/>
        <w:jc w:val="center"/>
      </w:pPr>
      <w:r>
        <w:rPr>
          <w:rFonts w:ascii="Simplified Arabic" w:cs="Simplified Arabic" w:eastAsia="Simplified Arabic" w:hAnsi="Simplified Arabic"/>
          <w:b/>
          <w:bCs/>
          <w:sz w:val="28"/>
          <w:szCs w:val="28"/>
          <w:rtl/>
        </w:rPr>
        <w:t xml:space="preserve">وفيه أربعة مباحث:</w:t>
      </w:r>
    </w:p>
    <w:p>
      <w:pPr>
        <w:bidi/>
        <w:spacing w:after="200" w:line="360"/>
        <w:jc w:val="center"/>
      </w:pPr>
      <w:r>
        <w:rPr>
          <w:rFonts w:ascii="Simplified Arabic" w:cs="Simplified Arabic" w:eastAsia="Simplified Arabic" w:hAnsi="Simplified Arabic"/>
          <w:b/>
          <w:bCs/>
          <w:sz w:val="28"/>
          <w:szCs w:val="28"/>
          <w:rtl/>
        </w:rPr>
        <w:t xml:space="preserve">المبحث الأوّل: تأصيل المسألة فقهيًّا.</w:t>
      </w:r>
    </w:p>
    <w:p>
      <w:pPr>
        <w:bidi/>
        <w:spacing w:after="200" w:line="360"/>
        <w:jc w:val="center"/>
      </w:pPr>
      <w:r>
        <w:rPr>
          <w:rFonts w:ascii="Simplified Arabic" w:cs="Simplified Arabic" w:eastAsia="Simplified Arabic" w:hAnsi="Simplified Arabic"/>
          <w:b/>
          <w:bCs/>
          <w:sz w:val="28"/>
          <w:szCs w:val="28"/>
          <w:rtl/>
        </w:rPr>
        <w:t xml:space="preserve">المبحث الثاني: تحرير المسألة.</w:t>
      </w:r>
    </w:p>
    <w:p>
      <w:pPr>
        <w:bidi/>
        <w:spacing w:after="200" w:line="360"/>
        <w:jc w:val="center"/>
      </w:pPr>
      <w:r>
        <w:rPr>
          <w:rFonts w:ascii="Simplified Arabic" w:cs="Simplified Arabic" w:eastAsia="Simplified Arabic" w:hAnsi="Simplified Arabic"/>
          <w:b/>
          <w:bCs/>
          <w:sz w:val="28"/>
          <w:szCs w:val="28"/>
          <w:rtl/>
        </w:rPr>
        <w:t xml:space="preserve">المبحث الثالث: أقوال الفقهاء في المسألة والقول الراجح.</w:t>
      </w:r>
    </w:p>
    <w:p>
      <w:pPr>
        <w:bidi/>
        <w:spacing w:after="200" w:line="360"/>
        <w:jc w:val="center"/>
      </w:pPr>
      <w:r>
        <w:rPr>
          <w:rFonts w:ascii="Simplified Arabic" w:cs="Simplified Arabic" w:eastAsia="Simplified Arabic" w:hAnsi="Simplified Arabic"/>
          <w:b/>
          <w:bCs/>
          <w:sz w:val="28"/>
          <w:szCs w:val="28"/>
          <w:rtl/>
        </w:rPr>
        <w:t xml:space="preserve">المبحث الرابع: موقف القانون والطبّ والاجتماع والعلم في المسألة.</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الأوّل: تأصيل المسألة فقهيًّا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تصوير المسألة.</w:t>
      </w:r>
    </w:p>
    <w:p>
      <w:pPr>
        <w:bidi/>
        <w:spacing w:after="120" w:before="160" w:line="360"/>
        <w:jc w:val="right"/>
      </w:pPr>
      <w:r>
        <w:rPr>
          <w:rFonts w:ascii="Simplified Arabic" w:cs="Simplified Arabic" w:eastAsia="Simplified Arabic" w:hAnsi="Simplified Arabic"/>
          <w:b/>
          <w:bCs/>
          <w:sz w:val="28"/>
          <w:szCs w:val="28"/>
          <w:rtl/>
        </w:rPr>
        <w:t xml:space="preserve">الفرع الأوّل: صورة المسألة طبًّا.</w:t>
      </w:r>
    </w:p>
    <w:p>
      <w:pPr>
        <w:bidi/>
        <w:spacing w:after="160" w:line="360"/>
        <w:jc w:val="both"/>
      </w:pPr>
      <w:r>
        <w:rPr>
          <w:rFonts w:ascii="Simplified Arabic" w:cs="Simplified Arabic" w:eastAsia="Simplified Arabic" w:hAnsi="Simplified Arabic"/>
          <w:b w:val="false"/>
          <w:bCs w:val="false"/>
          <w:sz w:val="28"/>
          <w:szCs w:val="28"/>
          <w:rtl/>
        </w:rPr>
        <w:t xml:space="preserve">مريض أصيب دماغه إصابة قاتلة، بنزيف أو رضّ أو انقطاع أكسجين، فدخل العناية المركّزة ووُصل بجهاز التنفّس، ثم ثبت بالفحص السريريّ واختبار انقطاع النفَس والفحوص المساندة أنّ جميع وظائف دماغه، بما فيها جذع الدماغ، توقفت توقفًا نهائيًّا لا رجعة فيه؛ فصار جسده دافئًا متورّدًا يعلو صدره ويهبط، وقلبه ينبض، وكلّ ذلك بفعل الأجهزة لا بتدبير ذاتيّ، ولا يدوم هذا الوضع غالبًا إلا أيامًا أو أسابيع ثم يتوقف القلب رغم كلّ الدعم</w:t>
      </w:r>
      <w:r>
        <w:rPr>
          <w:rStyle w:val="FootnoteReference"/>
        </w:rPr>
        <w:footnoteReference w:id="43"/>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صورة المسألة فقهًا.</w:t>
      </w:r>
    </w:p>
    <w:p>
      <w:pPr>
        <w:bidi/>
        <w:spacing w:after="160" w:line="360"/>
        <w:jc w:val="both"/>
      </w:pPr>
      <w:r>
        <w:rPr>
          <w:rFonts w:ascii="Simplified Arabic" w:cs="Simplified Arabic" w:eastAsia="Simplified Arabic" w:hAnsi="Simplified Arabic"/>
          <w:b w:val="false"/>
          <w:bCs w:val="false"/>
          <w:sz w:val="28"/>
          <w:szCs w:val="28"/>
          <w:rtl/>
        </w:rPr>
        <w:t xml:space="preserve">يسأل الأطباء والأهل: هل يجوز إيقاف هذه الأجهزة وفصلها؟ وهل هذا الشخص ميت تجري عليه أحكام الأموات، أم حيّ يُعدّ نزع أجهزته قتلًا؟ وهي نازلة معاصرة من نوازل فقه الطبّ، لا نصّ فيها بعينها، وإنما تُستنبط أحكامها من عمومات الأدلّة والقواعد ومقاصد الشريعة باجتهاد أهل العلم</w:t>
      </w:r>
      <w:r>
        <w:rPr>
          <w:rStyle w:val="FootnoteReference"/>
        </w:rPr>
        <w:footnoteReference w:id="44"/>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مقاصد الشريعة الإسلاميّة في المسألة.</w:t>
      </w:r>
    </w:p>
    <w:p>
      <w:pPr>
        <w:bidi/>
        <w:spacing w:after="120" w:before="160" w:line="360"/>
        <w:jc w:val="right"/>
      </w:pPr>
      <w:r>
        <w:rPr>
          <w:rFonts w:ascii="Simplified Arabic" w:cs="Simplified Arabic" w:eastAsia="Simplified Arabic" w:hAnsi="Simplified Arabic"/>
          <w:b/>
          <w:bCs/>
          <w:sz w:val="28"/>
          <w:szCs w:val="28"/>
          <w:rtl/>
        </w:rPr>
        <w:t xml:space="preserve">الفرع الأوّل: مقصد حفظ الدين.</w:t>
      </w:r>
    </w:p>
    <w:p>
      <w:pPr>
        <w:bidi/>
        <w:spacing w:after="160" w:line="360"/>
        <w:jc w:val="both"/>
      </w:pPr>
      <w:r>
        <w:rPr>
          <w:rFonts w:ascii="Simplified Arabic" w:cs="Simplified Arabic" w:eastAsia="Simplified Arabic" w:hAnsi="Simplified Arabic"/>
          <w:b w:val="false"/>
          <w:bCs w:val="false"/>
          <w:sz w:val="28"/>
          <w:szCs w:val="28"/>
          <w:rtl/>
        </w:rPr>
        <w:t xml:space="preserve">حفظ الدين أوّل المقاصد وأعلاها، ويتعلق بمسألتنا من جهة أنّ تعظيم حرمة النفس والجسد من صميم الدين، وأنّ المبادرة إلى تجهيز الميت ودفنه وإكرامه من شعائر الإسلام، فإبقاء الميت موصولًا بالآلات تعطيل لهذه الشعائر، كما أنّ التعجّل في نزع الأجهزة عن حيّ هدم لأعظم ما جاء الدين بحفظه</w:t>
      </w:r>
      <w:r>
        <w:rPr>
          <w:rStyle w:val="FootnoteReference"/>
        </w:rPr>
        <w:footnoteReference w:id="45"/>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مقصد حفظ النفس.</w:t>
      </w:r>
    </w:p>
    <w:p>
      <w:pPr>
        <w:bidi/>
        <w:spacing w:after="160" w:line="360"/>
        <w:jc w:val="both"/>
      </w:pPr>
      <w:r>
        <w:rPr>
          <w:rFonts w:ascii="Simplified Arabic" w:cs="Simplified Arabic" w:eastAsia="Simplified Arabic" w:hAnsi="Simplified Arabic"/>
          <w:b w:val="false"/>
          <w:bCs w:val="false"/>
          <w:sz w:val="28"/>
          <w:szCs w:val="28"/>
          <w:rtl/>
        </w:rPr>
        <w:t xml:space="preserve">حفظ النفس هو مركز الثقل في مسألتنا، وهو يعمل في الاتجاهين معًا: فمن جهةٍ يوجب أقصى درجات التثبّت قبل الحكم بالموت، حتى لا تُزهق نفس معصومة بتشخيص متعجّل، قال تعالى: </w:t>
      </w:r>
      <w:r>
        <w:rPr>
          <w:rFonts w:ascii="Simplified Arabic" w:cs="Simplified Arabic" w:eastAsia="Simplified Arabic" w:hAnsi="Simplified Arabic"/>
          <w:b/>
          <w:bCs/>
          <w:sz w:val="28"/>
          <w:szCs w:val="28"/>
          <w:rtl/>
        </w:rPr>
        <w:t xml:space="preserve">﴿وَمَنْ أَحْيَاهَا فَكَأَنَّمَا أَحْيَا النَّاسَ جَمِيعًا﴾</w:t>
      </w:r>
      <w:r>
        <w:rPr>
          <w:rFonts w:ascii="Simplified Arabic" w:cs="Simplified Arabic" w:eastAsia="Simplified Arabic" w:hAnsi="Simplified Arabic"/>
          <w:b w:val="false"/>
          <w:bCs w:val="false"/>
          <w:sz w:val="28"/>
          <w:szCs w:val="28"/>
          <w:rtl/>
        </w:rPr>
        <w:t xml:space="preserve"> (المائدة: 32)؛ ومن جهة أخرى يقتضي إيثار الأجهزة النادرة لمن تُرجى حياته من المرضى على من مات دماغه، فحفظ نفس الحيّ المرجوّ مقدَّم على دعم آليّ لجثمان</w:t>
      </w:r>
      <w:r>
        <w:rPr>
          <w:rStyle w:val="FootnoteReference"/>
        </w:rPr>
        <w:footnoteReference w:id="46"/>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الثالث: مقصد حفظ المال.</w:t>
      </w:r>
    </w:p>
    <w:p>
      <w:pPr>
        <w:bidi/>
        <w:spacing w:after="160" w:line="360"/>
        <w:jc w:val="both"/>
      </w:pPr>
      <w:r>
        <w:rPr>
          <w:rFonts w:ascii="Simplified Arabic" w:cs="Simplified Arabic" w:eastAsia="Simplified Arabic" w:hAnsi="Simplified Arabic"/>
          <w:b w:val="false"/>
          <w:bCs w:val="false"/>
          <w:sz w:val="28"/>
          <w:szCs w:val="28"/>
          <w:rtl/>
        </w:rPr>
        <w:t xml:space="preserve">يظهر هذا المقصد في منع استنزاف أموال الأسر والمرافق الصحيّة في دعم لا طائل تحته، وفي حفظ حقوق الورثة الماليّة من التعطيل، من غير أن يُجعل المال وحده علّة للنزع مع قيام رجاء الحياة، فالنفس مقدَّمة على المال بلا خلاف.</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فلسفة مقاصد الشريعة الإسلاميّة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المقاصد هي الغايات التي وضعت الشريعة لأجل تحقيقها لمصلحة العباد، وهي روح الأحكام التي تمنع الفقيه من الجمود على الظواهر عند تجدّد النوازل</w:t>
      </w:r>
      <w:r>
        <w:rPr>
          <w:rStyle w:val="FootnoteReference"/>
        </w:rPr>
        <w:footnoteReference w:id="47"/>
      </w:r>
      <w:r>
        <w:rPr>
          <w:rFonts w:ascii="Simplified Arabic" w:cs="Simplified Arabic" w:eastAsia="Simplified Arabic" w:hAnsi="Simplified Arabic"/>
          <w:b w:val="false"/>
          <w:bCs w:val="false"/>
          <w:sz w:val="28"/>
          <w:szCs w:val="28"/>
          <w:rtl/>
        </w:rPr>
        <w:t xml:space="preserve">. وفلسفتها في مسألتنا أنها تحكم الموازنة عند تزاحم الاعتبارات: حرمة نفسٍ يُحتمل بقاؤها، وكرامة جثمان يُعبث به، وأرواح مرضى ينتظرون الأجهزة، وأموال تُستنزف؛ فلا يستقيم الجواب بإعمال اعتبار واحد وإهمال البقيّة، وإنما بميزان المقاصد الذي يقدّم أعلى المصالح ويدرأ أعظم المفاسد</w:t>
      </w:r>
      <w:r>
        <w:rPr>
          <w:rStyle w:val="FootnoteReference"/>
        </w:rPr>
        <w:footnoteReference w:id="48"/>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الرابع: ربط المسألة بالواقع.</w:t>
      </w:r>
    </w:p>
    <w:p>
      <w:pPr>
        <w:bidi/>
        <w:spacing w:after="160" w:line="360"/>
        <w:jc w:val="both"/>
      </w:pPr>
      <w:r>
        <w:rPr>
          <w:rFonts w:ascii="Simplified Arabic" w:cs="Simplified Arabic" w:eastAsia="Simplified Arabic" w:hAnsi="Simplified Arabic"/>
          <w:b w:val="false"/>
          <w:bCs w:val="false"/>
          <w:sz w:val="28"/>
          <w:szCs w:val="28"/>
          <w:rtl/>
        </w:rPr>
        <w:t xml:space="preserve">المسألة واقعة كلّ يوم في مستشفياتنا؛ فأقسام العناية المركّزة في البلاد تستقبل باستمرار حالات إصابات الدماغ القاتلة من حوادث الطرق والجلطات والنزيف، ويقف الأطباء والأسر العربيّة المسلمة أمام قرار الأجهزة بلا مرجعيّة موحّدة، فمن مستفتٍ يُفتى بالتحريم مطلقًا، إلى آخر يُفتى بالجواز مطلقًا، إلى أسر تمتنع عن أيّ قرار حتى يقضي الله أمره. ويزيد الأمر تعقيدًا أنّ القانون المعمول به في بلادنا، وهو قانون الموت الدماغيّ-التنفّسيّ لسنة 2008م، يجيز إعلان الوفاة الدماغيّة ويراعي في الوقت نفسه اعتراض الأسر المتديّنة</w:t>
      </w:r>
      <w:r>
        <w:rPr>
          <w:rStyle w:val="FootnoteReference"/>
        </w:rPr>
        <w:footnoteReference w:id="49"/>
      </w:r>
      <w:r>
        <w:rPr>
          <w:rFonts w:ascii="Simplified Arabic" w:cs="Simplified Arabic" w:eastAsia="Simplified Arabic" w:hAnsi="Simplified Arabic"/>
          <w:b w:val="false"/>
          <w:bCs w:val="false"/>
          <w:sz w:val="28"/>
          <w:szCs w:val="28"/>
          <w:rtl/>
        </w:rPr>
        <w:t xml:space="preserve">، فتحتاج أسرنا إلى من يبيّن لها الحكم الشرعيّ لتحسن التصرّف في حدود هذا القانون. وهذا هو المقصود الأوّل من هذا البحث.</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الثاني: تحرير المسألة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بيان محلّ الاتفاق.</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اتفق الفقهاء المعاصرون على أنّ من توقف قلبه وتنفّسه توقفًا تامًّا لا رجعة فيه فهو ميت شرعًا بالإجماع.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واتفقوا على أنّ من كان دماغه حيًّا أو بعض وظائفه قائمة، كصاحب الحالة النباتيّة، فهو حيّ معصوم الدم، لا يجوز نزع الأجهزة عنه إذا كانت حياته متوقفة عليها وهو ممّن تُرجى حياته.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واتفقوا على حرمة "قتل الرحمة" بفعل إيجابيّ مزهق للروح، كحقن المريض بمادّة قاتلة، ولو بطلبه، فهو قتل عمد محرّم بالإجماع</w:t>
      </w:r>
      <w:r>
        <w:rPr>
          <w:rStyle w:val="FootnoteReference"/>
        </w:rPr>
        <w:footnoteReference w:id="50"/>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واتفقوا على أنّ تركيب أجهزة الإنعاش ابتداءً ليس واجبًا عينيًّا في كلّ حال، فالتداوي عند جمهور الفقهاء مشروع مستحبّ ولا يجب إلا حيث يُقطع بنفعه وتُخشى الهلكة بتركه</w:t>
      </w:r>
      <w:r>
        <w:rPr>
          <w:rStyle w:val="FootnoteReference"/>
        </w:rPr>
        <w:footnoteReference w:id="51"/>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بيان محلّ النزاع.</w:t>
      </w:r>
    </w:p>
    <w:p>
      <w:pPr>
        <w:bidi/>
        <w:spacing w:after="160" w:line="360"/>
        <w:jc w:val="both"/>
      </w:pPr>
      <w:r>
        <w:rPr>
          <w:rFonts w:ascii="Simplified Arabic" w:cs="Simplified Arabic" w:eastAsia="Simplified Arabic" w:hAnsi="Simplified Arabic"/>
          <w:b w:val="false"/>
          <w:bCs w:val="false"/>
          <w:sz w:val="28"/>
          <w:szCs w:val="28"/>
          <w:rtl/>
        </w:rPr>
        <w:t xml:space="preserve">وإنما وقع النزاع في مسألتين متلازمتين: الأولى: هل يُعدّ الموت الدماغيّ الموثّق موتًا شرعيًّا تترتب عليه أحكام الوفاة؟ والثانية: ما حكم نزع الأجهزة عمّن هذه حاله؟ والتلازم بينهما غير مطّرد؛ فقد يقال بجواز النزع مع التوقف عن الحكم بالموت، كما سيأتي.</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أسباب الاختلاف.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عدم وجود نصّ مباشر في المسألة، فهي نازلة لم تكن متصوَّرة قبل القرن العشرين.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في حقيقة الموت الشرعيّ: هل هو مفارقة الروح التي لا تُعرف إلا بتوقف الجسد كلّه، أم خراب محلّ الحياة الإنسانيّة وهو الدماغ؟</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في علامات الموت: هل هي توقيفيّة يُقتصر على ما ذكره المتقدّمون، أم اجتهاديّة تتجدّد بتجدّد وسائل الكشف؟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في حجيّة قول أهل الخبرة من الأطباء ومدى إفادته اليقين.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تعارض القواعد في الظاهر: قاعدة اليقين لا يزول بالشكّ تشدّ نحو المنع، وقاعدتا لا ضرر ولا ضرار ودرء المفاسد تشدّان نحو الجواز، والشأن في تحقيق مناط كلّ قاعدة</w:t>
      </w:r>
      <w:r>
        <w:rPr>
          <w:rStyle w:val="FootnoteReference"/>
        </w:rPr>
        <w:footnoteReference w:id="52"/>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الرابع: التكييف الفقهيّ.</w:t>
      </w:r>
    </w:p>
    <w:p>
      <w:pPr>
        <w:bidi/>
        <w:spacing w:after="160" w:line="360"/>
        <w:jc w:val="both"/>
      </w:pPr>
      <w:r>
        <w:rPr>
          <w:rFonts w:ascii="Simplified Arabic" w:cs="Simplified Arabic" w:eastAsia="Simplified Arabic" w:hAnsi="Simplified Arabic"/>
          <w:b w:val="false"/>
          <w:bCs w:val="false"/>
          <w:sz w:val="28"/>
          <w:szCs w:val="28"/>
          <w:rtl/>
        </w:rPr>
        <w:t xml:space="preserve">يتردّد تكييف النزع بين ثلاثة أوجه: الأوّل: أنه جناية قتل، وهذا إنما يتّجه إن كان المنزوع عنه حيًّا شرعًا. والثاني: أنه ترك للتداوي وكفّ عن استعمال وسيلة استثنائيّة، والترك ليس فعلَ قتلٍ حيث لا يجب التداوي، والموت بعده إنما يقع بالسبب الأصليّ وهو المرض. والثالث: أنه تصرّف في جثمان ميت برفع آلة عنه، وهذا يتّجه على القول باعتبار الموت الدماغيّ موتًا. وقد ألحق بعض الباحثين الميت دماغيًّا بمن انتهى إلى "حركة المذبوح" عند الفقهاء المتقدّمين، وهو من لم تبق فيه حياة مستقرّة، فحكمه حكم الميت في الجنايات وغيرها</w:t>
      </w:r>
      <w:r>
        <w:rPr>
          <w:rStyle w:val="FootnoteReference"/>
        </w:rPr>
        <w:footnoteReference w:id="53"/>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الثالث: أقوال الفقهاء في المسألة والقول الراجح</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بيان أقوال الفقهاء المؤيّدين (لجواز النزع) وأدلّتهم ومناقشتها.</w:t>
      </w:r>
    </w:p>
    <w:p>
      <w:pPr>
        <w:bidi/>
        <w:spacing w:after="120" w:before="160" w:line="360"/>
        <w:jc w:val="right"/>
      </w:pPr>
      <w:r>
        <w:rPr>
          <w:rFonts w:ascii="Simplified Arabic" w:cs="Simplified Arabic" w:eastAsia="Simplified Arabic" w:hAnsi="Simplified Arabic"/>
          <w:b/>
          <w:bCs/>
          <w:sz w:val="28"/>
          <w:szCs w:val="28"/>
          <w:rtl/>
        </w:rPr>
        <w:t xml:space="preserve">الفرع الأوّل: أقوالهم.</w:t>
      </w:r>
    </w:p>
    <w:p>
      <w:pPr>
        <w:bidi/>
        <w:spacing w:after="160" w:line="360"/>
        <w:jc w:val="both"/>
      </w:pPr>
      <w:r>
        <w:rPr>
          <w:rFonts w:ascii="Simplified Arabic" w:cs="Simplified Arabic" w:eastAsia="Simplified Arabic" w:hAnsi="Simplified Arabic"/>
          <w:b w:val="false"/>
          <w:bCs w:val="false"/>
          <w:sz w:val="28"/>
          <w:szCs w:val="28"/>
          <w:rtl/>
        </w:rPr>
        <w:t xml:space="preserve">ذهب جمهور المجامع الفقهيّة وكثير من الفقهاء المعاصرين إلى أنّ من تعطّلت جميع وظائف دماغه تعطّلًا نهائيًّا لا رجعة فيه، بشهادة الأطباء الاختصاصيّين الخبراء، فقد مات موتًا شرعيًّا وإن بقي قلبه نابضًا بالأجهزة، ويجوز، بل قد يتعيّن، رفع الأجهزة عنه؛ وبهذا صدر قرار مجمع الفقه الإسلاميّ الدوليّ بعمّان سنة 1986م</w:t>
      </w:r>
      <w:r>
        <w:rPr>
          <w:rStyle w:val="FootnoteReference"/>
        </w:rPr>
        <w:footnoteReference w:id="54"/>
      </w:r>
      <w:r>
        <w:rPr>
          <w:rFonts w:ascii="Simplified Arabic" w:cs="Simplified Arabic" w:eastAsia="Simplified Arabic" w:hAnsi="Simplified Arabic"/>
          <w:b w:val="false"/>
          <w:bCs w:val="false"/>
          <w:sz w:val="28"/>
          <w:szCs w:val="28"/>
          <w:rtl/>
        </w:rPr>
        <w:t xml:space="preserve">، وإليه ذهب جمع من الباحثين المعاصرين</w:t>
      </w:r>
      <w:r>
        <w:rPr>
          <w:rStyle w:val="FootnoteReference"/>
        </w:rPr>
        <w:footnoteReference w:id="55"/>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أدلّتهم.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الشرع لم يحدّد للموت علامات تعبّديّة توقيفيّة، بل ردّ معرفته إلى أهل الخبرة في كلّ عصر، وأهل الخبرة اليوم مجمعون على أنّ موت الدماغ الكامل الموثّق حالة لا رجعة فيها البتّة.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مناط الحياة الإنسانيّة المعتبرة شرعًا هو الإدراك والحسّ والحركة الإراديّة والتنفّس الذاتيّ، ومحلّها جميعًا الدماغ، فإذا مات الدماغ زال محلّ الحياة، وبقاء النبض بالآلة حركة آليّة لا عبرة بها.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القياس على ما قرّره الفقهاء المتقدّمون في "حركة المذبوح"، فإنهم جعلوا من لم تبق فيه حياة مستقرّة في حكم الميت وإن بقيت فيه حركة اضطراريّة، ورتّبوا على ذلك أحكامًا في الجنايات</w:t>
      </w:r>
      <w:r>
        <w:rPr>
          <w:rStyle w:val="FootnoteReference"/>
        </w:rPr>
        <w:footnoteReference w:id="56"/>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قاعدتا "لا ضرر ولا ضرار" و"درء المفاسد أولى من جلب المصالح": ففي إبقاء الأجهزة إضرار بالأهل وبالمرضى المحتاجين إليها وعبث بجثمان الميت</w:t>
      </w:r>
      <w:r>
        <w:rPr>
          <w:rStyle w:val="FootnoteReference"/>
        </w:rPr>
        <w:footnoteReference w:id="57"/>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الثالث: مناقشة أدلّتهم.</w:t>
      </w:r>
    </w:p>
    <w:p>
      <w:pPr>
        <w:bidi/>
        <w:spacing w:after="160" w:line="360"/>
        <w:jc w:val="both"/>
      </w:pPr>
      <w:r>
        <w:rPr>
          <w:rFonts w:ascii="Simplified Arabic" w:cs="Simplified Arabic" w:eastAsia="Simplified Arabic" w:hAnsi="Simplified Arabic"/>
          <w:b w:val="false"/>
          <w:bCs w:val="false"/>
          <w:sz w:val="28"/>
          <w:szCs w:val="28"/>
          <w:rtl/>
        </w:rPr>
        <w:t xml:space="preserve">نوقشت أدلّتهم بأنّ إجماع الأطباء إنما ينصبّ على الوقائع الطبيّة لا على التكييف الشرعيّ، وأنّ في تنزيل أحكام الأموات كلّها دفعة واحدة على من قلبه نابض حرجًا ظاهرًا على الأهل ومزلقًا يُخشى منه التوسّع، وأنّ حالات الخطأ التشخيصيّ المسجّلة، وإن كانت نادرة، تمنع دعوى اليقين القاطع.</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بيان أقوال الفقهاء المعارضين وأدلّتهم ومناقشتها.</w:t>
      </w:r>
    </w:p>
    <w:p>
      <w:pPr>
        <w:bidi/>
        <w:spacing w:after="120" w:before="160" w:line="360"/>
        <w:jc w:val="right"/>
      </w:pPr>
      <w:r>
        <w:rPr>
          <w:rFonts w:ascii="Simplified Arabic" w:cs="Simplified Arabic" w:eastAsia="Simplified Arabic" w:hAnsi="Simplified Arabic"/>
          <w:b/>
          <w:bCs/>
          <w:sz w:val="28"/>
          <w:szCs w:val="28"/>
          <w:rtl/>
        </w:rPr>
        <w:t xml:space="preserve">الفرع الأوّل: أقوالهم.</w:t>
      </w:r>
    </w:p>
    <w:p>
      <w:pPr>
        <w:bidi/>
        <w:spacing w:after="160" w:line="360"/>
        <w:jc w:val="both"/>
      </w:pPr>
      <w:r>
        <w:rPr>
          <w:rFonts w:ascii="Simplified Arabic" w:cs="Simplified Arabic" w:eastAsia="Simplified Arabic" w:hAnsi="Simplified Arabic"/>
          <w:b w:val="false"/>
          <w:bCs w:val="false"/>
          <w:sz w:val="28"/>
          <w:szCs w:val="28"/>
          <w:rtl/>
        </w:rPr>
        <w:t xml:space="preserve">ذهب فريق آخر من الفقهاء، وعليه قرار المجمع الفقهيّ برابطة العالم الإسلاميّ سنة 1987م في شقّه المتعلق بأحكام الوفاة، وهو اختيار جمع من علماء المملكة وغيرهم، ومنهم الشيخ ابن عثيمين</w:t>
      </w:r>
      <w:r>
        <w:rPr>
          <w:rStyle w:val="FootnoteReference"/>
        </w:rPr>
        <w:footnoteReference w:id="58"/>
      </w:r>
      <w:r>
        <w:rPr>
          <w:rFonts w:ascii="Simplified Arabic" w:cs="Simplified Arabic" w:eastAsia="Simplified Arabic" w:hAnsi="Simplified Arabic"/>
          <w:b w:val="false"/>
          <w:bCs w:val="false"/>
          <w:sz w:val="28"/>
          <w:szCs w:val="28"/>
          <w:rtl/>
        </w:rPr>
        <w:t xml:space="preserve"> رحمه الله، إلى أنّ الميت دماغيًّا لا يُحكم بموته شرعًا ولا تجري عليه أحكام الأموات حتى يتوقف قلبه وتنفّسه توقفًا تامًّا</w:t>
      </w:r>
      <w:r>
        <w:rPr>
          <w:rStyle w:val="FootnoteReference"/>
        </w:rPr>
        <w:footnoteReference w:id="59"/>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أدلّتهم.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الحياة ثابتة بيقين، واليقين لا يزول بالشكّ، ونبض القلب ودوران الدم ودفء الجسد مظاهر حياة قائمة، فلا يُحكم بزوالها بمعيار مستحدث مختلف فيه.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الروح أمر غيبيّ لا سبيل إلى القطع بمفارقتها ما دامت في الجسد آثار حياة، والدماغ عضو من الأعضاء، وموته موت عضو لا موت إنسان.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سُجّل من حالات أخطاء في التشخيص، وحالات استمرّ فيها الجسد المدعوم أسابيع وشهورًا، ومنها حالات حوامل ميتات دماغيًّا اكتمل حمل أجنّتهنّ، فدلّ على بقاء تدبير حيويّ في الجسد</w:t>
      </w:r>
      <w:r>
        <w:rPr>
          <w:rStyle w:val="FootnoteReference"/>
        </w:rPr>
        <w:footnoteReference w:id="60"/>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الثالث: مناقشة أدلّتهم.</w:t>
      </w:r>
    </w:p>
    <w:p>
      <w:pPr>
        <w:bidi/>
        <w:spacing w:after="160" w:line="360"/>
        <w:jc w:val="both"/>
      </w:pPr>
      <w:r>
        <w:rPr>
          <w:rFonts w:ascii="Simplified Arabic" w:cs="Simplified Arabic" w:eastAsia="Simplified Arabic" w:hAnsi="Simplified Arabic"/>
          <w:b w:val="false"/>
          <w:bCs w:val="false"/>
          <w:sz w:val="28"/>
          <w:szCs w:val="28"/>
          <w:rtl/>
        </w:rPr>
        <w:t xml:space="preserve">نوقشت أدلّتهم بأنّ قاعدة اليقين إنما تُعمل عند الشكّ، والتشخيص الموثّق وفق البروتوكول الكامل ليس شكًّا بل يقين طبيّ عن أهل الاختصاص؛ وأنّ حالات الخطأ كلّها حالات أُخلّ فيها بالبروتوكول، والنادر لا حكم له، وسبيله إحكام الضوابط لا إلغاء المعيار</w:t>
      </w:r>
      <w:r>
        <w:rPr>
          <w:rStyle w:val="FootnoteReference"/>
        </w:rPr>
        <w:footnoteReference w:id="61"/>
      </w:r>
      <w:r>
        <w:rPr>
          <w:rFonts w:ascii="Simplified Arabic" w:cs="Simplified Arabic" w:eastAsia="Simplified Arabic" w:hAnsi="Simplified Arabic"/>
          <w:b w:val="false"/>
          <w:bCs w:val="false"/>
          <w:sz w:val="28"/>
          <w:szCs w:val="28"/>
          <w:rtl/>
        </w:rPr>
        <w:t xml:space="preserve">؛ وأنّ بقاء بعض الوظائف الموضعيّة كالحمل مردّه إلى أنّ بعض الأعضاء تعمل عملًا ذاتيًّا إذا وصلها الدم المؤكسج، وليس دليلًا على حياة الإنسان بما هو إنسان.</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الردّ على الأدلّة.</w:t>
      </w:r>
    </w:p>
    <w:p>
      <w:pPr>
        <w:bidi/>
        <w:spacing w:after="120" w:before="160" w:line="360"/>
        <w:jc w:val="right"/>
      </w:pPr>
      <w:r>
        <w:rPr>
          <w:rFonts w:ascii="Simplified Arabic" w:cs="Simplified Arabic" w:eastAsia="Simplified Arabic" w:hAnsi="Simplified Arabic"/>
          <w:b/>
          <w:bCs/>
          <w:sz w:val="28"/>
          <w:szCs w:val="28"/>
          <w:rtl/>
        </w:rPr>
        <w:t xml:space="preserve">الفرع الأوّل: الردّ على أدلّة المؤيّدين.</w:t>
      </w:r>
    </w:p>
    <w:p>
      <w:pPr>
        <w:bidi/>
        <w:spacing w:after="160" w:line="360"/>
        <w:jc w:val="both"/>
      </w:pPr>
      <w:r>
        <w:rPr>
          <w:rFonts w:ascii="Simplified Arabic" w:cs="Simplified Arabic" w:eastAsia="Simplified Arabic" w:hAnsi="Simplified Arabic"/>
          <w:b w:val="false"/>
          <w:bCs w:val="false"/>
          <w:sz w:val="28"/>
          <w:szCs w:val="28"/>
          <w:rtl/>
        </w:rPr>
        <w:t xml:space="preserve">أقوى ما يَرِد على المؤيّدين أمران: الأوّل: أنّ جعل شهادة الأطباء مفيدة لليقين الشرعيّ على إطلاقها فيه توسّع؛ والجواب أنّ الشرع اعتبر قول أهل الخبرة في أبواب كثيرة، من التقويم إلى إثبات العيوب، ومناط الاعتبار غلبة الظنّ المؤكّدة، وهي حاصلة باستيفاء البروتوكول واللجان. والثاني: خطر التوسّع وسوء الاستعمال، خاصة مع إغراء زراعة الأعضاء؛ والجواب أنّ سوء الاستعمال يُدفع بالضوابط، ومنها استقلال لجنة التشخيص، لا بإهدار الحكم من أصله، فالشريعة لم تسدّ باب الشهادة خوف شهادة الزور.</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على أدلّة المعارضين.</w:t>
      </w:r>
    </w:p>
    <w:p>
      <w:pPr>
        <w:bidi/>
        <w:spacing w:after="160" w:line="360"/>
        <w:jc w:val="both"/>
      </w:pPr>
      <w:r>
        <w:rPr>
          <w:rFonts w:ascii="Simplified Arabic" w:cs="Simplified Arabic" w:eastAsia="Simplified Arabic" w:hAnsi="Simplified Arabic"/>
          <w:b w:val="false"/>
          <w:bCs w:val="false"/>
          <w:sz w:val="28"/>
          <w:szCs w:val="28"/>
          <w:rtl/>
        </w:rPr>
        <w:t xml:space="preserve">وأقوى ما يَرِد على المعارضين أنّ التمسّك بنبض القلب معيارًا وحيدًا يفضي إلى لوازم لا يلتزمونها: فالقلب قد يُنزع من الصدر ويبقى نابضًا في المحلول، وقد يُزرع قلب صناعيّ فيمن لا قلب له وهو حيّ يمشي، فدلّ على أنّ النبض ليس هو الحياة، وإنما هو خاصيّة عضليّة كهربائيّة. ثم إنّ أكثر المعارضين أنفسهم أجازوا رفع الأجهزة عمّن مات دماغه، وهو تسليم عمليّ بأنّ هذه الحالة ليست حياة معصومة كاملة، وإلا لما جاز رفع ما تتوقف عليه</w:t>
      </w:r>
      <w:r>
        <w:rPr>
          <w:rStyle w:val="FootnoteReference"/>
        </w:rPr>
        <w:footnoteReference w:id="62"/>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الرابع: القول الراجح في المسألة.</w:t>
      </w:r>
    </w:p>
    <w:p>
      <w:pPr>
        <w:bidi/>
        <w:spacing w:after="120" w:before="160" w:line="360"/>
        <w:jc w:val="right"/>
      </w:pPr>
      <w:r>
        <w:rPr>
          <w:rFonts w:ascii="Simplified Arabic" w:cs="Simplified Arabic" w:eastAsia="Simplified Arabic" w:hAnsi="Simplified Arabic"/>
          <w:b/>
          <w:bCs/>
          <w:sz w:val="28"/>
          <w:szCs w:val="28"/>
          <w:rtl/>
        </w:rPr>
        <w:t xml:space="preserve">الفرع الأوّل: القول الراجح.</w:t>
      </w:r>
    </w:p>
    <w:p>
      <w:pPr>
        <w:bidi/>
        <w:spacing w:after="160" w:line="360"/>
        <w:jc w:val="both"/>
      </w:pPr>
      <w:r>
        <w:rPr>
          <w:rFonts w:ascii="Simplified Arabic" w:cs="Simplified Arabic" w:eastAsia="Simplified Arabic" w:hAnsi="Simplified Arabic"/>
          <w:b w:val="false"/>
          <w:bCs w:val="false"/>
          <w:sz w:val="28"/>
          <w:szCs w:val="28"/>
          <w:rtl/>
        </w:rPr>
        <w:t xml:space="preserve">الذي يترجّح لي هو مسلك الجمع الذي يظهر من مجموع قراري المجمعين، وحاصله: أنّ من ثبت تعطّل جميع وظائف دماغه تعطّلًا نهائيًّا لا رجعة فيه، باستيفاء الضوابط الطبيّة والشرعيّة، يجوز نزع أجهزة الإنعاش عنه، بل هو الأولى؛ صيانةً لكرامة الميت، ورفعًا للحرج والضرر عن الأهل، وإيثارًا بالأجهزة لمن تُرجى حياته. وأمّا الأحكام الشرعيّة المترتبة على الوفاة، كقسمة الميراث وابتداء عدّة الزوجة، فيُحتاط فيها فلا تجري إلا بعد التوقف التامّ للقلب والتنفّس عقب رفع الأجهزة؛ خروجًا من الخلاف وسدًّا لذريعة التلاعب.</w:t>
      </w:r>
    </w:p>
    <w:p>
      <w:pPr>
        <w:bidi/>
        <w:spacing w:after="120" w:before="160" w:line="360"/>
        <w:jc w:val="right"/>
      </w:pPr>
      <w:r>
        <w:rPr>
          <w:rFonts w:ascii="Simplified Arabic" w:cs="Simplified Arabic" w:eastAsia="Simplified Arabic" w:hAnsi="Simplified Arabic"/>
          <w:b/>
          <w:bCs/>
          <w:sz w:val="28"/>
          <w:szCs w:val="28"/>
          <w:rtl/>
        </w:rPr>
        <w:t xml:space="preserve">الفرع الثاني: مبرّرات الترجيح.</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أنه يُعمل أدلّة الفريقين جميعًا، وإعمال الدليلين أولى من إهمال أحدهما.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أنه يحقّق مقاصد الشريعة مجتمعة: حفظ النفس بمنع التعجّل، وحفظ الكرامة برفع العبث بالجثمان، وحفظ المال، ورفع الحرج عن الأطباء والأهل.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أنه المسلك الذي استقرّت عليه عمليًّا أكثر التشريعات في بلاد المسلمين وجرى عليه العمل في المستشفيات.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أنّ فيه إعمالًا لفقه الموازنات بدرء أعظم المفسدتين بارتكاب أخفّهما</w:t>
      </w:r>
      <w:r>
        <w:rPr>
          <w:rStyle w:val="FootnoteReference"/>
        </w:rPr>
        <w:footnoteReference w:id="63"/>
      </w:r>
      <w:r>
        <w:rPr>
          <w:rFonts w:ascii="Simplified Arabic" w:cs="Simplified Arabic" w:eastAsia="Simplified Arabic" w:hAnsi="Simplified Arabic"/>
          <w:b w:val="false"/>
          <w:bCs w:val="false"/>
          <w:sz w:val="28"/>
          <w:szCs w:val="28"/>
          <w:rtl/>
        </w:rPr>
        <w:t xml:space="preserve">.</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الرابع: موقف القانون والطبّ والاجتماع والعلم في المسألة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الموقف والأقوال القانونيّة (قوانين سبع دول).</w:t>
      </w:r>
    </w:p>
    <w:p>
      <w:pPr>
        <w:bidi/>
        <w:spacing w:after="120" w:before="160" w:line="360"/>
        <w:jc w:val="right"/>
      </w:pPr>
      <w:r>
        <w:rPr>
          <w:rFonts w:ascii="Simplified Arabic" w:cs="Simplified Arabic" w:eastAsia="Simplified Arabic" w:hAnsi="Simplified Arabic"/>
          <w:b/>
          <w:bCs/>
          <w:sz w:val="28"/>
          <w:szCs w:val="28"/>
          <w:rtl/>
        </w:rPr>
        <w:t xml:space="preserve">الفرع الأوّل: فلسطين.</w:t>
      </w:r>
    </w:p>
    <w:p>
      <w:pPr>
        <w:bidi/>
        <w:spacing w:after="160" w:line="360"/>
        <w:jc w:val="both"/>
      </w:pPr>
      <w:r>
        <w:rPr>
          <w:rFonts w:ascii="Simplified Arabic" w:cs="Simplified Arabic" w:eastAsia="Simplified Arabic" w:hAnsi="Simplified Arabic"/>
          <w:b w:val="false"/>
          <w:bCs w:val="false"/>
          <w:sz w:val="28"/>
          <w:szCs w:val="28"/>
          <w:rtl/>
        </w:rPr>
        <w:t xml:space="preserve">لا يوجد في فلسطين تشريع خاص بالموت الدماغيّ، ويجري العمل بقانون الصحة العامة رقم (20) لسنة 2004م الذي نظّم أحكام مزاولة المهن الطبيّة ونقل الأعضاء بضوابط عامة، وترجع المستشفيات والأسر في تفاصيل النازلة إلى فتاوى مجالس الإفتاء والاجتهادات المهنيّة</w:t>
      </w:r>
      <w:r>
        <w:rPr>
          <w:rStyle w:val="FootnoteReference"/>
        </w:rPr>
        <w:footnoteReference w:id="64"/>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الأردن.</w:t>
      </w:r>
    </w:p>
    <w:p>
      <w:pPr>
        <w:bidi/>
        <w:spacing w:after="160" w:line="360"/>
        <w:jc w:val="both"/>
      </w:pPr>
      <w:r>
        <w:rPr>
          <w:rFonts w:ascii="Simplified Arabic" w:cs="Simplified Arabic" w:eastAsia="Simplified Arabic" w:hAnsi="Simplified Arabic"/>
          <w:b w:val="false"/>
          <w:bCs w:val="false"/>
          <w:sz w:val="28"/>
          <w:szCs w:val="28"/>
          <w:rtl/>
        </w:rPr>
        <w:t xml:space="preserve">يُعدّ الأردن من أسبق الدول العربيّة إلى تنظيم المسألة؛ فقد أخذ قانون الانتفاع بأعضاء جسم الإنسان رقم (23) لسنة 1977م وتعديلاته بإثبات الوفاة بتقرير لجنة من الأطباء الاختصاصيّين، بما يشمل حالات موت الدماغ، في سياق نقل الأعضاء</w:t>
      </w:r>
      <w:r>
        <w:rPr>
          <w:rStyle w:val="FootnoteReference"/>
        </w:rPr>
        <w:footnoteReference w:id="65"/>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الثالث: مصر.</w:t>
      </w:r>
    </w:p>
    <w:p>
      <w:pPr>
        <w:bidi/>
        <w:spacing w:after="160" w:line="360"/>
        <w:jc w:val="both"/>
      </w:pPr>
      <w:r>
        <w:rPr>
          <w:rFonts w:ascii="Simplified Arabic" w:cs="Simplified Arabic" w:eastAsia="Simplified Arabic" w:hAnsi="Simplified Arabic"/>
          <w:b w:val="false"/>
          <w:bCs w:val="false"/>
          <w:sz w:val="28"/>
          <w:szCs w:val="28"/>
          <w:rtl/>
        </w:rPr>
        <w:t xml:space="preserve">ربط المشرّع المصريّ أحكام الوفاة الدماغيّة بقانون تنظيم زرع الأعضاء البشريّة رقم (5) لسنة 2010م الذي اشترط ثبوت الموت ثبوتًا يقينيًّا بتقرير لجنة ثلاثيّة من الأطباء المتخصّصين</w:t>
      </w:r>
      <w:r>
        <w:rPr>
          <w:rStyle w:val="FootnoteReference"/>
        </w:rPr>
        <w:footnoteReference w:id="66"/>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الرابع: الإمارات.</w:t>
      </w:r>
    </w:p>
    <w:p>
      <w:pPr>
        <w:bidi/>
        <w:spacing w:after="160" w:line="360"/>
        <w:jc w:val="both"/>
      </w:pPr>
      <w:r>
        <w:rPr>
          <w:rFonts w:ascii="Simplified Arabic" w:cs="Simplified Arabic" w:eastAsia="Simplified Arabic" w:hAnsi="Simplified Arabic"/>
          <w:b w:val="false"/>
          <w:bCs w:val="false"/>
          <w:sz w:val="28"/>
          <w:szCs w:val="28"/>
          <w:rtl/>
        </w:rPr>
        <w:t xml:space="preserve">نظّم المشرّع الإماراتيّ المسألة تنظيمًا مفصّلًا في المرسوم بقانون اتحاديّ رقم (4) لسنة 2016م بشأن المسؤوليّة الطبيّة ولوائحه، التي حدّدت معايير تشخيص الوفاة الدماغيّة وإجراءات لجانها، وأجازت رفع الأجهزة بعد ثبوتها</w:t>
      </w:r>
      <w:r>
        <w:rPr>
          <w:rStyle w:val="FootnoteReference"/>
        </w:rPr>
        <w:footnoteReference w:id="67"/>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الخامس: إسرائيل.</w:t>
      </w:r>
    </w:p>
    <w:p>
      <w:pPr>
        <w:bidi/>
        <w:spacing w:after="160" w:line="360"/>
        <w:jc w:val="both"/>
      </w:pPr>
      <w:r>
        <w:rPr>
          <w:rFonts w:ascii="Simplified Arabic" w:cs="Simplified Arabic" w:eastAsia="Simplified Arabic" w:hAnsi="Simplified Arabic"/>
          <w:b w:val="false"/>
          <w:bCs w:val="false"/>
          <w:sz w:val="28"/>
          <w:szCs w:val="28"/>
          <w:rtl/>
        </w:rPr>
        <w:t xml:space="preserve">نظّم قانون الموت الدماغيّ-التنفّسيّ لسنة 2008م إعلان الوفاة الدماغيّة، فاشترط تشخيصًا بواسطة طبيبَين مؤهَّلَين اعتمدتهما لجنة خاصة، وإثبات توقف التنفّس الذاتيّ وتعطّل جذع الدماغ بفحص سريريّ وفحص مسانِد آليّ، وأوجب مراعاة موقف الأسرة، فمن اعترض أهله لأسباب دينيّة أو ضميريّة لا تُنزع عنه أجهزة التنفّس حتى يتوقف قلبه</w:t>
      </w:r>
      <w:r>
        <w:rPr>
          <w:rStyle w:val="FootnoteReference"/>
        </w:rPr>
        <w:footnoteReference w:id="68"/>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السادس: الولايات المتحدة.</w:t>
      </w:r>
    </w:p>
    <w:p>
      <w:pPr>
        <w:bidi/>
        <w:spacing w:after="160" w:line="360"/>
        <w:jc w:val="both"/>
      </w:pPr>
      <w:r>
        <w:rPr>
          <w:rFonts w:ascii="Simplified Arabic" w:cs="Simplified Arabic" w:eastAsia="Simplified Arabic" w:hAnsi="Simplified Arabic"/>
          <w:b w:val="false"/>
          <w:bCs w:val="false"/>
          <w:sz w:val="28"/>
          <w:szCs w:val="28"/>
          <w:rtl/>
        </w:rPr>
        <w:t xml:space="preserve">استقرّ القانون الأمريكيّ منذ قانون التحديد الموحّد للوفاة سنة 1981م على ثبوت الوفاة بأحد معيارين: التوقف النهائيّ للدورة الدمويّة والتنفّس، أو التوقف النهائيّ لجميع وظائف الدماغ. وكشفت قضيّتا ماكماث ومونيوز حساسيّة التطبيق: ففي الأولى أصرّ الأهل على إبقاء الأجهزة بعد إعلان الموت، وفي الثانية أبقى المستشفى أجهزة حامل ميتة دماغيًّا رغم إرادة زوجها حتى فصلت المحكمة، وبيّن الفقيه القانونيّ غوستين أنّ القانون لا يلزم المستشفيات بدعم جثمان الميت، مع مراعاة تسوية إنسانيّة مؤقتة لمشاعر الأهل</w:t>
      </w:r>
      <w:r>
        <w:rPr>
          <w:rStyle w:val="FootnoteReference"/>
        </w:rPr>
        <w:footnoteReference w:id="69"/>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السابع: فرنسا.</w:t>
      </w:r>
    </w:p>
    <w:p>
      <w:pPr>
        <w:bidi/>
        <w:spacing w:after="160" w:line="360"/>
        <w:jc w:val="both"/>
      </w:pPr>
      <w:r>
        <w:rPr>
          <w:rFonts w:ascii="Simplified Arabic" w:cs="Simplified Arabic" w:eastAsia="Simplified Arabic" w:hAnsi="Simplified Arabic"/>
          <w:b w:val="false"/>
          <w:bCs w:val="false"/>
          <w:sz w:val="28"/>
          <w:szCs w:val="28"/>
          <w:rtl/>
        </w:rPr>
        <w:t xml:space="preserve">أخذ القانون الفرنسيّ بالمعيار العصبيّ للوفاة، وأضاف قانون ليونيتي لسنة 2005م المتعلق بحقوق المرضى ونهاية الحياة مبدأ منع "العناد العلاجيّ غير المعقول"، فأجاز الامتناع عن العلاجات العبثيّة التي لا ترجى منها فائدة أو وقفها، بضوابط جماعيّة تشاوريّة، مع تحريم القتل الإيجابيّ</w:t>
      </w:r>
      <w:r>
        <w:rPr>
          <w:rStyle w:val="FootnoteReference"/>
        </w:rPr>
        <w:footnoteReference w:id="70"/>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الموقف والأقوال الطبيّة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الموقف الطبيّ العالميّ مستقرّ على أنّ الموت الدماغيّ الموثّق موت للإنسان، وأنّ استمرار الدعم بعده ليس علاجًا؛ وقد فصّلت الأكاديميّة الأمريكيّة لطبّ الأعصاب بروتوكول التشخيص وحدّدت آداب التعامل مع اعتراضات الأسر</w:t>
      </w:r>
      <w:r>
        <w:rPr>
          <w:rStyle w:val="FootnoteReference"/>
        </w:rPr>
        <w:footnoteReference w:id="71"/>
      </w:r>
      <w:r>
        <w:rPr>
          <w:rFonts w:ascii="Simplified Arabic" w:cs="Simplified Arabic" w:eastAsia="Simplified Arabic" w:hAnsi="Simplified Arabic"/>
          <w:b w:val="false"/>
          <w:bCs w:val="false"/>
          <w:sz w:val="28"/>
          <w:szCs w:val="28"/>
          <w:rtl/>
        </w:rPr>
        <w:t xml:space="preserve">، كما تتواصل البحوث في تجويد أدوات التثبّت من الفحوص المساندة</w:t>
      </w:r>
      <w:r>
        <w:rPr>
          <w:rStyle w:val="FootnoteReference"/>
        </w:rPr>
        <w:footnoteReference w:id="72"/>
      </w:r>
      <w:r>
        <w:rPr>
          <w:rFonts w:ascii="Simplified Arabic" w:cs="Simplified Arabic" w:eastAsia="Simplified Arabic" w:hAnsi="Simplified Arabic"/>
          <w:b w:val="false"/>
          <w:bCs w:val="false"/>
          <w:sz w:val="28"/>
          <w:szCs w:val="28"/>
          <w:rtl/>
        </w:rPr>
        <w:t xml:space="preserve"> واختبار انقطاع النفَس</w:t>
      </w:r>
      <w:r>
        <w:rPr>
          <w:rStyle w:val="FootnoteReference"/>
        </w:rPr>
        <w:footnoteReference w:id="73"/>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الموقف والأقوال الاجتماعيّة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الاتجاه الاجتماعيّ الغالب في الأوساط الطبيّة والبحثيّة هو الدعوة إلى تفهيم الأسر حقيقة الموت الدماغيّ بلغة رحيمة، وإعطائها مهلة إنسانيّة للوداع، وعدم تحويل الخلاف مع الأهل إلى صدام قضائيّ إلا عند الضرورة؛ وقد أظهرت قضيّة ماكماث أنّ الصدام يطيل ألم الجميع</w:t>
      </w:r>
      <w:r>
        <w:rPr>
          <w:rStyle w:val="FootnoteReference"/>
        </w:rPr>
        <w:footnoteReference w:id="74"/>
      </w:r>
      <w:r>
        <w:rPr>
          <w:rFonts w:ascii="Simplified Arabic" w:cs="Simplified Arabic" w:eastAsia="Simplified Arabic" w:hAnsi="Simplified Arabic"/>
          <w:b w:val="false"/>
          <w:bCs w:val="false"/>
          <w:sz w:val="28"/>
          <w:szCs w:val="28"/>
          <w:rtl/>
        </w:rPr>
        <w:t xml:space="preserve">. وفي مجتمعاتنا المسلمة يتأكّد دور العلماء والأئمة في مرافقة الأسر عند هذه النازلة</w:t>
      </w:r>
      <w:r>
        <w:rPr>
          <w:rStyle w:val="FootnoteReference"/>
        </w:rPr>
        <w:footnoteReference w:id="75"/>
      </w:r>
      <w:r>
        <w:rPr>
          <w:rFonts w:ascii="Simplified Arabic" w:cs="Simplified Arabic" w:eastAsia="Simplified Arabic" w:hAnsi="Simplified Arabic"/>
          <w:b w:val="false"/>
          <w:bCs w:val="false"/>
          <w:sz w:val="28"/>
          <w:szCs w:val="28"/>
          <w:rtl/>
        </w:rPr>
        <w:t xml:space="preserve">.</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الرابع: الموقف والأقوال العلميّة والتقنيّة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أثمر التقدّم التقنيّ أدوات تثبّت غير مسبوقة: تصوير الأوعية الدماغيّة الرقميّ، والدوبلر عبر الجمجمة، والتصوير النوويّ لجريان الدم، وكلّها تكشف انقطاع الدم عن الدماغ كشفًا ماديًّا مشاهدًا</w:t>
      </w:r>
      <w:r>
        <w:rPr>
          <w:rStyle w:val="FootnoteReference"/>
        </w:rPr>
        <w:footnoteReference w:id="76"/>
      </w:r>
      <w:r>
        <w:rPr>
          <w:rFonts w:ascii="Simplified Arabic" w:cs="Simplified Arabic" w:eastAsia="Simplified Arabic" w:hAnsi="Simplified Arabic"/>
          <w:b w:val="false"/>
          <w:bCs w:val="false"/>
          <w:sz w:val="28"/>
          <w:szCs w:val="28"/>
          <w:rtl/>
        </w:rPr>
        <w:t xml:space="preserve">؛ كما فتح باب زراعة الأعضاء من الموتى دماغيًّا آفاقًا لإنقاذ أرواح، وأوجب في المقابل ضوابط صارمة تمنع تحوّل التشخيص إلى وسيلة حصاد أعضاء</w:t>
      </w:r>
      <w:r>
        <w:rPr>
          <w:rStyle w:val="FootnoteReference"/>
        </w:rPr>
        <w:footnoteReference w:id="77"/>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تعقيب: </w:t>
      </w:r>
      <w:r>
        <w:rPr>
          <w:rFonts w:ascii="Simplified Arabic" w:cs="Simplified Arabic" w:eastAsia="Simplified Arabic" w:hAnsi="Simplified Arabic"/>
          <w:b w:val="false"/>
          <w:bCs w:val="false"/>
          <w:sz w:val="28"/>
          <w:szCs w:val="28"/>
          <w:rtl/>
        </w:rPr>
        <w:t xml:space="preserve">الملاحظ من الموازنة بين الفقه والقانون أنّ القوانين العربيّة لم تبتدع معيارها ابتداعًا، بل بنت على قرارات المجامع الفقهيّة، حتى صارت صيغة "لجنة من ثلاثة أطباء اختصاصيّين خبراء" تتردّد في النصوص القانونيّة كما وردت في قرار المجمع تقريبًا بحروفها؛ وهذا شاهد عمليّ على قدرة الفقه الإسلاميّ على قيادة التقنين في النوازل الكبرى لا مجرّد اللحاق به.</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الفصل الخامس: الفتاوى المؤيّدة والمعارضة في المسألة</w:t>
      </w:r>
    </w:p>
    <w:p>
      <w:pPr>
        <w:bidi/>
        <w:spacing w:after="200" w:line="360"/>
        <w:jc w:val="center"/>
      </w:pPr>
      <w:r>
        <w:rPr>
          <w:rFonts w:ascii="Simplified Arabic" w:cs="Simplified Arabic" w:eastAsia="Simplified Arabic" w:hAnsi="Simplified Arabic"/>
          <w:b/>
          <w:bCs/>
          <w:sz w:val="28"/>
          <w:szCs w:val="28"/>
          <w:rtl/>
        </w:rPr>
        <w:t xml:space="preserve">وفيه مبحثان:</w:t>
      </w:r>
    </w:p>
    <w:p>
      <w:pPr>
        <w:bidi/>
        <w:spacing w:after="200" w:line="360"/>
        <w:jc w:val="center"/>
      </w:pPr>
      <w:r>
        <w:rPr>
          <w:rFonts w:ascii="Simplified Arabic" w:cs="Simplified Arabic" w:eastAsia="Simplified Arabic" w:hAnsi="Simplified Arabic"/>
          <w:b/>
          <w:bCs/>
          <w:sz w:val="28"/>
          <w:szCs w:val="28"/>
          <w:rtl/>
        </w:rPr>
        <w:t xml:space="preserve">المبحث الأوّل: الفتاوى والقرارات المؤيّدة (ثلاث فتاوى مع الردّ والتعقيب).</w:t>
      </w:r>
    </w:p>
    <w:p>
      <w:pPr>
        <w:bidi/>
        <w:spacing w:after="200" w:line="360"/>
        <w:jc w:val="center"/>
      </w:pPr>
      <w:r>
        <w:rPr>
          <w:rFonts w:ascii="Simplified Arabic" w:cs="Simplified Arabic" w:eastAsia="Simplified Arabic" w:hAnsi="Simplified Arabic"/>
          <w:b/>
          <w:bCs/>
          <w:sz w:val="28"/>
          <w:szCs w:val="28"/>
          <w:rtl/>
        </w:rPr>
        <w:t xml:space="preserve">المبحث الثاني: الفتاوى والقرارات المعارضة (ثلاث فتاوى مع الردّ والتعقيب).</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الأوّل: الفتاوى والقرارات المؤيّدة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قرار مجمع الفقه الإسلاميّ الدوليّ (عمّان 1986م).</w:t>
      </w:r>
    </w:p>
    <w:p>
      <w:pPr>
        <w:bidi/>
        <w:spacing w:after="120" w:before="160" w:line="360"/>
        <w:jc w:val="right"/>
      </w:pPr>
      <w:r>
        <w:rPr>
          <w:rFonts w:ascii="Simplified Arabic" w:cs="Simplified Arabic" w:eastAsia="Simplified Arabic" w:hAnsi="Simplified Arabic"/>
          <w:b/>
          <w:bCs/>
          <w:sz w:val="28"/>
          <w:szCs w:val="28"/>
          <w:rtl/>
        </w:rPr>
        <w:t xml:space="preserve">الفرع الأوّل: نصّ القرار.</w:t>
      </w:r>
    </w:p>
    <w:p>
      <w:pPr>
        <w:bidi/>
        <w:spacing w:after="160" w:line="360"/>
        <w:jc w:val="both"/>
      </w:pPr>
      <w:r>
        <w:rPr>
          <w:rFonts w:ascii="Simplified Arabic" w:cs="Simplified Arabic" w:eastAsia="Simplified Arabic" w:hAnsi="Simplified Arabic"/>
          <w:b w:val="false"/>
          <w:bCs w:val="false"/>
          <w:sz w:val="28"/>
          <w:szCs w:val="28"/>
          <w:rtl/>
        </w:rPr>
        <w:t xml:space="preserve">نصّ القرار رقم (5) د 3/07/86 على أنه: "يعتبر شرعًا أنّ الشخص قد مات وتترتب جميع الأحكام المقرّرة شرعًا للوفاة عند ذلك، إذا تبيّنت فيه إحدى العلامتين التاليتين: إذا توقف قلبه وتنفّسه توقفًا تامًّا وحكم الأطباء بأنّ هذا التوقف لا رجعة فيه، أو إذا تعطّلت جميع وظائف دماغه تعطّلًا نهائيًّا وحكم الأطباء الاختصاصيّون الخبراء بأنّ هذا التعطّل لا رجعة فيه وأخذ دماغه في التحلّل. وفي هذه الحالة يسوغ رفع أجهزة الإنعاش المركّبة على الشخص وإن كان بعض الأعضاء كالقلب مثلًا لا يزال يعمل آليًّا بفعل الأجهزة المركّبة"</w:t>
      </w:r>
      <w:r>
        <w:rPr>
          <w:rStyle w:val="FootnoteReference"/>
        </w:rPr>
        <w:footnoteReference w:id="78"/>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هذا القرار هو عمدة القول الأوّل، وقوّته في صدوره عن أوسع مجمع فقهيّ تمثيلًا بعد سماع أهل الاختصاص. ويلاحَظ عليه أمران: أنه علّق الحكم على أخذ الدماغ في التحلّل، وهو قيد احترازيّ بليغ يرفع درجة اليقين؛ وأنّ إطلاق ترتيب "جميع الأحكام" على الوفاة الدماغيّة هو موضع المؤاخذة عند المعارضين، والاحتياط في الأحكام الماليّة والأسريّة أليق، كما رجّحنا.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توصية ندوة المنظمة الإسلاميّة للعلوم الطبيّة (الكويت 1985م).</w:t>
      </w:r>
    </w:p>
    <w:p>
      <w:pPr>
        <w:bidi/>
        <w:spacing w:after="120" w:before="160" w:line="360"/>
        <w:jc w:val="right"/>
      </w:pPr>
      <w:r>
        <w:rPr>
          <w:rFonts w:ascii="Simplified Arabic" w:cs="Simplified Arabic" w:eastAsia="Simplified Arabic" w:hAnsi="Simplified Arabic"/>
          <w:b/>
          <w:bCs/>
          <w:sz w:val="28"/>
          <w:szCs w:val="28"/>
          <w:rtl/>
        </w:rPr>
        <w:t xml:space="preserve">الفرع الأوّل: مضمون التوصية.</w:t>
      </w:r>
    </w:p>
    <w:p>
      <w:pPr>
        <w:bidi/>
        <w:spacing w:after="160" w:line="360"/>
        <w:jc w:val="both"/>
      </w:pPr>
      <w:r>
        <w:rPr>
          <w:rFonts w:ascii="Simplified Arabic" w:cs="Simplified Arabic" w:eastAsia="Simplified Arabic" w:hAnsi="Simplified Arabic"/>
          <w:b w:val="false"/>
          <w:bCs w:val="false"/>
          <w:sz w:val="28"/>
          <w:szCs w:val="28"/>
          <w:rtl/>
        </w:rPr>
        <w:t xml:space="preserve">انتهت ندوة "الحياة الإنسانيّة: بدايتها ونهايتها في المفهوم الإسلاميّ"، التي جمعت الفقهاء والأطباء بالكويت، إلى أنّ الشخص الذي تعطّل جذع دماغه تعطّلًا نهائيًّا مؤكّدًا طبيًّا قد استحال شفاؤه، وأنه لا يلزم والحالة هذه الاستمرار في وسائل الإنعاش الصناعيّ، ومهّدت بذلك علميًّا لقرار مجمع عمّان</w:t>
      </w:r>
      <w:r>
        <w:rPr>
          <w:rStyle w:val="FootnoteReference"/>
        </w:rPr>
        <w:footnoteReference w:id="79"/>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قيمة هذه التوصية في منهجها: فهي أوّل لقاء منظّم جلس فيه الفقهاء إلى الأطباء في هذه النازلة، فصدر الحكم عن تصوّر صحيح، وصدق من قال: الحكم على الشيء فرع عن تصوّره. وعبارتها أدقّ من عبارة الإطلاق، إذ ركّزت على رفع وجوب الاستمرار في الإنعاش دون التوسّع في ترتيب أحكام الوفاة كلّها.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فتوى دار الإفتاء المصريّة.</w:t>
      </w:r>
    </w:p>
    <w:p>
      <w:pPr>
        <w:bidi/>
        <w:spacing w:after="120" w:before="160" w:line="360"/>
        <w:jc w:val="right"/>
      </w:pPr>
      <w:r>
        <w:rPr>
          <w:rFonts w:ascii="Simplified Arabic" w:cs="Simplified Arabic" w:eastAsia="Simplified Arabic" w:hAnsi="Simplified Arabic"/>
          <w:b/>
          <w:bCs/>
          <w:sz w:val="28"/>
          <w:szCs w:val="28"/>
          <w:rtl/>
        </w:rPr>
        <w:t xml:space="preserve">الفرع الأوّل: مضمون الفتوى.</w:t>
      </w:r>
    </w:p>
    <w:p>
      <w:pPr>
        <w:bidi/>
        <w:spacing w:after="160" w:line="360"/>
        <w:jc w:val="both"/>
      </w:pPr>
      <w:r>
        <w:rPr>
          <w:rFonts w:ascii="Simplified Arabic" w:cs="Simplified Arabic" w:eastAsia="Simplified Arabic" w:hAnsi="Simplified Arabic"/>
          <w:b w:val="false"/>
          <w:bCs w:val="false"/>
          <w:sz w:val="28"/>
          <w:szCs w:val="28"/>
          <w:rtl/>
        </w:rPr>
        <w:t xml:space="preserve">ذهبت دار الإفتاء المصريّة في فتاواها المعاصرة إلى التفريق الذي رجّحناه: فلا مانع شرعًا من رفع أجهزة الإنعاش عن المريض الذي قرّر الأطباء المختصّون تعطّل دماغه تعطّلًا نهائيًّا لا رجعة فيه وعدم جدوى بقاء الأجهزة، غير أنّ أحكام الوفاة من إرث وعدّة ونحوهما لا تترتب إلا بعد توقف القلب والتنفّس توقفًا تامًّا</w:t>
      </w:r>
      <w:r>
        <w:rPr>
          <w:rStyle w:val="FootnoteReference"/>
        </w:rPr>
        <w:footnoteReference w:id="80"/>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هذه الفتوى نموذج للمسلك الوسط الذي يجمع أدلّة الفريقين، وهي أقرب الفتاوى إلى ما انتهى إليه هذا البحث؛ وميزتها أنها صادرة عن جهة إفتاء رسميّة يرجع إليها ملايين المسلمين، فتصلح مرجعًا عمليًّا للأسر والمستشفيات.</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المبحث الثاني: الفتاوى والقرارات المعارضة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الأوّل: قرار المجمع الفقهيّ برابطة العالم الإسلاميّ (مكة 1987م).</w:t>
      </w:r>
    </w:p>
    <w:p>
      <w:pPr>
        <w:bidi/>
        <w:spacing w:after="120" w:before="160" w:line="360"/>
        <w:jc w:val="right"/>
      </w:pPr>
      <w:r>
        <w:rPr>
          <w:rFonts w:ascii="Simplified Arabic" w:cs="Simplified Arabic" w:eastAsia="Simplified Arabic" w:hAnsi="Simplified Arabic"/>
          <w:b/>
          <w:bCs/>
          <w:sz w:val="28"/>
          <w:szCs w:val="28"/>
          <w:rtl/>
        </w:rPr>
        <w:t xml:space="preserve">الفرع الأوّل: مضمون القرار.</w:t>
      </w:r>
    </w:p>
    <w:p>
      <w:pPr>
        <w:bidi/>
        <w:spacing w:after="160" w:line="360"/>
        <w:jc w:val="both"/>
      </w:pPr>
      <w:r>
        <w:rPr>
          <w:rFonts w:ascii="Simplified Arabic" w:cs="Simplified Arabic" w:eastAsia="Simplified Arabic" w:hAnsi="Simplified Arabic"/>
          <w:b w:val="false"/>
          <w:bCs w:val="false"/>
          <w:sz w:val="28"/>
          <w:szCs w:val="28"/>
          <w:rtl/>
        </w:rPr>
        <w:t xml:space="preserve">قرّر المجمع الفقهيّ برابطة العالم الإسلاميّ في دورته العاشرة أنّ المريض الذي ركّبت عليه أجهزة الإنعاش يجوز رفعها إذا تعطّلت جميع وظائف دماغه تعطّلًا نهائيًّا وقرّرت لجنة من ثلاثة أطباء اختصاصيّين خبراء أنّ التعطّل لا رجعة فيه، وإن كان القلب والتنفّس لا يزالان يعملان آليًّا بفعل الأجهزة؛ لكنه لا يُحكم بموته شرعًا إلا إذا توقف التنفّس والقلب توقفًا تامًّا بعد رفع هذه الأجهزة</w:t>
      </w:r>
      <w:r>
        <w:rPr>
          <w:rStyle w:val="FootnoteReference"/>
        </w:rPr>
        <w:footnoteReference w:id="81"/>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صنّفنا هذا القرار في المعارضة باعتبار شقّه الثاني، وهو عدم ترتيب أحكام الوفاة على الموت الدماغيّ، مع أنه وافق مجمع عمّان في جواز الرفع؛ وهذا التفصيل بعينه هو الذي بنينا عليه الترجيح، فالقراران عند التحقيق متكاملان لا متناقضان: هذا حسم جانب الفعل الطبيّ، وذاك احتاط لجانب الأحكام المترتبة.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الثاني: فتوى اللجنة الدائمة للبحوث العلميّة والإفتاء (السعوديّة).</w:t>
      </w:r>
    </w:p>
    <w:p>
      <w:pPr>
        <w:bidi/>
        <w:spacing w:after="120" w:before="160" w:line="360"/>
        <w:jc w:val="right"/>
      </w:pPr>
      <w:r>
        <w:rPr>
          <w:rFonts w:ascii="Simplified Arabic" w:cs="Simplified Arabic" w:eastAsia="Simplified Arabic" w:hAnsi="Simplified Arabic"/>
          <w:b/>
          <w:bCs/>
          <w:sz w:val="28"/>
          <w:szCs w:val="28"/>
          <w:rtl/>
        </w:rPr>
        <w:t xml:space="preserve">الفرع الأوّل: مضمون الفتوى.</w:t>
      </w:r>
    </w:p>
    <w:p>
      <w:pPr>
        <w:bidi/>
        <w:spacing w:after="160" w:line="360"/>
        <w:jc w:val="both"/>
      </w:pPr>
      <w:r>
        <w:rPr>
          <w:rFonts w:ascii="Simplified Arabic" w:cs="Simplified Arabic" w:eastAsia="Simplified Arabic" w:hAnsi="Simplified Arabic"/>
          <w:b w:val="false"/>
          <w:bCs w:val="false"/>
          <w:sz w:val="28"/>
          <w:szCs w:val="28"/>
          <w:rtl/>
        </w:rPr>
        <w:t xml:space="preserve">ذهبت اللجنة الدائمة إلى أنّ الحياة والموت أمرهما إلى الله تعالى، وأنه لا يُحكم بموت الإنسان حتى يتحقّق موته بالعلامات القاطعة ومنها توقف قلبه وتنفّسه، وأنّ من كان قلبه نابضًا فلا تجري عليه أحكام الأموات؛ مع إجازتها التوقف عن العلاج أو عدم البدء به إذا شهد ثلاثة أطباء ثقات أنّ المرض لا يُرجى برؤه</w:t>
      </w:r>
      <w:r>
        <w:rPr>
          <w:rStyle w:val="FootnoteReference"/>
        </w:rPr>
        <w:footnoteReference w:id="82"/>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يلاحَظ أنّ اللجنة، مع تشدّدها في اعتبار الموت، فتحت باب الكفّ عن العلاج غير المجدي بشهادة الأطباء، فآل الأمر عمليًّا إلى نتيجة قريبة من قول المجيزين في خصوص رفع الأجهزة، وبقي الفرق في توقيت أحكام الوفاة، وهو ما راعيناه في الترجيح. وموقفها شاهد على أنّ الاحتياط للنفس لا يستلزم إيجاب دعم عبثيّ.</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المطلب الثالث: فتوى الشيخ محمد بن صالح ابن عثيمين رحمه الله.</w:t>
      </w:r>
    </w:p>
    <w:p>
      <w:pPr>
        <w:bidi/>
        <w:spacing w:after="120" w:before="160" w:line="360"/>
        <w:jc w:val="right"/>
      </w:pPr>
      <w:r>
        <w:rPr>
          <w:rFonts w:ascii="Simplified Arabic" w:cs="Simplified Arabic" w:eastAsia="Simplified Arabic" w:hAnsi="Simplified Arabic"/>
          <w:b/>
          <w:bCs/>
          <w:sz w:val="28"/>
          <w:szCs w:val="28"/>
          <w:rtl/>
        </w:rPr>
        <w:t xml:space="preserve">الفرع الأوّل: مضمون الفتوى.</w:t>
      </w:r>
    </w:p>
    <w:p>
      <w:pPr>
        <w:bidi/>
        <w:spacing w:after="160" w:line="360"/>
        <w:jc w:val="both"/>
      </w:pPr>
      <w:r>
        <w:rPr>
          <w:rFonts w:ascii="Simplified Arabic" w:cs="Simplified Arabic" w:eastAsia="Simplified Arabic" w:hAnsi="Simplified Arabic"/>
          <w:b w:val="false"/>
          <w:bCs w:val="false"/>
          <w:sz w:val="28"/>
          <w:szCs w:val="28"/>
          <w:rtl/>
        </w:rPr>
        <w:t xml:space="preserve">كان الشيخ ابن عثيمين رحمه الله يتوقف في اعتبار الموت الدماغيّ موتًا، ويرى أنّ الإنسان لا يُحكم بموته حتى تفارق روحه بدنه بعلامات بيّنة لا اشتباه فيها، وأنّ نبض القلب أثر من آثار الحياة؛ ومع ذلك قرّر أنّ تركيب أجهزة الإنعاش ليس واجبًا لمن لا يُرجى برؤه، وأنه لا حرج في عدم استعمالها حينئذ بشهادة الأطباء</w:t>
      </w:r>
      <w:r>
        <w:rPr>
          <w:rStyle w:val="FootnoteReference"/>
        </w:rPr>
        <w:footnoteReference w:id="83"/>
      </w:r>
      <w:r>
        <w:rPr>
          <w:rFonts w:ascii="Simplified Arabic" w:cs="Simplified Arabic" w:eastAsia="Simplified Arabic" w:hAnsi="Simplified Arabic"/>
          <w:b w:val="false"/>
          <w:bCs w:val="false"/>
          <w:sz w:val="28"/>
          <w:szCs w:val="28"/>
          <w:rtl/>
        </w:rPr>
        <w:t xml:space="preserve">.</w:t>
      </w:r>
    </w:p>
    <w:p>
      <w:pPr>
        <w:bidi/>
        <w:spacing w:after="120" w:before="160" w:line="360"/>
        <w:jc w:val="right"/>
      </w:pPr>
      <w:r>
        <w:rPr>
          <w:rFonts w:ascii="Simplified Arabic" w:cs="Simplified Arabic" w:eastAsia="Simplified Arabic" w:hAnsi="Simplified Arabic"/>
          <w:b/>
          <w:bCs/>
          <w:sz w:val="28"/>
          <w:szCs w:val="28"/>
          <w:rtl/>
        </w:rPr>
        <w:t xml:space="preserve">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فتوى الشيخ مثال للورع في باب الدماء، وهي متينة في جانب الاحتياط للأحكام؛ غير أنّ التفريق بين عدم تركيب الأجهزة ابتداءً وبين رفعها بعد ثبوت موت الدماغ تفريق بين متماثلين عند التحقيق، فكلاهما كفّ عن دعم من لا ترجى حياته، والفعل الذي يعقبه توقف القلب سببه المرض الأصليّ لا يد الطبيب. ولعلّ الشيخ رحمه الله إنما تحفّظ لقصور التوثيق الطبيّ المتاح في وقته، والضوابط اليوم أحكم.</w:t>
      </w:r>
    </w:p>
    <w:p>
      <w:pPr>
        <w:bidi/>
        <w:spacing w:after="160" w:line="360"/>
        <w:jc w:val="both"/>
      </w:pPr>
      <w:r>
        <w:rPr>
          <w:rFonts w:ascii="Simplified Arabic" w:cs="Simplified Arabic" w:eastAsia="Simplified Arabic" w:hAnsi="Simplified Arabic"/>
          <w:b/>
          <w:bCs/>
          <w:sz w:val="28"/>
          <w:szCs w:val="28"/>
          <w:rtl/>
        </w:rPr>
        <w:t xml:space="preserve">تعقيب عام على الفتاوى: </w:t>
      </w:r>
      <w:r>
        <w:rPr>
          <w:rFonts w:ascii="Simplified Arabic" w:cs="Simplified Arabic" w:eastAsia="Simplified Arabic" w:hAnsi="Simplified Arabic"/>
          <w:b w:val="false"/>
          <w:bCs w:val="false"/>
          <w:sz w:val="28"/>
          <w:szCs w:val="28"/>
          <w:rtl/>
        </w:rPr>
        <w:t xml:space="preserve">إذا صفّينا الفتاوى الستّ من ألفاظها إلى مآلاتها وجدنا الشقّة أضيق ممّا تبدو: فالجميع يحرّمون الفعل الإيجابيّ المزهق، والجميع تقريبًا يجيزون الكفّ عن الدعم العبثيّ أو رفعه بشهادة أهل الاختصاص، وإنما تباينوا في توقيت ترتيب أحكام الوفاة. وهذا يؤكّد أنّ مسلك الجمع الذي رجّحناه ليس تلفيقًا، بل هو قراءة أمينة لمجموع كلام أهل العلم.</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الخاتمة</w:t>
      </w:r>
    </w:p>
    <w:p>
      <w:pPr>
        <w:bidi/>
        <w:spacing w:after="160" w:line="360"/>
        <w:jc w:val="both"/>
      </w:pPr>
      <w:r>
        <w:rPr>
          <w:rFonts w:ascii="Simplified Arabic" w:cs="Simplified Arabic" w:eastAsia="Simplified Arabic" w:hAnsi="Simplified Arabic"/>
          <w:b w:val="false"/>
          <w:bCs w:val="false"/>
          <w:sz w:val="28"/>
          <w:szCs w:val="28"/>
          <w:rtl/>
        </w:rPr>
        <w:t xml:space="preserve">الحمد لله الذي بنعمته تتمّ الصالحات، فقد طوّف هذا البحث بمسألة من أدقّ نوازل العصر وأمسّها بحرمة النفس الإنسانيّة، فحرّر مصطلحاتها، ومهّد بتاريخها وصلتها بالشرائع، وعرض آثارها، وأصّلها فقهيًّا وحرّر محلّ النزاع فيها، وعرض أقوال الفقهاء والفتاوى والقرارات المجمعيّة وقابلها بمواقف القوانين، وانتهى إلى ترجيح جواز نزع الأجهزة الطبيّة عمّن ثبت موته الدماغيّ بالضوابط الشرعيّة والطبيّة، مع الاحتياط في الأحكام المترتبة على الوفاة حتى يتوقف القلب والتنفّس توقفًا تامًّا.</w:t>
      </w:r>
    </w:p>
    <w:p>
      <w:pPr>
        <w:bidi/>
        <w:spacing w:after="160" w:line="360"/>
        <w:jc w:val="both"/>
      </w:pPr>
      <w:r>
        <w:rPr>
          <w:rFonts w:ascii="Simplified Arabic" w:cs="Simplified Arabic" w:eastAsia="Simplified Arabic" w:hAnsi="Simplified Arabic"/>
          <w:b w:val="false"/>
          <w:bCs w:val="false"/>
          <w:sz w:val="28"/>
          <w:szCs w:val="28"/>
          <w:rtl/>
        </w:rPr>
        <w:t xml:space="preserve">وقد تبيّن لي في رحلة هذا البحث أنّ الشريعة الإسلاميّة لم تضق يومًا بنازلة، وأنّ قوّتها في قواعدها ومقاصدها التي تستوعب كلّ جديد؛ فبين يقين الحياة الذي لا يزول بالشكّ، وحرمة الجسد التي لا تسقط بالموت، ورفع الضرر الذي لا يُقابل بضرر، اهتدى الفقهاء المعاصرون إلى ميزان دقيق يجمع بين إكرام الميت ورحمة الحيّ. أسأل الله أن يجعل هذا العمل خالصًا لوجهه، وأن يغفر لي ما فيه من زلل، والحمد لله ربّ العالمين.</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النتائج</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الموت في الشرع مفارقة الروح للبدن، وهو حقيقة غيبيّة تُعرف بعلاماتها، والعلامات التي ذكرها الفقهاء المتقدّمون اجتهاديّة مبنيّة على وسائل عصرهم، لا تعبّديّة توقيفيّة.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يجب التفريق بين الموت السريريّ بالمعنى الطبيّ الدقيق، وهو حالة قابلة للإنعاش، وبين الموت الدماغيّ الذي لا رجعة فيه، وبينهما وبين الحالة النباتيّة التي صاحبها حيّ بلا خلاف.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سؤالا المسألة، تحديد لحظة الموت ومسؤوليّة الطبيب، قديمان في الشرائع السماويّة والتشريعات الوضعيّة منذ حمورابي، وإنما استجدّت صورتهما بأجهزة القرن العشرين.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تشخيص الموت الدماغيّ عمليّة دقيقة محكومة ببروتوكول صارم، وأخطاء التشخيص المسجّلة مردّها الإخلال بالبروتوكول لا قصور المعايير.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اتفق المعاصرون على حرمة قتل الرحمة بالفعل الإيجابيّ، وعلى حرمة نزع الأجهزة عمّن تُرجى حياته، وإنما وقع خلافهم في الميت دماغيًّا.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جمهور المجامع على أنّ الموت الدماغيّ الموثّق موت شرعيّ، وذهب آخرون إلى التوقف حتى يسكن القلب؛ والفريقان متفقان عمليًّا على جواز رفع الأجهزة عنه بالضوابط.</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الراجح جواز نزع الأجهزة عن الميت دماغيًّا بعد استيفاء الضوابط، مع الاحتياط في الأحكام الماليّة والأسريّة فلا تجري إلا بعد التوقف التامّ للقلب والتنفّس.</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نزع الأجهزة بالضوابط ليس من قتل الرحمة المحرّم في شيء، والخلط بينهما خطأ شائع يجب تصحيحه.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القوانين العربيّة الحديثة والقانون الإسرائيليّ لسنة 2008م بنت معاييرها على مزيج من المعطى الطبيّ العالميّ والمرجعيّة الدينيّة، وجاءت قريبة من مسلك المجامع الفقهيّة.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المسؤوليّة الطبيّة مدارها على ثبوت الوفاة واستيفاء الإجراءات: فالنزع قبل الثبوت جريمة، وبعده بالضوابط عمل مشروع لا مسؤوليّة فيه.</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التوصيات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اعتماد بروتوكول موحّد معتمد شرعًا وطبًّا لتشخيص الموت الدماغيّ في المستشفيات التي تخدم مجتمعنا، يُلزم بلجنة ثلاثيّة مستقلّة وتوثيق كامل.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إنشاء لجان شرعيّة-طبيّة دائمة في المستشفيات الكبرى يرجع إليها الأهل والأطباء عند النزاع أو الاشتباه.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إعداد وثيقة تفهيم موحّدة بالعربيّة، بلغة رحيمة واضحة، تشرح للأسرة حقيقة الموت الدماغيّ والفرق بينه وبين الغيبوبة.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تدريب الأئمة والوعّاظ والمرشدين على فقه هذه النازلة ليكونوا عونًا للأسر في ساعة البلاء.</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إدراج مسألة الموت الدماغيّ ونزع الأجهزة في مساقات الفقه الطبيّ بالكليّات الشرعيّة وكليّات الطبّ والتمريض.</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إجراء دراسة ميدانيّة مستقبليّة عن وعي الأسر العربيّة المسلمة في البلاد بأحكام هذه النازلة وواقع التعامل معها في المستشفيات المحليّة.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الفهارس</w:t>
      </w:r>
    </w:p>
    <w:p>
      <w:pPr>
        <w:bidi/>
        <w:spacing w:after="200" w:line="360"/>
        <w:jc w:val="center"/>
      </w:pPr>
      <w:r>
        <w:rPr>
          <w:rFonts w:ascii="Simplified Arabic" w:cs="Simplified Arabic" w:eastAsia="Simplified Arabic" w:hAnsi="Simplified Arabic"/>
          <w:b/>
          <w:bCs/>
          <w:sz w:val="28"/>
          <w:szCs w:val="28"/>
          <w:rtl/>
        </w:rPr>
        <w:t xml:space="preserve">فهرس الآيات القرآنيّة.</w:t>
      </w:r>
    </w:p>
    <w:p>
      <w:pPr>
        <w:bidi/>
        <w:spacing w:after="200" w:line="360"/>
        <w:jc w:val="center"/>
      </w:pPr>
      <w:r>
        <w:rPr>
          <w:rFonts w:ascii="Simplified Arabic" w:cs="Simplified Arabic" w:eastAsia="Simplified Arabic" w:hAnsi="Simplified Arabic"/>
          <w:b/>
          <w:bCs/>
          <w:sz w:val="28"/>
          <w:szCs w:val="28"/>
          <w:rtl/>
        </w:rPr>
        <w:t xml:space="preserve">فهرس الأحاديث النبويّة.</w:t>
      </w:r>
    </w:p>
    <w:p>
      <w:pPr>
        <w:bidi/>
        <w:spacing w:after="200" w:line="360"/>
        <w:jc w:val="center"/>
      </w:pPr>
      <w:r>
        <w:rPr>
          <w:rFonts w:ascii="Simplified Arabic" w:cs="Simplified Arabic" w:eastAsia="Simplified Arabic" w:hAnsi="Simplified Arabic"/>
          <w:b/>
          <w:bCs/>
          <w:sz w:val="28"/>
          <w:szCs w:val="28"/>
          <w:rtl/>
        </w:rPr>
        <w:t xml:space="preserve">فهرس الأعلام.</w:t>
      </w:r>
    </w:p>
    <w:p>
      <w:pPr>
        <w:bidi/>
        <w:spacing w:after="200" w:line="360"/>
        <w:jc w:val="center"/>
      </w:pPr>
      <w:r>
        <w:rPr>
          <w:rFonts w:ascii="Simplified Arabic" w:cs="Simplified Arabic" w:eastAsia="Simplified Arabic" w:hAnsi="Simplified Arabic"/>
          <w:b/>
          <w:bCs/>
          <w:sz w:val="28"/>
          <w:szCs w:val="28"/>
          <w:rtl/>
        </w:rPr>
        <w:t xml:space="preserve">فهرس المصادر والمراجع.</w:t>
      </w:r>
    </w:p>
    <w:p>
      <w:pPr>
        <w:bidi/>
        <w:spacing w:after="200" w:line="360"/>
        <w:jc w:val="center"/>
      </w:pPr>
      <w:r>
        <w:rPr>
          <w:rFonts w:ascii="Simplified Arabic" w:cs="Simplified Arabic" w:eastAsia="Simplified Arabic" w:hAnsi="Simplified Arabic"/>
          <w:b/>
          <w:bCs/>
          <w:sz w:val="28"/>
          <w:szCs w:val="28"/>
          <w:rtl/>
        </w:rPr>
        <w:t xml:space="preserve">فهرس المحتويات.</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فهرس الآيات القرآنيّة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﴿وَلَا تَقْتُلُوا أَنفُسَكُمْ إِنَّ اللَّهَ كَانَ بِكُمْ رَحِيمًا﴾</w:t>
      </w:r>
      <w:r>
        <w:rPr>
          <w:rFonts w:ascii="Simplified Arabic" w:cs="Simplified Arabic" w:eastAsia="Simplified Arabic" w:hAnsi="Simplified Arabic"/>
          <w:b w:val="false"/>
          <w:bCs w:val="false"/>
          <w:sz w:val="28"/>
          <w:szCs w:val="28"/>
          <w:rtl/>
        </w:rPr>
        <w:t xml:space="preserve"> - النساء: 29.</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﴿وَلَا تُلْقُوا بِأَيْدِيكُمْ إِلَى التَّهْلُكَةِ﴾</w:t>
      </w:r>
      <w:r>
        <w:rPr>
          <w:rFonts w:ascii="Simplified Arabic" w:cs="Simplified Arabic" w:eastAsia="Simplified Arabic" w:hAnsi="Simplified Arabic"/>
          <w:b w:val="false"/>
          <w:bCs w:val="false"/>
          <w:sz w:val="28"/>
          <w:szCs w:val="28"/>
          <w:rtl/>
        </w:rPr>
        <w:t xml:space="preserve"> - البقرة: 195.</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﴿وَمَا كَانَ لِنَفْسٍ أَن تَمُوتَ إِلَّا بِإِذْنِ اللَّهِ كِتَابًا مُّؤَجَّلًا﴾</w:t>
      </w:r>
      <w:r>
        <w:rPr>
          <w:rFonts w:ascii="Simplified Arabic" w:cs="Simplified Arabic" w:eastAsia="Simplified Arabic" w:hAnsi="Simplified Arabic"/>
          <w:b w:val="false"/>
          <w:bCs w:val="false"/>
          <w:sz w:val="28"/>
          <w:szCs w:val="28"/>
          <w:rtl/>
        </w:rPr>
        <w:t xml:space="preserve"> - آل عمران: 145.</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﴿كُلُّ نَفْسٍ ذَائِقَةُ الْمَوْتِ﴾</w:t>
      </w:r>
      <w:r>
        <w:rPr>
          <w:rFonts w:ascii="Simplified Arabic" w:cs="Simplified Arabic" w:eastAsia="Simplified Arabic" w:hAnsi="Simplified Arabic"/>
          <w:b w:val="false"/>
          <w:bCs w:val="false"/>
          <w:sz w:val="28"/>
          <w:szCs w:val="28"/>
          <w:rtl/>
        </w:rPr>
        <w:t xml:space="preserve"> - آل عمران: 185.</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﴿وَمَنْ أَحْيَاهَا فَكَأَنَّمَا أَحْيَا النَّاسَ جَمِيعًا﴾</w:t>
      </w:r>
      <w:r>
        <w:rPr>
          <w:rFonts w:ascii="Simplified Arabic" w:cs="Simplified Arabic" w:eastAsia="Simplified Arabic" w:hAnsi="Simplified Arabic"/>
          <w:b w:val="false"/>
          <w:bCs w:val="false"/>
          <w:sz w:val="28"/>
          <w:szCs w:val="28"/>
          <w:rtl/>
        </w:rPr>
        <w:t xml:space="preserve"> - المائدة: 32.</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﴿قَالُوا يَا شُعَيْبُ مَا نَفْقَهُ كَثِيرًا مِّمَّا تَقُولُ﴾</w:t>
      </w:r>
      <w:r>
        <w:rPr>
          <w:rFonts w:ascii="Simplified Arabic" w:cs="Simplified Arabic" w:eastAsia="Simplified Arabic" w:hAnsi="Simplified Arabic"/>
          <w:b w:val="false"/>
          <w:bCs w:val="false"/>
          <w:sz w:val="28"/>
          <w:szCs w:val="28"/>
          <w:rtl/>
        </w:rPr>
        <w:t xml:space="preserve"> - هود: 91.</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﴿وَلَقَدْ كَرَّمْنَا بَنِي آدَمَ﴾</w:t>
      </w:r>
      <w:r>
        <w:rPr>
          <w:rFonts w:ascii="Simplified Arabic" w:cs="Simplified Arabic" w:eastAsia="Simplified Arabic" w:hAnsi="Simplified Arabic"/>
          <w:b w:val="false"/>
          <w:bCs w:val="false"/>
          <w:sz w:val="28"/>
          <w:szCs w:val="28"/>
          <w:rtl/>
        </w:rPr>
        <w:t xml:space="preserve"> - الإسراء: 70.</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﴿اللَّهُ يَتَوَفَّى الْأَنفُسَ حِينَ مَوْتِهَا﴾</w:t>
      </w:r>
      <w:r>
        <w:rPr>
          <w:rFonts w:ascii="Simplified Arabic" w:cs="Simplified Arabic" w:eastAsia="Simplified Arabic" w:hAnsi="Simplified Arabic"/>
          <w:b w:val="false"/>
          <w:bCs w:val="false"/>
          <w:sz w:val="28"/>
          <w:szCs w:val="28"/>
          <w:rtl/>
        </w:rPr>
        <w:t xml:space="preserve"> - الزمر: 42.</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فهرس الأحاديث النبويّة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"كسر عظم الميت ككسره حيًّا" - رواه أبو داود.</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"لا ضرر ولا ضرار" - رواه مالك في الموطأ.</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أنزل الله داءً إلا أنزل له شفاءً" - رواه البخاري.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"إذا مات الإنسان انقطع عمله إلا من ثلاث" - رواه مسلم.</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فهرس الأعلام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عثيمين، محمد بن صالح العثيمين (1347-1421هـ)، الفقيه الأصوليّ - ترجمته في حاشية المبحث الثالث من الفصل الرابع.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البار، محمد علي، طبيب مسلم معاصر من روّاد الفقه الطبيّ، من أوائل من عرّف الفقهاء بحقيقة الموت الدماغيّ - ذكره في الفصل الثاني.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بيوس الثاني عشر، بابا الكنيسة الكاثوليكيّة (1939-1958م)، صاحب التقرير الشهير في الوسائل العاديّة والاستثنائيّة - ذكره في الفصل الثاني.</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فهرس المصادر والمراجع</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أولًا: القرآن الكريم.</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ثانيًا: المعاجم اللغويّة والاصطلاحيّة: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فارس، أحمد. معجم مقاييس اللغة (تحقيق عبد السلام هارون).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منظور، محمد بن مكرم. لسان العرب. بيروت: دار صادر.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الجرجاني، علي بن محمد. التعريفات.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الفيروزآبادي، مجد الدين. القاموس المحيط.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الفيومي، أحمد بن محمد. المصباح المنير في غريب الشرح الكبير. بيروت: المكتبة العلمية.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ثالثًا: كتب الحديث الشريف: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أبو داود، سليمان بن الأشعث السجستاني. سنن أبي داود. صيدا بيروت: المكتبة العصرية.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البخاري، محمد بن اسماعيل (2002). صحيح البخاري (تحقيق حسونة النواوي). ط1، دمشق بيروت: دار ابن كثير.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مالك بن أنس (1985). موطأ مالك (تحقيق محمد فؤاد عبد الباقي). ط1، القاهرة: دار الأصيل.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مسلم بن الحجاج القشيري النيسابوري (2006). صحيح مسلم (تحقيق نظر الفاريابي). ط1، المنصورة: مكتبة الإيمان.</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رابعًا: كتب الفقه والأصول والقواعد والمقاصد:</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عاشور، محمد الطاهر. مقاصد الشريعة الإسلامية. تونس: الدار التونسية للنشر.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الريسوني، أحمد (2010). مدخل إلى مقاصد الشريعة. ط1، المنصورة: دار الكلمة.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الزحيلي، وهبة. الفقه الإسلامي وأدلته. ط4، دمشق: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زيدان، عبد الكريم (2001). الوجيز في شرح القواعد الفقهية في الشريعة الإسلامية. ط1،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الشاطبي، إبراهيم بن موسى. الموافقات في أصول الشريعة. بيروت: دار المعرفة.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خامسًا: المراجع الفقهيّة والقانونيّة المعاصرة: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البار، محمد علي (1987). التعريف الطبي للموت. مجلة مجمع الفقه الإسلامي، جدة: منظمة المؤتمر الإسلامي، العدد الثالث.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بن صفية، سليمان (2022). أحكام الموت الدماغي للإنسان والتصرف في أعضائه. مجلة الشهاب، الجزائر، مج8، ع2، ص411-434.</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الدق، صلاح نجيب (2022). الأحكام المتعلّقة برفع أجهزة الإنعاش عن المريض. مجلة جمعية أنصار السنة المحمدية، مصر، مج14، ع88، ص14-16.</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الزكي، عبد الله (2020). نقل أعضاء الميت موتًا سريريًّا في الفقه الإسلامي. مجلة المنهل، جامعة الوادي، الجزائر، مج6، ع2.</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الشماخي، هدى عبد الباسط محمود (2020). المسئولية عن الأعمال الطبية في الفقه الإسلامي: دراسة مقارنة. ط1، القاهرة: المركز القومي للإصدارات القانونية.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شتوان، بلقاسم (2012). إشكالية الموت السريري الإكلينيكي بين الفقه والطب وأثره على نقل وزرع الأعضاء البشرية. مجلة الشريعة والاقتصاد، مج1، ع2، ص329-348.</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الشلتوني، أنور (2024). ضوابط رفع أجهزة الإنعاش الصناعي عن الميت دماغيًّا - دراسة مقارنة. مجلة البحوث القانونية والاقتصادية (المنصورة)، ص1-48.</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عبد المبدي، جهاد محمود (2024). الأحكام المتعلقة بممارسة الأعمال الطبية: دراسة مقارنة بين الفقه الإسلامي والقانون. ط1، القاهرة: المركز القومي للإصدارات القانونية.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قياسة، ندى (2010). الموت الدماغي بين الطب والدين. مجلة جامعة دمشق للعلوم الاقتصادية والقانونية، مج26، ع1، ص479-500.</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لدغش، رحيمة (2019). الموت السريري والموت الدماغي وأثرهما في الأحكام الشرعية. مجلة العلوم القانونية والسياسية، مج10، ع1.</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ناصر، سيهام (2023). أثر فقه الموازنات في القتل الرحيم: رفع أجهزة الإنعاش عن الميت دماغيًّا أنموذجًا. مجلة الإحياء، الجزائر، ص263 وما بعدها.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سادسًا: القرارات والفتاوى والقوانين: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المجمع الفقهي الإسلامي برابطة العالم الإسلامي. قرار الدورة العاشرة بشأن أجهزة الإنعاش، مكة المكرمة، 1408هـ/1987م.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المنظمة الإسلامية للعلوم الطبية. ثبت ندوة "الحياة الإنسانية: بدايتها ونهايتها في المفهوم الإسلامي". الكويت، 1985م.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اللجنة الدائمة للبحوث العلمية والإفتاء بالمملكة العربية السعودية. فتاوى اللجنة الدائمة. الرياض.</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دار الإفتاء المصرية. فتاوى معاصرة في القضايا الطبية. القاهرة.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شريعة حمورابي (ترجمات مواد القانون البابلي، المواد 215-218).</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الانتفاع بأعضاء جسم الإنسان الأردني رقم (23) لسنة 1977م وتعديلاته.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الصحة العامة الفلسطيني رقم (20) لسنة 2004م.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تنظيم زرع الأعضاء البشرية المصري رقم (5) لسنة 2010م.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المرسوم بقانون اتحادي رقم (4) لسنة 2016م بشأن المسؤولية الطبية، دولة الإمارات العربية المتحدة.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الموت الدماغي-التنفسي الإسرائيلي لسنة 2008م (חוק מוות מוחי-נשימתי, התשס"ח-2008)، الكنيست.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التحديد الموحّد للوفاة الأمريكي (Uniform Determination of Death Act) لسنة 1981م.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القانون الفرنسي المتعلق بحقوق المرضى ونهاية الحياة (قانون ليونيتي) لسنة 2005م.</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سابعًا: المراجع الأجنبيّة: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Gostin, L. O. (2014). Legal and Ethical Responsibilities Following Brain Death: The McMath and Munoz Cases. JAMA, published online January 24, 2014.</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Nair-Collins, M. (2015). Clinical and Ethical Perspectives on Brain Death. Medicolegal and Bioethics, 5, 69-80.</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Russell, J. A., Epstein, L. G., Greer, D. M., Kirschen, M., Rubin, M. A., &amp; Lewis, A. (2019). Brain death, the determination of brain death, and member guidance for brain death accommodation requests: AAN position statement. Neurology, 92(5), 228-232.</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Journal of Law, Medicine &amp; Ethics (2025). Addressing the Problem of Brain Death Misdiagnosis. JLME, 53(2), 244-253.</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Retrospective Analysis of the Apnea Test and Ancillary Test in Determining Brain Death (2020). Vol. 32, No. 3, pp. 405-411.</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Ancillary Tests for Brain Death (2025). Frontiers in Neurology, vol. 15 (2024), published January 7, 2025.</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Schroeder, T. (2023). Clinical Death: Concept and Medical Resuscitation Techniques. Journal of Clinical Medicine Studies, published March 31, 2023.</w:t>
      </w:r>
    </w:p>
    <w:p>
      <w:pPr>
        <w:pStyle w:val="Heading2"/>
        <w:pageBreakBefore/>
        <w:bidi/>
        <w:spacing w:after="200" w:before="240" w:line="360"/>
        <w:jc w:val="center"/>
      </w:pPr>
      <w:r>
        <w:rPr>
          <w:rFonts w:ascii="Simplified Arabic" w:cs="Simplified Arabic" w:eastAsia="Simplified Arabic" w:hAnsi="Simplified Arabic"/>
          <w:b/>
          <w:bCs/>
          <w:color w:val="000000"/>
          <w:sz w:val="30"/>
          <w:szCs w:val="30"/>
          <w:rtl/>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line="240"/>
      </w:pPr>
      <w:r>
        <w:rPr>
          <w:rStyle w:val="FootnoteReference"/>
        </w:rPr>
        <w:footnoteRef/>
      </w:r>
      <w:r>
        <w:rPr>
          <w:rFonts w:ascii="Simplified Arabic" w:cs="Simplified Arabic" w:eastAsia="Simplified Arabic" w:hAnsi="Simplified Arabic"/>
          <w:sz w:val="22"/>
          <w:szCs w:val="22"/>
          <w:rtl/>
        </w:rPr>
        <w:t xml:space="preserve"> أبو داود، سليمان بن الأشعث. سنن أبي داود، كتاب الجنائز، باب في الحفّار يجد العظم، رقم الحديث 3207.</w:t>
      </w:r>
    </w:p>
  </w:footnote>
  <w:footnote w:id="2">
    <w:p>
      <w:pPr>
        <w:bidi/>
        <w:spacing w:line="240"/>
      </w:pPr>
      <w:r>
        <w:rPr>
          <w:rStyle w:val="FootnoteReference"/>
        </w:rPr>
        <w:footnoteRef/>
      </w:r>
      <w:r>
        <w:rPr>
          <w:rFonts w:ascii="Simplified Arabic" w:cs="Simplified Arabic" w:eastAsia="Simplified Arabic" w:hAnsi="Simplified Arabic"/>
          <w:sz w:val="22"/>
          <w:szCs w:val="22"/>
          <w:rtl/>
        </w:rPr>
        <w:t xml:space="preserve"> ابن فارس، أحمد. معجم مقاييس اللغة (تحقيق عبد السلام هارون). بيروت: دار الفكر، مادة (حكم).</w:t>
      </w:r>
    </w:p>
  </w:footnote>
  <w:footnote w:id="3">
    <w:p>
      <w:pPr>
        <w:bidi/>
        <w:spacing w:line="240"/>
      </w:pPr>
      <w:r>
        <w:rPr>
          <w:rStyle w:val="FootnoteReference"/>
        </w:rPr>
        <w:footnoteRef/>
      </w:r>
      <w:r>
        <w:rPr>
          <w:rFonts w:ascii="Simplified Arabic" w:cs="Simplified Arabic" w:eastAsia="Simplified Arabic" w:hAnsi="Simplified Arabic"/>
          <w:sz w:val="22"/>
          <w:szCs w:val="22"/>
          <w:rtl/>
        </w:rPr>
        <w:t xml:space="preserve"> الجرجاني، علي بن محمد. التعريفات. بيروت: دار الكتب العلمية.</w:t>
      </w:r>
    </w:p>
  </w:footnote>
  <w:footnote w:id="4">
    <w:p>
      <w:pPr>
        <w:bidi/>
        <w:spacing w:line="240"/>
      </w:pPr>
      <w:r>
        <w:rPr>
          <w:rStyle w:val="FootnoteReference"/>
        </w:rPr>
        <w:footnoteRef/>
      </w:r>
      <w:r>
        <w:rPr>
          <w:rFonts w:ascii="Simplified Arabic" w:cs="Simplified Arabic" w:eastAsia="Simplified Arabic" w:hAnsi="Simplified Arabic"/>
          <w:sz w:val="22"/>
          <w:szCs w:val="22"/>
          <w:rtl/>
        </w:rPr>
        <w:t xml:space="preserve"> ابن منظور، محمد بن مكرم. لسان العرب. بيروت: دار صادر، مادة (فقه).</w:t>
      </w:r>
    </w:p>
  </w:footnote>
  <w:footnote w:id="5">
    <w:p>
      <w:pPr>
        <w:bidi/>
        <w:spacing w:line="240"/>
      </w:pPr>
      <w:r>
        <w:rPr>
          <w:rStyle w:val="FootnoteReference"/>
        </w:rPr>
        <w:footnoteRef/>
      </w:r>
      <w:r>
        <w:rPr>
          <w:rFonts w:ascii="Simplified Arabic" w:cs="Simplified Arabic" w:eastAsia="Simplified Arabic" w:hAnsi="Simplified Arabic"/>
          <w:sz w:val="22"/>
          <w:szCs w:val="22"/>
          <w:rtl/>
        </w:rPr>
        <w:t xml:space="preserve"> الجرجاني، علي بن محمد. التعريفات. بيروت: دار الكتب العلمية.</w:t>
      </w:r>
    </w:p>
  </w:footnote>
  <w:footnote w:id="6">
    <w:p>
      <w:pPr>
        <w:bidi/>
        <w:spacing w:line="240"/>
      </w:pPr>
      <w:r>
        <w:rPr>
          <w:rStyle w:val="FootnoteReference"/>
        </w:rPr>
        <w:footnoteRef/>
      </w:r>
      <w:r>
        <w:rPr>
          <w:rFonts w:ascii="Simplified Arabic" w:cs="Simplified Arabic" w:eastAsia="Simplified Arabic" w:hAnsi="Simplified Arabic"/>
          <w:sz w:val="22"/>
          <w:szCs w:val="22"/>
          <w:rtl/>
        </w:rPr>
        <w:t xml:space="preserve"> ابن منظور، محمد بن مكرم. لسان العرب. بيروت: دار صادر، مادة (نزع).</w:t>
      </w:r>
    </w:p>
  </w:footnote>
  <w:footnote w:id="7">
    <w:p>
      <w:pPr>
        <w:bidi/>
        <w:spacing w:line="240"/>
      </w:pPr>
      <w:r>
        <w:rPr>
          <w:rStyle w:val="FootnoteReference"/>
        </w:rPr>
        <w:footnoteRef/>
      </w:r>
      <w:r>
        <w:rPr>
          <w:rFonts w:ascii="Simplified Arabic" w:cs="Simplified Arabic" w:eastAsia="Simplified Arabic" w:hAnsi="Simplified Arabic"/>
          <w:sz w:val="22"/>
          <w:szCs w:val="22"/>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8">
    <w:p>
      <w:pPr>
        <w:bidi/>
        <w:spacing w:line="240"/>
      </w:pPr>
      <w:r>
        <w:rPr>
          <w:rStyle w:val="FootnoteReference"/>
        </w:rPr>
        <w:footnoteRef/>
      </w:r>
      <w:r>
        <w:rPr>
          <w:rFonts w:ascii="Simplified Arabic" w:cs="Simplified Arabic" w:eastAsia="Simplified Arabic" w:hAnsi="Simplified Arabic"/>
          <w:sz w:val="22"/>
          <w:szCs w:val="22"/>
          <w:rtl/>
        </w:rPr>
        <w:t xml:space="preserve"> الفيومي، أحمد بن محمد. المصباح المنير في غريب الشرح الكبير. بيروت: المكتبة العلمية.</w:t>
      </w:r>
    </w:p>
  </w:footnote>
  <w:footnote w:id="9">
    <w:p>
      <w:pPr>
        <w:bidi/>
        <w:spacing w:line="240"/>
      </w:pPr>
      <w:r>
        <w:rPr>
          <w:rStyle w:val="FootnoteReference"/>
        </w:rPr>
        <w:footnoteRef/>
      </w:r>
      <w:r>
        <w:rPr>
          <w:rFonts w:ascii="Simplified Arabic" w:cs="Simplified Arabic" w:eastAsia="Simplified Arabic" w:hAnsi="Simplified Arabic"/>
          <w:sz w:val="22"/>
          <w:szCs w:val="22"/>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10">
    <w:p>
      <w:pPr>
        <w:bidi/>
        <w:spacing w:line="240"/>
      </w:pPr>
      <w:r>
        <w:rPr>
          <w:rStyle w:val="FootnoteReference"/>
        </w:rPr>
        <w:footnoteRef/>
      </w:r>
      <w:r>
        <w:rPr>
          <w:rFonts w:ascii="Simplified Arabic" w:cs="Simplified Arabic" w:eastAsia="Simplified Arabic" w:hAnsi="Simplified Arabic"/>
          <w:sz w:val="22"/>
          <w:szCs w:val="22"/>
          <w:rtl/>
        </w:rPr>
        <w:t xml:space="preserve"> ابن منظور، محمد بن مكرم. لسان العرب. بيروت: دار صادر، مادة (موت).</w:t>
      </w:r>
    </w:p>
  </w:footnote>
  <w:footnote w:id="11">
    <w:p>
      <w:pPr>
        <w:bidi/>
        <w:spacing w:line="240"/>
      </w:pPr>
      <w:r>
        <w:rPr>
          <w:rStyle w:val="FootnoteReference"/>
        </w:rPr>
        <w:footnoteRef/>
      </w:r>
      <w:r>
        <w:rPr>
          <w:rFonts w:ascii="Simplified Arabic" w:cs="Simplified Arabic" w:eastAsia="Simplified Arabic" w:hAnsi="Simplified Arabic"/>
          <w:sz w:val="22"/>
          <w:szCs w:val="22"/>
          <w:rtl/>
        </w:rPr>
        <w:t xml:space="preserve"> الفيروزآبادي، مجد الدين. القاموس المحيط. بيروت: مؤسسة الرسالة، مادة (موت).</w:t>
      </w:r>
    </w:p>
  </w:footnote>
  <w:footnote w:id="12">
    <w:p>
      <w:pPr>
        <w:bidi/>
        <w:spacing w:line="240"/>
      </w:pPr>
      <w:r>
        <w:rPr>
          <w:rStyle w:val="FootnoteReference"/>
        </w:rPr>
        <w:footnoteRef/>
      </w:r>
      <w:r>
        <w:rPr>
          <w:rFonts w:ascii="Simplified Arabic" w:cs="Simplified Arabic" w:eastAsia="Simplified Arabic" w:hAnsi="Simplified Arabic"/>
          <w:sz w:val="22"/>
          <w:szCs w:val="22"/>
          <w:rtl/>
        </w:rPr>
        <w:t xml:space="preserve"> الزحيلي، وهبة. الفقه الإسلامي وأدلته. ط4، دمشق: دار الفكر، ج2، أحكام الجنائز.</w:t>
      </w:r>
    </w:p>
  </w:footnote>
  <w:footnote w:id="13">
    <w:p>
      <w:pPr>
        <w:bidi/>
        <w:spacing w:line="240"/>
      </w:pPr>
      <w:r>
        <w:rPr>
          <w:rStyle w:val="FootnoteReference"/>
        </w:rPr>
        <w:footnoteRef/>
      </w:r>
      <w:r>
        <w:rPr>
          <w:rFonts w:ascii="Simplified Arabic" w:cs="Simplified Arabic" w:eastAsia="Simplified Arabic" w:hAnsi="Simplified Arabic"/>
          <w:sz w:val="22"/>
          <w:szCs w:val="22"/>
          <w:rtl/>
        </w:rPr>
        <w:t xml:space="preserve"> قياسة، ندى (2010). الموت الدماغي بين الطب والدين. مجلة جامعة دمشق للعلوم الاقتصادية والقانونية، مج26، ع1، ص479-500.</w:t>
      </w:r>
    </w:p>
  </w:footnote>
  <w:footnote w:id="14">
    <w:p>
      <w:pPr>
        <w:bidi/>
        <w:spacing w:line="240"/>
      </w:pPr>
      <w:r>
        <w:rPr>
          <w:rStyle w:val="FootnoteReference"/>
        </w:rPr>
        <w:footnoteRef/>
      </w:r>
      <w:r>
        <w:rPr>
          <w:rFonts w:ascii="Simplified Arabic" w:cs="Simplified Arabic" w:eastAsia="Simplified Arabic" w:hAnsi="Simplified Arabic"/>
          <w:sz w:val="22"/>
          <w:szCs w:val="22"/>
          <w:rtl/>
        </w:rPr>
        <w:t xml:space="preserve"> Nair-Collins, M. (2015). Clinical and Ethical Perspectives on Brain Death. Medicolegal and Bioethics, 5, 69-80.</w:t>
      </w:r>
    </w:p>
  </w:footnote>
  <w:footnote w:id="15">
    <w:p>
      <w:pPr>
        <w:bidi/>
        <w:spacing w:line="240"/>
      </w:pPr>
      <w:r>
        <w:rPr>
          <w:rStyle w:val="FootnoteReference"/>
        </w:rPr>
        <w:footnoteRef/>
      </w:r>
      <w:r>
        <w:rPr>
          <w:rFonts w:ascii="Simplified Arabic" w:cs="Simplified Arabic" w:eastAsia="Simplified Arabic" w:hAnsi="Simplified Arabic"/>
          <w:sz w:val="22"/>
          <w:szCs w:val="22"/>
          <w:rtl/>
        </w:rPr>
        <w:t xml:space="preserve"> ابن منظور، محمد بن مكرم. لسان العرب. بيروت: دار صادر، مادة (سرر).</w:t>
      </w:r>
    </w:p>
  </w:footnote>
  <w:footnote w:id="16">
    <w:p>
      <w:pPr>
        <w:bidi/>
        <w:spacing w:line="240"/>
      </w:pPr>
      <w:r>
        <w:rPr>
          <w:rStyle w:val="FootnoteReference"/>
        </w:rPr>
        <w:footnoteRef/>
      </w:r>
      <w:r>
        <w:rPr>
          <w:rFonts w:ascii="Simplified Arabic" w:cs="Simplified Arabic" w:eastAsia="Simplified Arabic" w:hAnsi="Simplified Arabic"/>
          <w:sz w:val="22"/>
          <w:szCs w:val="22"/>
          <w:rtl/>
        </w:rPr>
        <w:t xml:space="preserve"> Schroeder, T. (2023). Clinical Death: Concept and Medical Resuscitation Techniques. Journal of Clinical Medicine Studies, published March 31, 2023.</w:t>
      </w:r>
    </w:p>
  </w:footnote>
  <w:footnote w:id="17">
    <w:p>
      <w:pPr>
        <w:bidi/>
        <w:spacing w:line="240"/>
      </w:pPr>
      <w:r>
        <w:rPr>
          <w:rStyle w:val="FootnoteReference"/>
        </w:rPr>
        <w:footnoteRef/>
      </w:r>
      <w:r>
        <w:rPr>
          <w:rFonts w:ascii="Simplified Arabic" w:cs="Simplified Arabic" w:eastAsia="Simplified Arabic" w:hAnsi="Simplified Arabic"/>
          <w:sz w:val="22"/>
          <w:szCs w:val="22"/>
          <w:rtl/>
        </w:rPr>
        <w:t xml:space="preserve"> لدغش، رحيمة (2019). الموت السريري والموت الدماغي وأثرهما في الأحكام الشرعية. مجلة العلوم القانونية والسياسية، مج10، ع1.</w:t>
      </w:r>
    </w:p>
  </w:footnote>
  <w:footnote w:id="18">
    <w:p>
      <w:pPr>
        <w:bidi/>
        <w:spacing w:line="240"/>
      </w:pPr>
      <w:r>
        <w:rPr>
          <w:rStyle w:val="FootnoteReference"/>
        </w:rPr>
        <w:footnoteRef/>
      </w:r>
      <w:r>
        <w:rPr>
          <w:rFonts w:ascii="Simplified Arabic" w:cs="Simplified Arabic" w:eastAsia="Simplified Arabic" w:hAnsi="Simplified Arabic"/>
          <w:sz w:val="22"/>
          <w:szCs w:val="22"/>
          <w:rtl/>
        </w:rPr>
        <w:t xml:space="preserve"> Nair-Collins, M. (2015). Clinical and Ethical Perspectives on Brain Death. Medicolegal and Bioethics, 5, 69-80.</w:t>
      </w:r>
    </w:p>
  </w:footnote>
  <w:footnote w:id="19">
    <w:p>
      <w:pPr>
        <w:bidi/>
        <w:spacing w:line="240"/>
      </w:pPr>
      <w:r>
        <w:rPr>
          <w:rStyle w:val="FootnoteReference"/>
        </w:rPr>
        <w:footnoteRef/>
      </w:r>
      <w:r>
        <w:rPr>
          <w:rFonts w:ascii="Simplified Arabic" w:cs="Simplified Arabic" w:eastAsia="Simplified Arabic" w:hAnsi="Simplified Arabic"/>
          <w:sz w:val="22"/>
          <w:szCs w:val="22"/>
          <w:rtl/>
        </w:rPr>
        <w:t xml:space="preserve"> Schroeder, T. (2023). Clinical Death: Concept and Medical Resuscitation Techniques. Journal of Clinical Medicine Studies, published March 31, 2023.</w:t>
      </w:r>
    </w:p>
  </w:footnote>
  <w:footnote w:id="20">
    <w:p>
      <w:pPr>
        <w:bidi/>
        <w:spacing w:line="240"/>
      </w:pPr>
      <w:r>
        <w:rPr>
          <w:rStyle w:val="FootnoteReference"/>
        </w:rPr>
        <w:footnoteRef/>
      </w:r>
      <w:r>
        <w:rPr>
          <w:rFonts w:ascii="Simplified Arabic" w:cs="Simplified Arabic" w:eastAsia="Simplified Arabic" w:hAnsi="Simplified Arabic"/>
          <w:sz w:val="22"/>
          <w:szCs w:val="22"/>
          <w:rtl/>
        </w:rPr>
        <w:t xml:space="preserve"> الدق، صلاح نجيب (2022). الأحكام المتعلّقة برفع أجهزة الإنعاش عن المريض. مجلة جمعية أنصار السنة المحمدية، مصر، مج14، ع88، ص14-16.</w:t>
      </w:r>
    </w:p>
  </w:footnote>
  <w:footnote w:id="21">
    <w:p>
      <w:pPr>
        <w:bidi/>
        <w:spacing w:line="240"/>
      </w:pPr>
      <w:r>
        <w:rPr>
          <w:rStyle w:val="FootnoteReference"/>
        </w:rPr>
        <w:footnoteRef/>
      </w:r>
      <w:r>
        <w:rPr>
          <w:rFonts w:ascii="Simplified Arabic" w:cs="Simplified Arabic" w:eastAsia="Simplified Arabic" w:hAnsi="Simplified Arabic"/>
          <w:sz w:val="22"/>
          <w:szCs w:val="22"/>
          <w:rtl/>
        </w:rPr>
        <w:t xml:space="preserve"> قياسة، ندى (2010). الموت الدماغي بين الطب والدين. مجلة جامعة دمشق للعلوم الاقتصادية والقانونية، مج26، ع1، ص479-500.</w:t>
      </w:r>
    </w:p>
  </w:footnote>
  <w:footnote w:id="22">
    <w:p>
      <w:pPr>
        <w:bidi/>
        <w:spacing w:line="240"/>
      </w:pPr>
      <w:r>
        <w:rPr>
          <w:rStyle w:val="FootnoteReference"/>
        </w:rPr>
        <w:footnoteRef/>
      </w:r>
      <w:r>
        <w:rPr>
          <w:rFonts w:ascii="Simplified Arabic" w:cs="Simplified Arabic" w:eastAsia="Simplified Arabic" w:hAnsi="Simplified Arabic"/>
          <w:sz w:val="22"/>
          <w:szCs w:val="22"/>
          <w:rtl/>
        </w:rPr>
        <w:t xml:space="preserve"> الزحيلي، وهبة. الفقه الإسلامي وأدلته. ط4، دمشق: دار الفكر، ج2، أحكام الجنائز.</w:t>
      </w:r>
    </w:p>
  </w:footnote>
  <w:footnote w:id="23">
    <w:p>
      <w:pPr>
        <w:bidi/>
        <w:spacing w:line="240"/>
      </w:pPr>
      <w:r>
        <w:rPr>
          <w:rStyle w:val="FootnoteReference"/>
        </w:rPr>
        <w:footnoteRef/>
      </w:r>
      <w:r>
        <w:rPr>
          <w:rFonts w:ascii="Simplified Arabic" w:cs="Simplified Arabic" w:eastAsia="Simplified Arabic" w:hAnsi="Simplified Arabic"/>
          <w:sz w:val="22"/>
          <w:szCs w:val="22"/>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24">
    <w:p>
      <w:pPr>
        <w:bidi/>
        <w:spacing w:line="240"/>
      </w:pPr>
      <w:r>
        <w:rPr>
          <w:rStyle w:val="FootnoteReference"/>
        </w:rPr>
        <w:footnoteRef/>
      </w:r>
      <w:r>
        <w:rPr>
          <w:rFonts w:ascii="Simplified Arabic" w:cs="Simplified Arabic" w:eastAsia="Simplified Arabic" w:hAnsi="Simplified Arabic"/>
          <w:sz w:val="22"/>
          <w:szCs w:val="22"/>
          <w:rtl/>
        </w:rPr>
        <w:t xml:space="preserve"> بن صفية، سليمان (2022). أحكام الموت الدماغي للإنسان والتصرف في أعضائه. مجلة الشهاب، الجزائر، مج8، ع2، ص411-434.</w:t>
      </w:r>
    </w:p>
  </w:footnote>
  <w:footnote w:id="25">
    <w:p>
      <w:pPr>
        <w:bidi/>
        <w:spacing w:line="240"/>
      </w:pPr>
      <w:r>
        <w:rPr>
          <w:rStyle w:val="FootnoteReference"/>
        </w:rPr>
        <w:footnoteRef/>
      </w:r>
      <w:r>
        <w:rPr>
          <w:rFonts w:ascii="Simplified Arabic" w:cs="Simplified Arabic" w:eastAsia="Simplified Arabic" w:hAnsi="Simplified Arabic"/>
          <w:sz w:val="22"/>
          <w:szCs w:val="22"/>
          <w:rtl/>
        </w:rPr>
        <w:t xml:space="preserve"> الزحيلي، وهبة. الفقه الإسلامي وأدلته. ط4، دمشق: دار الفكر، ج2، أحكام الجنائز.</w:t>
      </w:r>
    </w:p>
  </w:footnote>
  <w:footnote w:id="26">
    <w:p>
      <w:pPr>
        <w:bidi/>
        <w:spacing w:line="240"/>
      </w:pPr>
      <w:r>
        <w:rPr>
          <w:rStyle w:val="FootnoteReference"/>
        </w:rPr>
        <w:footnoteRef/>
      </w:r>
      <w:r>
        <w:rPr>
          <w:rFonts w:ascii="Simplified Arabic" w:cs="Simplified Arabic" w:eastAsia="Simplified Arabic" w:hAnsi="Simplified Arabic"/>
          <w:sz w:val="22"/>
          <w:szCs w:val="22"/>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27">
    <w:p>
      <w:pPr>
        <w:bidi/>
        <w:spacing w:line="240"/>
      </w:pPr>
      <w:r>
        <w:rPr>
          <w:rStyle w:val="FootnoteReference"/>
        </w:rPr>
        <w:footnoteRef/>
      </w:r>
      <w:r>
        <w:rPr>
          <w:rFonts w:ascii="Simplified Arabic" w:cs="Simplified Arabic" w:eastAsia="Simplified Arabic" w:hAnsi="Simplified Arabic"/>
          <w:sz w:val="22"/>
          <w:szCs w:val="22"/>
          <w:rtl/>
        </w:rPr>
        <w:t xml:space="preserve"> Nair-Collins, M. (2015). Clinical and Ethical Perspectives on Brain Death. Medicolegal and Bioethics, 5, 69-80.</w:t>
      </w:r>
    </w:p>
  </w:footnote>
  <w:footnote w:id="28">
    <w:p>
      <w:pPr>
        <w:bidi/>
        <w:spacing w:line="240"/>
      </w:pPr>
      <w:r>
        <w:rPr>
          <w:rStyle w:val="FootnoteReference"/>
        </w:rPr>
        <w:footnoteRef/>
      </w:r>
      <w:r>
        <w:rPr>
          <w:rFonts w:ascii="Simplified Arabic" w:cs="Simplified Arabic" w:eastAsia="Simplified Arabic" w:hAnsi="Simplified Arabic"/>
          <w:sz w:val="22"/>
          <w:szCs w:val="22"/>
          <w:rtl/>
        </w:rPr>
        <w:t xml:space="preserve"> البار، محمد علي (1987). التعريف الطبي للموت. مجلة مجمع الفقه الإسلامي، جدة: منظمة المؤتمر الإسلامي، العدد الثالث.</w:t>
      </w:r>
    </w:p>
  </w:footnote>
  <w:footnote w:id="29">
    <w:p>
      <w:pPr>
        <w:bidi/>
        <w:spacing w:line="240"/>
      </w:pPr>
      <w:r>
        <w:rPr>
          <w:rStyle w:val="FootnoteReference"/>
        </w:rPr>
        <w:footnoteRef/>
      </w:r>
      <w:r>
        <w:rPr>
          <w:rFonts w:ascii="Simplified Arabic" w:cs="Simplified Arabic" w:eastAsia="Simplified Arabic" w:hAnsi="Simplified Arabic"/>
          <w:sz w:val="22"/>
          <w:szCs w:val="22"/>
          <w:rtl/>
        </w:rPr>
        <w:t xml:space="preserve"> بن صفية، سليمان (2022). أحكام الموت الدماغي للإنسان والتصرف في أعضائه. مجلة الشهاب، الجزائر، مج8، ع2، ص411-434.</w:t>
      </w:r>
    </w:p>
  </w:footnote>
  <w:footnote w:id="30">
    <w:p>
      <w:pPr>
        <w:bidi/>
        <w:spacing w:line="240"/>
      </w:pPr>
      <w:r>
        <w:rPr>
          <w:rStyle w:val="FootnoteReference"/>
        </w:rPr>
        <w:footnoteRef/>
      </w:r>
      <w:r>
        <w:rPr>
          <w:rFonts w:ascii="Simplified Arabic" w:cs="Simplified Arabic" w:eastAsia="Simplified Arabic" w:hAnsi="Simplified Arabic"/>
          <w:sz w:val="22"/>
          <w:szCs w:val="22"/>
          <w:rtl/>
        </w:rPr>
        <w:t xml:space="preserve"> قياسة، ندى (2010). الموت الدماغي بين الطب والدين. مجلة جامعة دمشق للعلوم الاقتصادية والقانونية، مج26، ع1، ص479-500.</w:t>
      </w:r>
    </w:p>
  </w:footnote>
  <w:footnote w:id="31">
    <w:p>
      <w:pPr>
        <w:bidi/>
        <w:spacing w:line="240"/>
      </w:pPr>
      <w:r>
        <w:rPr>
          <w:rStyle w:val="FootnoteReference"/>
        </w:rPr>
        <w:footnoteRef/>
      </w:r>
      <w:r>
        <w:rPr>
          <w:rFonts w:ascii="Simplified Arabic" w:cs="Simplified Arabic" w:eastAsia="Simplified Arabic" w:hAnsi="Simplified Arabic"/>
          <w:sz w:val="22"/>
          <w:szCs w:val="22"/>
          <w:rtl/>
        </w:rPr>
        <w:t xml:space="preserve"> قانون الموت الدماغي-التنفسي الإسرائيلي لسنة 2008 (חוק מוות מוחי-נשימתי, התשס"ח-2008)، الكنيست، سجل القوانين الإسرائيلي.</w:t>
      </w:r>
    </w:p>
  </w:footnote>
  <w:footnote w:id="32">
    <w:p>
      <w:pPr>
        <w:bidi/>
        <w:spacing w:line="240"/>
      </w:pPr>
      <w:r>
        <w:rPr>
          <w:rStyle w:val="FootnoteReference"/>
        </w:rPr>
        <w:footnoteRef/>
      </w:r>
      <w:r>
        <w:rPr>
          <w:rFonts w:ascii="Simplified Arabic" w:cs="Simplified Arabic" w:eastAsia="Simplified Arabic" w:hAnsi="Simplified Arabic"/>
          <w:sz w:val="22"/>
          <w:szCs w:val="22"/>
          <w:rtl/>
        </w:rPr>
        <w:t xml:space="preserve"> قياسة، ندى (2010). الموت الدماغي بين الطب والدين. مجلة جامعة دمشق للعلوم الاقتصادية والقانونية، مج26، ع1، ص479-500.</w:t>
      </w:r>
    </w:p>
  </w:footnote>
  <w:footnote w:id="33">
    <w:p>
      <w:pPr>
        <w:bidi/>
        <w:spacing w:line="240"/>
      </w:pPr>
      <w:r>
        <w:rPr>
          <w:rStyle w:val="FootnoteReference"/>
        </w:rPr>
        <w:footnoteRef/>
      </w:r>
      <w:r>
        <w:rPr>
          <w:rFonts w:ascii="Simplified Arabic" w:cs="Simplified Arabic" w:eastAsia="Simplified Arabic" w:hAnsi="Simplified Arabic"/>
          <w:sz w:val="22"/>
          <w:szCs w:val="22"/>
          <w:rtl/>
        </w:rPr>
        <w:t xml:space="preserve"> شريعة حمورابي، المواد 215-218 المتعلقة بأجر الطبيب الجرّاح وعقوبته؛ وينظر في تاريخ المسؤولية الطبية: الشماخي، هدى عبد الباسط محمود (2020). المسئولية عن الأعمال الطبية في الفقه الإسلامي. ط1، القاهرة: المركز القومي للإصدارات القانونية.</w:t>
      </w:r>
    </w:p>
  </w:footnote>
  <w:footnote w:id="34">
    <w:p>
      <w:pPr>
        <w:bidi/>
        <w:spacing w:line="240"/>
      </w:pPr>
      <w:r>
        <w:rPr>
          <w:rStyle w:val="FootnoteReference"/>
        </w:rPr>
        <w:footnoteRef/>
      </w:r>
      <w:r>
        <w:rPr>
          <w:rFonts w:ascii="Simplified Arabic" w:cs="Simplified Arabic" w:eastAsia="Simplified Arabic" w:hAnsi="Simplified Arabic"/>
          <w:sz w:val="22"/>
          <w:szCs w:val="22"/>
          <w:rtl/>
        </w:rPr>
        <w:t xml:space="preserve"> لدغش، رحيمة (2019). الموت السريري والموت الدماغي وأثرهما في الأحكام الشرعية. مجلة العلوم القانونية والسياسية، مج10، ع1.</w:t>
      </w:r>
    </w:p>
  </w:footnote>
  <w:footnote w:id="35">
    <w:p>
      <w:pPr>
        <w:bidi/>
        <w:spacing w:line="240"/>
      </w:pPr>
      <w:r>
        <w:rPr>
          <w:rStyle w:val="FootnoteReference"/>
        </w:rPr>
        <w:footnoteRef/>
      </w:r>
      <w:r>
        <w:rPr>
          <w:rFonts w:ascii="Simplified Arabic" w:cs="Simplified Arabic" w:eastAsia="Simplified Arabic" w:hAnsi="Simplified Arabic"/>
          <w:sz w:val="22"/>
          <w:szCs w:val="22"/>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36">
    <w:p>
      <w:pPr>
        <w:bidi/>
        <w:spacing w:line="240"/>
      </w:pPr>
      <w:r>
        <w:rPr>
          <w:rStyle w:val="FootnoteReference"/>
        </w:rPr>
        <w:footnoteRef/>
      </w:r>
      <w:r>
        <w:rPr>
          <w:rFonts w:ascii="Simplified Arabic" w:cs="Simplified Arabic" w:eastAsia="Simplified Arabic" w:hAnsi="Simplified Arabic"/>
          <w:sz w:val="22"/>
          <w:szCs w:val="22"/>
          <w:rtl/>
        </w:rPr>
        <w:t xml:space="preserve"> Journal of Law, Medicine &amp; Ethics (2025). Addressing the Problem of Brain Death Misdiagnosis. JLME, 53(2), 244-253.</w:t>
      </w:r>
    </w:p>
  </w:footnote>
  <w:footnote w:id="37">
    <w:p>
      <w:pPr>
        <w:bidi/>
        <w:spacing w:line="240"/>
      </w:pPr>
      <w:r>
        <w:rPr>
          <w:rStyle w:val="FootnoteReference"/>
        </w:rPr>
        <w:footnoteRef/>
      </w:r>
      <w:r>
        <w:rPr>
          <w:rFonts w:ascii="Simplified Arabic" w:cs="Simplified Arabic" w:eastAsia="Simplified Arabic" w:hAnsi="Simplified Arabic"/>
          <w:sz w:val="22"/>
          <w:szCs w:val="22"/>
          <w:rtl/>
        </w:rPr>
        <w:t xml:space="preserve"> الزكي، عبد الله (2020). نقل أعضاء الميت موتًا سريريًّا في الفقه الإسلامي. مجلة المنهل، جامعة الوادي، الجزائر، مج6، ع2.</w:t>
      </w:r>
    </w:p>
  </w:footnote>
  <w:footnote w:id="38">
    <w:p>
      <w:pPr>
        <w:bidi/>
        <w:spacing w:line="240"/>
      </w:pPr>
      <w:r>
        <w:rPr>
          <w:rStyle w:val="FootnoteReference"/>
        </w:rPr>
        <w:footnoteRef/>
      </w:r>
      <w:r>
        <w:rPr>
          <w:rFonts w:ascii="Simplified Arabic" w:cs="Simplified Arabic" w:eastAsia="Simplified Arabic" w:hAnsi="Simplified Arabic"/>
          <w:sz w:val="22"/>
          <w:szCs w:val="22"/>
          <w:rtl/>
        </w:rPr>
        <w:t xml:space="preserve"> Gostin, L. O. (2014). Legal and Ethical Responsibilities Following Brain Death: The McMath and Munoz Cases. JAMA, published online January 24, 2014.</w:t>
      </w:r>
    </w:p>
  </w:footnote>
  <w:footnote w:id="39">
    <w:p>
      <w:pPr>
        <w:bidi/>
        <w:spacing w:line="240"/>
      </w:pPr>
      <w:r>
        <w:rPr>
          <w:rStyle w:val="FootnoteReference"/>
        </w:rPr>
        <w:footnoteRef/>
      </w:r>
      <w:r>
        <w:rPr>
          <w:rFonts w:ascii="Simplified Arabic" w:cs="Simplified Arabic" w:eastAsia="Simplified Arabic" w:hAnsi="Simplified Arabic"/>
          <w:sz w:val="22"/>
          <w:szCs w:val="22"/>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40">
    <w:p>
      <w:pPr>
        <w:bidi/>
        <w:spacing w:line="240"/>
      </w:pPr>
      <w:r>
        <w:rPr>
          <w:rStyle w:val="FootnoteReference"/>
        </w:rPr>
        <w:footnoteRef/>
      </w:r>
      <w:r>
        <w:rPr>
          <w:rFonts w:ascii="Simplified Arabic" w:cs="Simplified Arabic" w:eastAsia="Simplified Arabic" w:hAnsi="Simplified Arabic"/>
          <w:sz w:val="22"/>
          <w:szCs w:val="22"/>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41">
    <w:p>
      <w:pPr>
        <w:bidi/>
        <w:spacing w:line="240"/>
      </w:pPr>
      <w:r>
        <w:rPr>
          <w:rStyle w:val="FootnoteReference"/>
        </w:rPr>
        <w:footnoteRef/>
      </w:r>
      <w:r>
        <w:rPr>
          <w:rFonts w:ascii="Simplified Arabic" w:cs="Simplified Arabic" w:eastAsia="Simplified Arabic" w:hAnsi="Simplified Arabic"/>
          <w:sz w:val="22"/>
          <w:szCs w:val="22"/>
          <w:rtl/>
        </w:rPr>
        <w:t xml:space="preserve"> الشلتوني، أنور (2024). ضوابط رفع أجهزة الإنعاش الصناعي عن الميت دماغيًّا - دراسة مقارنة. مجلة البحوث القانونية والاقتصادية (المنصورة)، ص1-48.</w:t>
      </w:r>
    </w:p>
  </w:footnote>
  <w:footnote w:id="42">
    <w:p>
      <w:pPr>
        <w:bidi/>
        <w:spacing w:line="240"/>
      </w:pPr>
      <w:r>
        <w:rPr>
          <w:rStyle w:val="FootnoteReference"/>
        </w:rPr>
        <w:footnoteRef/>
      </w:r>
      <w:r>
        <w:rPr>
          <w:rFonts w:ascii="Simplified Arabic" w:cs="Simplified Arabic" w:eastAsia="Simplified Arabic" w:hAnsi="Simplified Arabic"/>
          <w:sz w:val="22"/>
          <w:szCs w:val="22"/>
          <w:rtl/>
        </w:rPr>
        <w:t xml:space="preserve"> الشماخي، هدى عبد الباسط محمود (2020). المسئولية عن الأعمال الطبية في الفقه الإسلامي: دراسة مقارنة. ط1، القاهرة: المركز القومي للإصدارات القانونية.</w:t>
      </w:r>
    </w:p>
  </w:footnote>
  <w:footnote w:id="43">
    <w:p>
      <w:pPr>
        <w:bidi/>
        <w:spacing w:line="240"/>
      </w:pPr>
      <w:r>
        <w:rPr>
          <w:rStyle w:val="FootnoteReference"/>
        </w:rPr>
        <w:footnoteRef/>
      </w:r>
      <w:r>
        <w:rPr>
          <w:rFonts w:ascii="Simplified Arabic" w:cs="Simplified Arabic" w:eastAsia="Simplified Arabic" w:hAnsi="Simplified Arabic"/>
          <w:sz w:val="22"/>
          <w:szCs w:val="22"/>
          <w:rtl/>
        </w:rPr>
        <w:t xml:space="preserve"> شتوان، بلقاسم (2012). إشكالية الموت السريري الإكلينيكي بين الفقه والطب وأثره على نقل وزرع الأعضاء البشرية. مجلة الشريعة والاقتصاد، مج1، ع2، ص329-348.</w:t>
      </w:r>
    </w:p>
  </w:footnote>
  <w:footnote w:id="44">
    <w:p>
      <w:pPr>
        <w:bidi/>
        <w:spacing w:line="240"/>
      </w:pPr>
      <w:r>
        <w:rPr>
          <w:rStyle w:val="FootnoteReference"/>
        </w:rPr>
        <w:footnoteRef/>
      </w:r>
      <w:r>
        <w:rPr>
          <w:rFonts w:ascii="Simplified Arabic" w:cs="Simplified Arabic" w:eastAsia="Simplified Arabic" w:hAnsi="Simplified Arabic"/>
          <w:sz w:val="22"/>
          <w:szCs w:val="22"/>
          <w:rtl/>
        </w:rPr>
        <w:t xml:space="preserve"> 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footnote>
  <w:footnote w:id="45">
    <w:p>
      <w:pPr>
        <w:bidi/>
        <w:spacing w:line="240"/>
      </w:pPr>
      <w:r>
        <w:rPr>
          <w:rStyle w:val="FootnoteReference"/>
        </w:rPr>
        <w:footnoteRef/>
      </w:r>
      <w:r>
        <w:rPr>
          <w:rFonts w:ascii="Simplified Arabic" w:cs="Simplified Arabic" w:eastAsia="Simplified Arabic" w:hAnsi="Simplified Arabic"/>
          <w:sz w:val="22"/>
          <w:szCs w:val="22"/>
          <w:rtl/>
        </w:rPr>
        <w:t xml:space="preserve"> الشاطبي، إبراهيم بن موسى. الموافقات في أصول الشريعة. بيروت: دار المعرفة.</w:t>
      </w:r>
    </w:p>
  </w:footnote>
  <w:footnote w:id="46">
    <w:p>
      <w:pPr>
        <w:bidi/>
        <w:spacing w:line="240"/>
      </w:pPr>
      <w:r>
        <w:rPr>
          <w:rStyle w:val="FootnoteReference"/>
        </w:rPr>
        <w:footnoteRef/>
      </w:r>
      <w:r>
        <w:rPr>
          <w:rFonts w:ascii="Simplified Arabic" w:cs="Simplified Arabic" w:eastAsia="Simplified Arabic" w:hAnsi="Simplified Arabic"/>
          <w:sz w:val="22"/>
          <w:szCs w:val="22"/>
          <w:rtl/>
        </w:rPr>
        <w:t xml:space="preserve"> ابن عاشور، محمد الطاهر. مقاصد الشريعة الإسلامية. تونس: الدار التونسية للنشر.</w:t>
      </w:r>
    </w:p>
  </w:footnote>
  <w:footnote w:id="47">
    <w:p>
      <w:pPr>
        <w:bidi/>
        <w:spacing w:line="240"/>
      </w:pPr>
      <w:r>
        <w:rPr>
          <w:rStyle w:val="FootnoteReference"/>
        </w:rPr>
        <w:footnoteRef/>
      </w:r>
      <w:r>
        <w:rPr>
          <w:rFonts w:ascii="Simplified Arabic" w:cs="Simplified Arabic" w:eastAsia="Simplified Arabic" w:hAnsi="Simplified Arabic"/>
          <w:sz w:val="22"/>
          <w:szCs w:val="22"/>
          <w:rtl/>
        </w:rPr>
        <w:t xml:space="preserve"> الريسوني، أحمد (2010). مدخل إلى مقاصد الشريعة. ط1، المنصورة: دار الكلمة.</w:t>
      </w:r>
    </w:p>
  </w:footnote>
  <w:footnote w:id="48">
    <w:p>
      <w:pPr>
        <w:bidi/>
        <w:spacing w:line="240"/>
      </w:pPr>
      <w:r>
        <w:rPr>
          <w:rStyle w:val="FootnoteReference"/>
        </w:rPr>
        <w:footnoteRef/>
      </w:r>
      <w:r>
        <w:rPr>
          <w:rFonts w:ascii="Simplified Arabic" w:cs="Simplified Arabic" w:eastAsia="Simplified Arabic" w:hAnsi="Simplified Arabic"/>
          <w:sz w:val="22"/>
          <w:szCs w:val="22"/>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49">
    <w:p>
      <w:pPr>
        <w:bidi/>
        <w:spacing w:line="240"/>
      </w:pPr>
      <w:r>
        <w:rPr>
          <w:rStyle w:val="FootnoteReference"/>
        </w:rPr>
        <w:footnoteRef/>
      </w:r>
      <w:r>
        <w:rPr>
          <w:rFonts w:ascii="Simplified Arabic" w:cs="Simplified Arabic" w:eastAsia="Simplified Arabic" w:hAnsi="Simplified Arabic"/>
          <w:sz w:val="22"/>
          <w:szCs w:val="22"/>
          <w:rtl/>
        </w:rPr>
        <w:t xml:space="preserve"> قانون الموت الدماغي-التنفسي الإسرائيلي لسنة 2008 (חוק מוות מוחי-נשימתי, התשס"ח-2008)، الكنيست، سجل القوانين الإسرائيلي.</w:t>
      </w:r>
    </w:p>
  </w:footnote>
  <w:footnote w:id="50">
    <w:p>
      <w:pPr>
        <w:bidi/>
        <w:spacing w:line="240"/>
      </w:pPr>
      <w:r>
        <w:rPr>
          <w:rStyle w:val="FootnoteReference"/>
        </w:rPr>
        <w:footnoteRef/>
      </w:r>
      <w:r>
        <w:rPr>
          <w:rFonts w:ascii="Simplified Arabic" w:cs="Simplified Arabic" w:eastAsia="Simplified Arabic" w:hAnsi="Simplified Arabic"/>
          <w:sz w:val="22"/>
          <w:szCs w:val="22"/>
          <w:rtl/>
        </w:rPr>
        <w:t xml:space="preserve"> الرهوان، محمد بن أحمد (2021). موت الرحمة والأحكام الشرعية المتعلقة بإبقاء أجهزة الإنعاش الصناعي ونزعها. مجلة الجامعة القاسمية للعلوم الشرعية والدراسات الإسلامية، الشارقة، مج1، ع2.</w:t>
      </w:r>
    </w:p>
  </w:footnote>
  <w:footnote w:id="51">
    <w:p>
      <w:pPr>
        <w:bidi/>
        <w:spacing w:line="240"/>
      </w:pPr>
      <w:r>
        <w:rPr>
          <w:rStyle w:val="FootnoteReference"/>
        </w:rPr>
        <w:footnoteRef/>
      </w:r>
      <w:r>
        <w:rPr>
          <w:rFonts w:ascii="Simplified Arabic" w:cs="Simplified Arabic" w:eastAsia="Simplified Arabic" w:hAnsi="Simplified Arabic"/>
          <w:sz w:val="22"/>
          <w:szCs w:val="22"/>
          <w:rtl/>
        </w:rPr>
        <w:t xml:space="preserve"> عبد المبدي، جهاد محمود (2024). الأحكام المتعلقة بممارسة الأعمال الطبية: دراسة مقارنة بين الفقه الإسلامي والقانون. ط1، القاهرة: المركز القومي للإصدارات القانونية.</w:t>
      </w:r>
    </w:p>
  </w:footnote>
  <w:footnote w:id="52">
    <w:p>
      <w:pPr>
        <w:bidi/>
        <w:spacing w:line="240"/>
      </w:pPr>
      <w:r>
        <w:rPr>
          <w:rStyle w:val="FootnoteReference"/>
        </w:rPr>
        <w:footnoteRef/>
      </w:r>
      <w:r>
        <w:rPr>
          <w:rFonts w:ascii="Simplified Arabic" w:cs="Simplified Arabic" w:eastAsia="Simplified Arabic" w:hAnsi="Simplified Arabic"/>
          <w:sz w:val="22"/>
          <w:szCs w:val="22"/>
          <w:rtl/>
        </w:rPr>
        <w:t xml:space="preserve"> زيدان، عبد الكريم (2001). الوجيز في شرح القواعد الفقهية في الشريعة الإسلامية. ط1، بيروت: مؤسسة الرسالة.</w:t>
      </w:r>
    </w:p>
  </w:footnote>
  <w:footnote w:id="53">
    <w:p>
      <w:pPr>
        <w:bidi/>
        <w:spacing w:line="240"/>
      </w:pPr>
      <w:r>
        <w:rPr>
          <w:rStyle w:val="FootnoteReference"/>
        </w:rPr>
        <w:footnoteRef/>
      </w:r>
      <w:r>
        <w:rPr>
          <w:rFonts w:ascii="Simplified Arabic" w:cs="Simplified Arabic" w:eastAsia="Simplified Arabic" w:hAnsi="Simplified Arabic"/>
          <w:sz w:val="22"/>
          <w:szCs w:val="22"/>
          <w:rtl/>
        </w:rPr>
        <w:t xml:space="preserve"> بن صفية، سليمان (2022). أحكام الموت الدماغي للإنسان والتصرف في أعضائه. مجلة الشهاب، الجزائر، مج8، ع2، ص411-434.</w:t>
      </w:r>
    </w:p>
  </w:footnote>
  <w:footnote w:id="54">
    <w:p>
      <w:pPr>
        <w:bidi/>
        <w:spacing w:line="240"/>
      </w:pPr>
      <w:r>
        <w:rPr>
          <w:rStyle w:val="FootnoteReference"/>
        </w:rPr>
        <w:footnoteRef/>
      </w:r>
      <w:r>
        <w:rPr>
          <w:rFonts w:ascii="Simplified Arabic" w:cs="Simplified Arabic" w:eastAsia="Simplified Arabic" w:hAnsi="Simplified Arabic"/>
          <w:sz w:val="22"/>
          <w:szCs w:val="22"/>
          <w:rtl/>
        </w:rPr>
        <w:t xml:space="preserve"> 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footnote>
  <w:footnote w:id="55">
    <w:p>
      <w:pPr>
        <w:bidi/>
        <w:spacing w:line="240"/>
      </w:pPr>
      <w:r>
        <w:rPr>
          <w:rStyle w:val="FootnoteReference"/>
        </w:rPr>
        <w:footnoteRef/>
      </w:r>
      <w:r>
        <w:rPr>
          <w:rFonts w:ascii="Simplified Arabic" w:cs="Simplified Arabic" w:eastAsia="Simplified Arabic" w:hAnsi="Simplified Arabic"/>
          <w:sz w:val="22"/>
          <w:szCs w:val="22"/>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 w:id="56">
    <w:p>
      <w:pPr>
        <w:bidi/>
        <w:spacing w:line="240"/>
      </w:pPr>
      <w:r>
        <w:rPr>
          <w:rStyle w:val="FootnoteReference"/>
        </w:rPr>
        <w:footnoteRef/>
      </w:r>
      <w:r>
        <w:rPr>
          <w:rFonts w:ascii="Simplified Arabic" w:cs="Simplified Arabic" w:eastAsia="Simplified Arabic" w:hAnsi="Simplified Arabic"/>
          <w:sz w:val="22"/>
          <w:szCs w:val="22"/>
          <w:rtl/>
        </w:rPr>
        <w:t xml:space="preserve"> بن صفية، سليمان (2022). أحكام الموت الدماغي للإنسان والتصرف في أعضائه. مجلة الشهاب، الجزائر، مج8، ع2، ص411-434.</w:t>
      </w:r>
    </w:p>
  </w:footnote>
  <w:footnote w:id="57">
    <w:p>
      <w:pPr>
        <w:bidi/>
        <w:spacing w:line="240"/>
      </w:pPr>
      <w:r>
        <w:rPr>
          <w:rStyle w:val="FootnoteReference"/>
        </w:rPr>
        <w:footnoteRef/>
      </w:r>
      <w:r>
        <w:rPr>
          <w:rFonts w:ascii="Simplified Arabic" w:cs="Simplified Arabic" w:eastAsia="Simplified Arabic" w:hAnsi="Simplified Arabic"/>
          <w:sz w:val="22"/>
          <w:szCs w:val="22"/>
          <w:rtl/>
        </w:rPr>
        <w:t xml:space="preserve"> الدق، صلاح نجيب (2022). الأحكام المتعلّقة برفع أجهزة الإنعاش عن المريض. مجلة جمعية أنصار السنة المحمدية، مصر، مج14، ع88، ص14-16.</w:t>
      </w:r>
    </w:p>
  </w:footnote>
  <w:footnote w:id="58">
    <w:p>
      <w:pPr>
        <w:bidi/>
        <w:spacing w:line="240"/>
      </w:pPr>
      <w:r>
        <w:rPr>
          <w:rStyle w:val="FootnoteReference"/>
        </w:rPr>
        <w:footnoteRef/>
      </w:r>
      <w:r>
        <w:rPr>
          <w:rFonts w:ascii="Simplified Arabic" w:cs="Simplified Arabic" w:eastAsia="Simplified Arabic" w:hAnsi="Simplified Arabic"/>
          <w:sz w:val="22"/>
          <w:szCs w:val="22"/>
          <w:rtl/>
        </w:rPr>
        <w:t xml:space="preserve"> ابن عثيمين: هو محمد بن صالح بن محمد العثيمين الوهيبيّ التميميّ، فقيه أصوليّ مفسّر، وُلد سنة 1347هـ بعنيزة، من أشهر كتبه "الشرح الممتع على زاد المستقنع" و"مجموع الفتاوى والرسائل"، توفي سنة 1421هـ.</w:t>
      </w:r>
    </w:p>
  </w:footnote>
  <w:footnote w:id="59">
    <w:p>
      <w:pPr>
        <w:bidi/>
        <w:spacing w:line="240"/>
      </w:pPr>
      <w:r>
        <w:rPr>
          <w:rStyle w:val="FootnoteReference"/>
        </w:rPr>
        <w:footnoteRef/>
      </w:r>
      <w:r>
        <w:rPr>
          <w:rFonts w:ascii="Simplified Arabic" w:cs="Simplified Arabic" w:eastAsia="Simplified Arabic" w:hAnsi="Simplified Arabic"/>
          <w:sz w:val="22"/>
          <w:szCs w:val="22"/>
          <w:rtl/>
        </w:rPr>
        <w:t xml:space="preserve"> 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footnote>
  <w:footnote w:id="60">
    <w:p>
      <w:pPr>
        <w:bidi/>
        <w:spacing w:line="240"/>
      </w:pPr>
      <w:r>
        <w:rPr>
          <w:rStyle w:val="FootnoteReference"/>
        </w:rPr>
        <w:footnoteRef/>
      </w:r>
      <w:r>
        <w:rPr>
          <w:rFonts w:ascii="Simplified Arabic" w:cs="Simplified Arabic" w:eastAsia="Simplified Arabic" w:hAnsi="Simplified Arabic"/>
          <w:sz w:val="22"/>
          <w:szCs w:val="22"/>
          <w:rtl/>
        </w:rPr>
        <w:t xml:space="preserve"> Journal of Law, Medicine &amp; Ethics (2025). Addressing the Problem of Brain Death Misdiagnosis. JLME, 53(2), 244-253.</w:t>
      </w:r>
    </w:p>
  </w:footnote>
  <w:footnote w:id="61">
    <w:p>
      <w:pPr>
        <w:bidi/>
        <w:spacing w:line="240"/>
      </w:pPr>
      <w:r>
        <w:rPr>
          <w:rStyle w:val="FootnoteReference"/>
        </w:rPr>
        <w:footnoteRef/>
      </w:r>
      <w:r>
        <w:rPr>
          <w:rFonts w:ascii="Simplified Arabic" w:cs="Simplified Arabic" w:eastAsia="Simplified Arabic" w:hAnsi="Simplified Arabic"/>
          <w:sz w:val="22"/>
          <w:szCs w:val="22"/>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62">
    <w:p>
      <w:pPr>
        <w:bidi/>
        <w:spacing w:line="240"/>
      </w:pPr>
      <w:r>
        <w:rPr>
          <w:rStyle w:val="FootnoteReference"/>
        </w:rPr>
        <w:footnoteRef/>
      </w:r>
      <w:r>
        <w:rPr>
          <w:rFonts w:ascii="Simplified Arabic" w:cs="Simplified Arabic" w:eastAsia="Simplified Arabic" w:hAnsi="Simplified Arabic"/>
          <w:sz w:val="22"/>
          <w:szCs w:val="22"/>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63">
    <w:p>
      <w:pPr>
        <w:bidi/>
        <w:spacing w:line="240"/>
      </w:pPr>
      <w:r>
        <w:rPr>
          <w:rStyle w:val="FootnoteReference"/>
        </w:rPr>
        <w:footnoteRef/>
      </w:r>
      <w:r>
        <w:rPr>
          <w:rFonts w:ascii="Simplified Arabic" w:cs="Simplified Arabic" w:eastAsia="Simplified Arabic" w:hAnsi="Simplified Arabic"/>
          <w:sz w:val="22"/>
          <w:szCs w:val="22"/>
          <w:rtl/>
        </w:rPr>
        <w:t xml:space="preserve"> ناصر، سيهام (2023). أثر فقه الموازنات في القتل الرحيم: رفع أجهزة الإنعاش عن الميت دماغيًّا أنموذجًا. مجلة الإحياء، الجزائر، ص263 وما بعدها.</w:t>
      </w:r>
    </w:p>
  </w:footnote>
  <w:footnote w:id="64">
    <w:p>
      <w:pPr>
        <w:bidi/>
        <w:spacing w:line="240"/>
      </w:pPr>
      <w:r>
        <w:rPr>
          <w:rStyle w:val="FootnoteReference"/>
        </w:rPr>
        <w:footnoteRef/>
      </w:r>
      <w:r>
        <w:rPr>
          <w:rFonts w:ascii="Simplified Arabic" w:cs="Simplified Arabic" w:eastAsia="Simplified Arabic" w:hAnsi="Simplified Arabic"/>
          <w:sz w:val="22"/>
          <w:szCs w:val="22"/>
          <w:rtl/>
        </w:rPr>
        <w:t xml:space="preserve"> قانون الصحة العامة الفلسطيني رقم (20) لسنة 2004م.</w:t>
      </w:r>
    </w:p>
  </w:footnote>
  <w:footnote w:id="65">
    <w:p>
      <w:pPr>
        <w:bidi/>
        <w:spacing w:line="240"/>
      </w:pPr>
      <w:r>
        <w:rPr>
          <w:rStyle w:val="FootnoteReference"/>
        </w:rPr>
        <w:footnoteRef/>
      </w:r>
      <w:r>
        <w:rPr>
          <w:rFonts w:ascii="Simplified Arabic" w:cs="Simplified Arabic" w:eastAsia="Simplified Arabic" w:hAnsi="Simplified Arabic"/>
          <w:sz w:val="22"/>
          <w:szCs w:val="22"/>
          <w:rtl/>
        </w:rPr>
        <w:t xml:space="preserve"> قانون الانتفاع بأعضاء جسم الإنسان الأردني رقم (23) لسنة 1977م وتعديلاته؛ وينظر: الزرعوني، راشد محمود (2024). المرجع السابق ذكره.</w:t>
      </w:r>
    </w:p>
  </w:footnote>
  <w:footnote w:id="66">
    <w:p>
      <w:pPr>
        <w:bidi/>
        <w:spacing w:line="240"/>
      </w:pPr>
      <w:r>
        <w:rPr>
          <w:rStyle w:val="FootnoteReference"/>
        </w:rPr>
        <w:footnoteRef/>
      </w:r>
      <w:r>
        <w:rPr>
          <w:rFonts w:ascii="Simplified Arabic" w:cs="Simplified Arabic" w:eastAsia="Simplified Arabic" w:hAnsi="Simplified Arabic"/>
          <w:sz w:val="22"/>
          <w:szCs w:val="22"/>
          <w:rtl/>
        </w:rPr>
        <w:t xml:space="preserve"> محمد، عبد الرزاق أحمد (2023). الوضع القانوني للميت دماغيًّا: دراسة قانونية مقارنة مع أحكام الفقه الإسلامي. مجلة المعهد، معهد العلمين للدراسات العليا، العراق، مج1، ص141-158.</w:t>
      </w:r>
    </w:p>
  </w:footnote>
  <w:footnote w:id="67">
    <w:p>
      <w:pPr>
        <w:bidi/>
        <w:spacing w:line="240"/>
      </w:pPr>
      <w:r>
        <w:rPr>
          <w:rStyle w:val="FootnoteReference"/>
        </w:rPr>
        <w:footnoteRef/>
      </w:r>
      <w:r>
        <w:rPr>
          <w:rFonts w:ascii="Simplified Arabic" w:cs="Simplified Arabic" w:eastAsia="Simplified Arabic" w:hAnsi="Simplified Arabic"/>
          <w:sz w:val="22"/>
          <w:szCs w:val="22"/>
          <w:rtl/>
        </w:rPr>
        <w:t xml:space="preserve"> الزرعوني، راشد محمود (2024). ضوابط رفع أجهزة الإنعاش الصناعي عن الميت دماغيًّا - دراسة مقارنة. مجلة البحوث القانونية والاقتصادية، كلية الحقوق بالمنصورة، مج66، ع1.</w:t>
      </w:r>
    </w:p>
  </w:footnote>
  <w:footnote w:id="68">
    <w:p>
      <w:pPr>
        <w:bidi/>
        <w:spacing w:line="240"/>
      </w:pPr>
      <w:r>
        <w:rPr>
          <w:rStyle w:val="FootnoteReference"/>
        </w:rPr>
        <w:footnoteRef/>
      </w:r>
      <w:r>
        <w:rPr>
          <w:rFonts w:ascii="Simplified Arabic" w:cs="Simplified Arabic" w:eastAsia="Simplified Arabic" w:hAnsi="Simplified Arabic"/>
          <w:sz w:val="22"/>
          <w:szCs w:val="22"/>
          <w:rtl/>
        </w:rPr>
        <w:t xml:space="preserve"> قانون الموت الدماغي-التنفسي الإسرائيلي لسنة 2008 (חוק מוות מוחי-נשימתי, התשס"ח-2008)، الكنيست، سجل القوانين الإسرائيلي.</w:t>
      </w:r>
    </w:p>
  </w:footnote>
  <w:footnote w:id="69">
    <w:p>
      <w:pPr>
        <w:bidi/>
        <w:spacing w:line="240"/>
      </w:pPr>
      <w:r>
        <w:rPr>
          <w:rStyle w:val="FootnoteReference"/>
        </w:rPr>
        <w:footnoteRef/>
      </w:r>
      <w:r>
        <w:rPr>
          <w:rFonts w:ascii="Simplified Arabic" w:cs="Simplified Arabic" w:eastAsia="Simplified Arabic" w:hAnsi="Simplified Arabic"/>
          <w:sz w:val="22"/>
          <w:szCs w:val="22"/>
          <w:rtl/>
        </w:rPr>
        <w:t xml:space="preserve"> Gostin, L. O. (2014). Legal and Ethical Responsibilities Following Brain Death: The McMath and Munoz Cases. JAMA, published online January 24, 2014.</w:t>
      </w:r>
    </w:p>
  </w:footnote>
  <w:footnote w:id="70">
    <w:p>
      <w:pPr>
        <w:bidi/>
        <w:spacing w:line="240"/>
      </w:pPr>
      <w:r>
        <w:rPr>
          <w:rStyle w:val="FootnoteReference"/>
        </w:rPr>
        <w:footnoteRef/>
      </w:r>
      <w:r>
        <w:rPr>
          <w:rFonts w:ascii="Simplified Arabic" w:cs="Simplified Arabic" w:eastAsia="Simplified Arabic" w:hAnsi="Simplified Arabic"/>
          <w:sz w:val="22"/>
          <w:szCs w:val="22"/>
          <w:rtl/>
        </w:rPr>
        <w:t xml:space="preserve"> القانون الفرنسي المتعلق بحقوق المرضى ونهاية الحياة (قانون ليونيتي) لسنة 2005م.</w:t>
      </w:r>
    </w:p>
  </w:footnote>
  <w:footnote w:id="71">
    <w:p>
      <w:pPr>
        <w:bidi/>
        <w:spacing w:line="240"/>
      </w:pPr>
      <w:r>
        <w:rPr>
          <w:rStyle w:val="FootnoteReference"/>
        </w:rPr>
        <w:footnoteRef/>
      </w:r>
      <w:r>
        <w:rPr>
          <w:rFonts w:ascii="Simplified Arabic" w:cs="Simplified Arabic" w:eastAsia="Simplified Arabic" w:hAnsi="Simplified Arabic"/>
          <w:sz w:val="22"/>
          <w:szCs w:val="22"/>
          <w:rtl/>
        </w:rPr>
        <w:t xml:space="preserve"> Russell, J. A., Epstein, L. G., Greer, D. M., Kirschen, M., Rubin, M. A., &amp; Lewis, A. (2019). Brain death, the determination of brain death, and member guidance for brain death accommodation requests: AAN position statement. Neurology, 92(5), 228-232.</w:t>
      </w:r>
    </w:p>
  </w:footnote>
  <w:footnote w:id="72">
    <w:p>
      <w:pPr>
        <w:bidi/>
        <w:spacing w:line="240"/>
      </w:pPr>
      <w:r>
        <w:rPr>
          <w:rStyle w:val="FootnoteReference"/>
        </w:rPr>
        <w:footnoteRef/>
      </w:r>
      <w:r>
        <w:rPr>
          <w:rFonts w:ascii="Simplified Arabic" w:cs="Simplified Arabic" w:eastAsia="Simplified Arabic" w:hAnsi="Simplified Arabic"/>
          <w:sz w:val="22"/>
          <w:szCs w:val="22"/>
          <w:rtl/>
        </w:rPr>
        <w:t xml:space="preserve"> Ancillary Tests for Brain Death (2025). Frontiers in Neurology, vol. 15 (2024), published January 7, 2025.</w:t>
      </w:r>
    </w:p>
  </w:footnote>
  <w:footnote w:id="73">
    <w:p>
      <w:pPr>
        <w:bidi/>
        <w:spacing w:line="240"/>
      </w:pPr>
      <w:r>
        <w:rPr>
          <w:rStyle w:val="FootnoteReference"/>
        </w:rPr>
        <w:footnoteRef/>
      </w:r>
      <w:r>
        <w:rPr>
          <w:rFonts w:ascii="Simplified Arabic" w:cs="Simplified Arabic" w:eastAsia="Simplified Arabic" w:hAnsi="Simplified Arabic"/>
          <w:sz w:val="22"/>
          <w:szCs w:val="22"/>
          <w:rtl/>
        </w:rPr>
        <w:t xml:space="preserve"> Retrospective Analysis of the Apnea Test and Ancillary Test in Determining Brain Death (2020). Vol. 32, No. 3, pp. 405-411.</w:t>
      </w:r>
    </w:p>
  </w:footnote>
  <w:footnote w:id="74">
    <w:p>
      <w:pPr>
        <w:bidi/>
        <w:spacing w:line="240"/>
      </w:pPr>
      <w:r>
        <w:rPr>
          <w:rStyle w:val="FootnoteReference"/>
        </w:rPr>
        <w:footnoteRef/>
      </w:r>
      <w:r>
        <w:rPr>
          <w:rFonts w:ascii="Simplified Arabic" w:cs="Simplified Arabic" w:eastAsia="Simplified Arabic" w:hAnsi="Simplified Arabic"/>
          <w:sz w:val="22"/>
          <w:szCs w:val="22"/>
          <w:rtl/>
        </w:rPr>
        <w:t xml:space="preserve"> Gostin, L. O. (2014). Legal and Ethical Responsibilities Following Brain Death: The McMath and Munoz Cases. JAMA, published online January 24, 2014.</w:t>
      </w:r>
    </w:p>
  </w:footnote>
  <w:footnote w:id="75">
    <w:p>
      <w:pPr>
        <w:bidi/>
        <w:spacing w:line="240"/>
      </w:pPr>
      <w:r>
        <w:rPr>
          <w:rStyle w:val="FootnoteReference"/>
        </w:rPr>
        <w:footnoteRef/>
      </w:r>
      <w:r>
        <w:rPr>
          <w:rFonts w:ascii="Simplified Arabic" w:cs="Simplified Arabic" w:eastAsia="Simplified Arabic" w:hAnsi="Simplified Arabic"/>
          <w:sz w:val="22"/>
          <w:szCs w:val="22"/>
          <w:rtl/>
        </w:rPr>
        <w:t xml:space="preserve"> الدق، صلاح نجيب (2022). الأحكام المتعلّقة برفع أجهزة الإنعاش عن المريض. مجلة جمعية أنصار السنة المحمدية، مصر، مج14، ع88، ص14-16.</w:t>
      </w:r>
    </w:p>
  </w:footnote>
  <w:footnote w:id="76">
    <w:p>
      <w:pPr>
        <w:bidi/>
        <w:spacing w:line="240"/>
      </w:pPr>
      <w:r>
        <w:rPr>
          <w:rStyle w:val="FootnoteReference"/>
        </w:rPr>
        <w:footnoteRef/>
      </w:r>
      <w:r>
        <w:rPr>
          <w:rFonts w:ascii="Simplified Arabic" w:cs="Simplified Arabic" w:eastAsia="Simplified Arabic" w:hAnsi="Simplified Arabic"/>
          <w:sz w:val="22"/>
          <w:szCs w:val="22"/>
          <w:rtl/>
        </w:rPr>
        <w:t xml:space="preserve"> Ancillary Tests for Brain Death (2025). Frontiers in Neurology, vol. 15 (2024), published January 7, 2025.</w:t>
      </w:r>
    </w:p>
  </w:footnote>
  <w:footnote w:id="77">
    <w:p>
      <w:pPr>
        <w:bidi/>
        <w:spacing w:line="240"/>
      </w:pPr>
      <w:r>
        <w:rPr>
          <w:rStyle w:val="FootnoteReference"/>
        </w:rPr>
        <w:footnoteRef/>
      </w:r>
      <w:r>
        <w:rPr>
          <w:rFonts w:ascii="Simplified Arabic" w:cs="Simplified Arabic" w:eastAsia="Simplified Arabic" w:hAnsi="Simplified Arabic"/>
          <w:sz w:val="22"/>
          <w:szCs w:val="22"/>
          <w:rtl/>
        </w:rPr>
        <w:t xml:space="preserve"> الزكي، عبد الله (2020). نقل أعضاء الميت موتًا سريريًّا في الفقه الإسلامي. مجلة المنهل، جامعة الوادي، الجزائر، مج6، ع2.</w:t>
      </w:r>
    </w:p>
  </w:footnote>
  <w:footnote w:id="78">
    <w:p>
      <w:pPr>
        <w:bidi/>
        <w:spacing w:line="240"/>
      </w:pPr>
      <w:r>
        <w:rPr>
          <w:rStyle w:val="FootnoteReference"/>
        </w:rPr>
        <w:footnoteRef/>
      </w:r>
      <w:r>
        <w:rPr>
          <w:rFonts w:ascii="Simplified Arabic" w:cs="Simplified Arabic" w:eastAsia="Simplified Arabic" w:hAnsi="Simplified Arabic"/>
          <w:sz w:val="22"/>
          <w:szCs w:val="22"/>
          <w:rtl/>
        </w:rPr>
        <w:t xml:space="preserve"> مجمع الفقه الإسلامي الدولي. قرارات وتوصيات مجمع الفقه الإسلامي، القرار رقم (5) د 3/07/86 بشأن أجهزة الإنعاش، الدورة الثالثة، عمّان، 1986م. جدة: منظمة التعاون الإسلامي.</w:t>
      </w:r>
    </w:p>
  </w:footnote>
  <w:footnote w:id="79">
    <w:p>
      <w:pPr>
        <w:bidi/>
        <w:spacing w:line="240"/>
      </w:pPr>
      <w:r>
        <w:rPr>
          <w:rStyle w:val="FootnoteReference"/>
        </w:rPr>
        <w:footnoteRef/>
      </w:r>
      <w:r>
        <w:rPr>
          <w:rFonts w:ascii="Simplified Arabic" w:cs="Simplified Arabic" w:eastAsia="Simplified Arabic" w:hAnsi="Simplified Arabic"/>
          <w:sz w:val="22"/>
          <w:szCs w:val="22"/>
          <w:rtl/>
        </w:rPr>
        <w:t xml:space="preserve"> بن صفية، سليمان (2022). أحكام الموت الدماغي للإنسان والتصرف في أعضائه. مجلة الشهاب، الجزائر، مج8، ع2، ص411-434.</w:t>
      </w:r>
    </w:p>
  </w:footnote>
  <w:footnote w:id="80">
    <w:p>
      <w:pPr>
        <w:bidi/>
        <w:spacing w:line="240"/>
      </w:pPr>
      <w:r>
        <w:rPr>
          <w:rStyle w:val="FootnoteReference"/>
        </w:rPr>
        <w:footnoteRef/>
      </w:r>
      <w:r>
        <w:rPr>
          <w:rFonts w:ascii="Simplified Arabic" w:cs="Simplified Arabic" w:eastAsia="Simplified Arabic" w:hAnsi="Simplified Arabic"/>
          <w:sz w:val="22"/>
          <w:szCs w:val="22"/>
          <w:rtl/>
        </w:rPr>
        <w:t xml:space="preserve"> الدق، صلاح نجيب (2022). الأحكام المتعلّقة برفع أجهزة الإنعاش عن المريض. مجلة جمعية أنصار السنة المحمدية، مصر، مج14، ع88، ص14-16.</w:t>
      </w:r>
    </w:p>
  </w:footnote>
  <w:footnote w:id="81">
    <w:p>
      <w:pPr>
        <w:bidi/>
        <w:spacing w:line="240"/>
      </w:pPr>
      <w:r>
        <w:rPr>
          <w:rStyle w:val="FootnoteReference"/>
        </w:rPr>
        <w:footnoteRef/>
      </w:r>
      <w:r>
        <w:rPr>
          <w:rFonts w:ascii="Simplified Arabic" w:cs="Simplified Arabic" w:eastAsia="Simplified Arabic" w:hAnsi="Simplified Arabic"/>
          <w:sz w:val="22"/>
          <w:szCs w:val="22"/>
          <w:rtl/>
        </w:rPr>
        <w:t xml:space="preserve"> المجمع الفقهي الإسلامي برابطة العالم الإسلامي، قرار الدورة العاشرة، مكة المكرمة، 1408هـ/1987م، بشأن أجهزة الإنعاش؛ وينظر: الزرعوني، راشد محمود (2024). ضوابط رفع أجهزة الإنعاش الصناعي عن الميت دماغيًّا. مجلة البحوث القانونية والاقتصادية، مج66، ع1.</w:t>
      </w:r>
    </w:p>
  </w:footnote>
  <w:footnote w:id="82">
    <w:p>
      <w:pPr>
        <w:bidi/>
        <w:spacing w:line="240"/>
      </w:pPr>
      <w:r>
        <w:rPr>
          <w:rStyle w:val="FootnoteReference"/>
        </w:rPr>
        <w:footnoteRef/>
      </w:r>
      <w:r>
        <w:rPr>
          <w:rFonts w:ascii="Simplified Arabic" w:cs="Simplified Arabic" w:eastAsia="Simplified Arabic" w:hAnsi="Simplified Arabic"/>
          <w:sz w:val="22"/>
          <w:szCs w:val="22"/>
          <w:rtl/>
        </w:rPr>
        <w:t xml:space="preserve"> الكاسح، تهاني فرج الشاعث، والصالحين، مسعود الصالحين عبد القادر (2024). حكم نزع الأجهزة على المريض الميت دماغيًّا. مجلة شمال إفريقيا للنشر العلمي، جامعة عمر المختار، ليبيا، مج2، ع4، ص50-59.</w:t>
      </w:r>
    </w:p>
  </w:footnote>
  <w:footnote w:id="83">
    <w:p>
      <w:pPr>
        <w:bidi/>
        <w:spacing w:line="240"/>
      </w:pPr>
      <w:r>
        <w:rPr>
          <w:rStyle w:val="FootnoteReference"/>
        </w:rPr>
        <w:footnoteRef/>
      </w:r>
      <w:r>
        <w:rPr>
          <w:rFonts w:ascii="Simplified Arabic" w:cs="Simplified Arabic" w:eastAsia="Simplified Arabic" w:hAnsi="Simplified Arabic"/>
          <w:sz w:val="22"/>
          <w:szCs w:val="22"/>
          <w:rtl/>
        </w:rPr>
        <w:t xml:space="preserve"> الحبلاني، سعود بن فرحان محمد (2006). حكم رفع أجهزة الإنعاش عن المتوفى دماغيًّا: دراسة فقهية مقارنة. مجلة كلية الدراسات الإسلامية والعربية للبنين بالقاهرة، جامعة الأزهر، مج24، ع1، ص454-490.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Simplified Arabic" w:cs="Simplified Arabic" w:eastAsia="Simplified Arabic" w:hAnsi="Simplified Arabic"/>
      <w:sz w:val="22"/>
      <w:szCs w:val="22"/>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2026-08-14T18:50:24.952Z</dcterms:created>
  <dcterms:modified xsi:type="dcterms:W3CDTF">2026-08-14T18:50:24.953Z</dcterms:modified>
</cp:coreProperties>
</file>

<file path=docProps/custom.xml><?xml version="1.0" encoding="utf-8"?>
<Properties xmlns="http://schemas.openxmlformats.org/officeDocument/2006/custom-properties" xmlns:vt="http://schemas.openxmlformats.org/officeDocument/2006/docPropsVTypes"/>
</file>