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bidi/>
        <w:spacing w:after="200" w:line="360"/>
        <w:jc w:val="center"/>
      </w:pPr>
      <w:r>
        <w:rPr>
          <w:rFonts w:ascii="Simplified Arabic" w:cs="Simplified Arabic" w:eastAsia="Simplified Arabic" w:hAnsi="Simplified Arabic"/>
          <w:b/>
          <w:bCs/>
          <w:sz w:val="36"/>
          <w:szCs w:val="36"/>
          <w:rtl/>
        </w:rPr>
        <w:t xml:space="preserve">أكاديميّة القاسمي</w:t>
      </w:r>
    </w:p>
    <w:p>
      <w:pPr>
        <w:bidi/>
        <w:spacing w:after="200" w:line="360"/>
        <w:jc w:val="center"/>
      </w:pPr>
      <w:r>
        <w:rPr>
          <w:rFonts w:ascii="Simplified Arabic" w:cs="Simplified Arabic" w:eastAsia="Simplified Arabic" w:hAnsi="Simplified Arabic"/>
          <w:b/>
          <w:bCs/>
          <w:sz w:val="32"/>
          <w:szCs w:val="32"/>
          <w:rtl/>
        </w:rPr>
        <w:t xml:space="preserve">كلّيّة أكاديميّة للتربية</w:t>
      </w:r>
    </w:p>
    <w:p/>
    <w:p/>
    <w:p>
      <w:pPr>
        <w:bidi/>
        <w:spacing w:after="200" w:line="360"/>
        <w:jc w:val="center"/>
      </w:pPr>
      <w:r>
        <w:rPr>
          <w:rFonts w:ascii="Simplified Arabic" w:cs="Simplified Arabic" w:eastAsia="Simplified Arabic" w:hAnsi="Simplified Arabic"/>
          <w:b/>
          <w:bCs/>
          <w:sz w:val="26"/>
          <w:szCs w:val="26"/>
          <w:rtl/>
        </w:rPr>
        <w:t xml:space="preserve">مقترح خطّة بحث بعنوان:</w:t>
      </w:r>
    </w:p>
    <w:p>
      <w:pPr>
        <w:bidi/>
        <w:spacing w:after="200" w:line="360"/>
        <w:jc w:val="center"/>
      </w:pPr>
      <w:r>
        <w:rPr>
          <w:rFonts w:ascii="Simplified Arabic" w:cs="Simplified Arabic" w:eastAsia="Simplified Arabic" w:hAnsi="Simplified Arabic"/>
          <w:b/>
          <w:bCs/>
          <w:sz w:val="32"/>
          <w:szCs w:val="32"/>
          <w:rtl/>
        </w:rPr>
        <w:t xml:space="preserve">الأحكام الفقهيّة المتعلقة بنزع الأجهزة الطبيّة عن الميت سريريًّا</w:t>
      </w:r>
    </w:p>
    <w:p>
      <w:pPr>
        <w:bidi/>
        <w:spacing w:after="200" w:line="360"/>
        <w:jc w:val="center"/>
      </w:pPr>
      <w:r>
        <w:rPr>
          <w:rFonts w:ascii="Simplified Arabic" w:cs="Simplified Arabic" w:eastAsia="Simplified Arabic" w:hAnsi="Simplified Arabic"/>
          <w:b/>
          <w:bCs/>
          <w:sz w:val="28"/>
          <w:szCs w:val="28"/>
          <w:rtl/>
        </w:rPr>
        <w:t xml:space="preserve">دراسة فقهيّة طبيّة قانونيّة مقارنة</w:t>
      </w:r>
    </w:p>
    <w:p/>
    <w:p>
      <w:pPr>
        <w:bidi/>
        <w:spacing w:after="200" w:line="360"/>
        <w:jc w:val="center"/>
      </w:pPr>
      <w:r>
        <w:rPr>
          <w:rFonts w:ascii="Simplified Arabic" w:cs="Simplified Arabic" w:eastAsia="Simplified Arabic" w:hAnsi="Simplified Arabic"/>
          <w:b/>
          <w:bCs/>
          <w:sz w:val="26"/>
          <w:szCs w:val="26"/>
          <w:rtl/>
        </w:rPr>
        <w:t xml:space="preserve">ضمن مساق:</w:t>
      </w:r>
    </w:p>
    <w:p>
      <w:pPr>
        <w:bidi/>
        <w:spacing w:after="200" w:line="360"/>
        <w:jc w:val="center"/>
      </w:pPr>
      <w:r>
        <w:rPr>
          <w:rFonts w:ascii="Simplified Arabic" w:cs="Simplified Arabic" w:eastAsia="Simplified Arabic" w:hAnsi="Simplified Arabic"/>
          <w:b/>
          <w:bCs/>
          <w:sz w:val="28"/>
          <w:szCs w:val="28"/>
          <w:rtl/>
        </w:rPr>
        <w:t xml:space="preserve">حلقة بحث في الدين الإسلاميّ - سيمنار</w:t>
      </w:r>
    </w:p>
    <w:p/>
    <w:p>
      <w:pPr>
        <w:bidi/>
        <w:spacing w:after="200" w:line="360"/>
        <w:jc w:val="center"/>
      </w:pPr>
      <w:r>
        <w:rPr>
          <w:rFonts w:ascii="Simplified Arabic" w:cs="Simplified Arabic" w:eastAsia="Simplified Arabic" w:hAnsi="Simplified Arabic"/>
          <w:b/>
          <w:bCs/>
          <w:sz w:val="26"/>
          <w:szCs w:val="26"/>
          <w:rtl/>
        </w:rPr>
        <w:t xml:space="preserve">مقدَّم من الطالب:</w:t>
      </w:r>
    </w:p>
    <w:p>
      <w:pPr>
        <w:bidi/>
        <w:spacing w:after="200" w:line="360"/>
        <w:jc w:val="center"/>
      </w:pPr>
      <w:r>
        <w:rPr>
          <w:rFonts w:ascii="Simplified Arabic" w:cs="Simplified Arabic" w:eastAsia="Simplified Arabic" w:hAnsi="Simplified Arabic"/>
          <w:b/>
          <w:bCs/>
          <w:sz w:val="28"/>
          <w:szCs w:val="28"/>
          <w:rtl/>
        </w:rPr>
        <w:t xml:space="preserve">عبد المهدي دحلة - 212684527</w:t>
      </w:r>
    </w:p>
    <w:p>
      <w:pPr>
        <w:bidi/>
        <w:spacing w:after="200" w:line="360"/>
        <w:jc w:val="center"/>
      </w:pPr>
      <w:r>
        <w:rPr>
          <w:rFonts w:ascii="Simplified Arabic" w:cs="Simplified Arabic" w:eastAsia="Simplified Arabic" w:hAnsi="Simplified Arabic"/>
          <w:b/>
          <w:bCs/>
          <w:sz w:val="26"/>
          <w:szCs w:val="26"/>
          <w:rtl/>
        </w:rPr>
        <w:t xml:space="preserve">التخصص: دين ولغة عربية</w:t>
      </w:r>
    </w:p>
    <w:p/>
    <w:p>
      <w:pPr>
        <w:bidi/>
        <w:spacing w:after="200" w:line="360"/>
        <w:jc w:val="center"/>
      </w:pPr>
      <w:r>
        <w:rPr>
          <w:rFonts w:ascii="Simplified Arabic" w:cs="Simplified Arabic" w:eastAsia="Simplified Arabic" w:hAnsi="Simplified Arabic"/>
          <w:b/>
          <w:bCs/>
          <w:sz w:val="26"/>
          <w:szCs w:val="26"/>
          <w:rtl/>
        </w:rPr>
        <w:t xml:space="preserve">مقدَّم إلى المحاضر:</w:t>
      </w:r>
    </w:p>
    <w:p>
      <w:pPr>
        <w:bidi/>
        <w:spacing w:after="200" w:line="360"/>
        <w:jc w:val="center"/>
      </w:pPr>
      <w:r>
        <w:rPr>
          <w:rFonts w:ascii="Simplified Arabic" w:cs="Simplified Arabic" w:eastAsia="Simplified Arabic" w:hAnsi="Simplified Arabic"/>
          <w:b/>
          <w:bCs/>
          <w:sz w:val="28"/>
          <w:szCs w:val="28"/>
          <w:rtl/>
        </w:rPr>
        <w:t xml:space="preserve">د. عوني مصاروة</w:t>
      </w:r>
    </w:p>
    <w:p/>
    <w:p>
      <w:pPr>
        <w:bidi/>
        <w:spacing w:after="200" w:line="360"/>
        <w:jc w:val="center"/>
      </w:pPr>
      <w:r>
        <w:rPr>
          <w:rFonts w:ascii="Simplified Arabic" w:cs="Simplified Arabic" w:eastAsia="Simplified Arabic" w:hAnsi="Simplified Arabic"/>
          <w:b/>
          <w:bCs/>
          <w:sz w:val="26"/>
          <w:szCs w:val="26"/>
          <w:rtl/>
        </w:rPr>
        <w:t xml:space="preserve">السنة الدراسيّة:</w:t>
      </w:r>
    </w:p>
    <w:p>
      <w:pPr>
        <w:bidi/>
        <w:spacing w:after="200" w:line="360"/>
        <w:jc w:val="center"/>
      </w:pPr>
      <w:r>
        <w:rPr>
          <w:rFonts w:ascii="Simplified Arabic" w:cs="Simplified Arabic" w:eastAsia="Simplified Arabic" w:hAnsi="Simplified Arabic"/>
          <w:b/>
          <w:bCs/>
          <w:sz w:val="26"/>
          <w:szCs w:val="26"/>
          <w:rtl/>
        </w:rPr>
        <w:t xml:space="preserve">1447هـ</w:t>
      </w:r>
    </w:p>
    <w:p>
      <w:pPr>
        <w:bidi/>
        <w:spacing w:after="200" w:line="360"/>
        <w:jc w:val="center"/>
      </w:pPr>
      <w:r>
        <w:rPr>
          <w:rFonts w:ascii="Simplified Arabic" w:cs="Simplified Arabic" w:eastAsia="Simplified Arabic" w:hAnsi="Simplified Arabic"/>
          <w:b/>
          <w:bCs/>
          <w:sz w:val="26"/>
          <w:szCs w:val="26"/>
          <w:rtl/>
        </w:rPr>
        <w:t xml:space="preserve">2025/2026م</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المقدّمة</w:t>
      </w:r>
    </w:p>
    <w:p>
      <w:pPr>
        <w:bidi/>
        <w:spacing w:after="160" w:line="360"/>
        <w:jc w:val="both"/>
      </w:pPr>
      <w:r>
        <w:rPr>
          <w:rFonts w:ascii="Simplified Arabic" w:cs="Simplified Arabic" w:eastAsia="Simplified Arabic" w:hAnsi="Simplified Arabic"/>
          <w:b w:val="false"/>
          <w:bCs w:val="false"/>
          <w:sz w:val="28"/>
          <w:szCs w:val="28"/>
          <w:rtl/>
        </w:rPr>
        <w:t xml:space="preserve">الحمد لله ربّ العالمين، جعل حفظ النفس الإنسانيّة من أعظم مقاصد شريعته، والصلاة والسلام على سيّدنا محمد وعلى آله وصحبه أجمعين، أما بعد:</w:t>
      </w:r>
    </w:p>
    <w:p>
      <w:pPr>
        <w:bidi/>
        <w:spacing w:after="160" w:line="360"/>
        <w:jc w:val="both"/>
      </w:pPr>
      <w:r>
        <w:rPr>
          <w:rFonts w:ascii="Simplified Arabic" w:cs="Simplified Arabic" w:eastAsia="Simplified Arabic" w:hAnsi="Simplified Arabic"/>
          <w:b w:val="false"/>
          <w:bCs w:val="false"/>
          <w:sz w:val="28"/>
          <w:szCs w:val="28"/>
          <w:rtl/>
        </w:rPr>
        <w:t xml:space="preserve">فإنّ الشريعة الإسلاميّة جاءت بتحقيق مصالح العباد ودفع المفاسد عنهم، وجعلت حفظ النفس الإنسانيّة من أعظم مقاصدها الضروريّة، فشرعت من الأحكام ما يصون حياة الإنسان وكرامته في جميع أطواره، من نشأته إلى وفاته، بل وحتى بعد موته. وقد أولى الإسلام عناية خاصة بالإنسان في حال الاحتضار وبعد الوفاة، فحرّم الاعتداء على جسده أو امتهانه، وعدّ ذلك من المحرّمات الشرعيّة.</w:t>
      </w:r>
    </w:p>
    <w:p>
      <w:pPr>
        <w:bidi/>
        <w:spacing w:after="160" w:line="360"/>
        <w:jc w:val="both"/>
      </w:pPr>
      <w:r>
        <w:rPr>
          <w:rFonts w:ascii="Simplified Arabic" w:cs="Simplified Arabic" w:eastAsia="Simplified Arabic" w:hAnsi="Simplified Arabic"/>
          <w:b w:val="false"/>
          <w:bCs w:val="false"/>
          <w:sz w:val="28"/>
          <w:szCs w:val="28"/>
          <w:rtl/>
        </w:rPr>
        <w:t xml:space="preserve">ومع التقدّم الطبيّ الهائل في العصر الحديث ظهرت وسائل علاجيّة وتقنيّات طبيّة متطوّرة، من أبرزها الأجهزة الطبيّة التي تقوم بدعم الوظائف الحيويّة للجسم، كأجهزة التنفّس الاصطناعيّ وأجهزة دعم القلب والدورة الدمويّة. وقد أسهمت هذه الأجهزة في إنقاذ حياة كثير من المرضى، إلا أنها في الوقت ذاته أفرزت إشكالات فقهيّة وطبيّة جديدة، خاصة في الحالات التي يتوقف فيها نشاط الدماغ توقفًا كاملًا لا رجعة فيه، بينما تستمر بعض مظاهر الحياة الجسديّة بفعل هذه الأجهزة، وهو ما يُعرف اصطلاحًا بالموت السريريّ أو الموت الدماغيّ.</w:t>
      </w:r>
    </w:p>
    <w:p>
      <w:pPr>
        <w:bidi/>
        <w:spacing w:after="160" w:line="360"/>
        <w:jc w:val="both"/>
      </w:pPr>
      <w:r>
        <w:rPr>
          <w:rFonts w:ascii="Simplified Arabic" w:cs="Simplified Arabic" w:eastAsia="Simplified Arabic" w:hAnsi="Simplified Arabic"/>
          <w:b w:val="false"/>
          <w:bCs w:val="false"/>
          <w:sz w:val="28"/>
          <w:szCs w:val="28"/>
          <w:rtl/>
        </w:rPr>
        <w:t xml:space="preserve">وتكمن الإشكاليّة في تحديد الحكم الشرعيّ لنزع الأجهزة الطبيّة عن المريض الذي حُكم بموته سريريًّا: هل يُعدّ هذا النزع إزهاقًا للنفس المحرَّمة، أم أنه رفعٌ لوسيلة صناعيّة لا أثر لها في حياة المريض؟ كما تتداخل في هذه المسألة اعتبارات فقهيّة وطبيّة وقانونيّة وأخلاقيّة، تتعلق بتعريف الموت، ومسؤوليّة الطبيب، وحقوق المريض وذويه، وحدود التدخّل الطبيّ المشروع.</w:t>
      </w:r>
    </w:p>
    <w:p>
      <w:pPr>
        <w:bidi/>
        <w:spacing w:after="160" w:line="360"/>
        <w:jc w:val="both"/>
      </w:pPr>
      <w:r>
        <w:rPr>
          <w:rFonts w:ascii="Simplified Arabic" w:cs="Simplified Arabic" w:eastAsia="Simplified Arabic" w:hAnsi="Simplified Arabic"/>
          <w:b w:val="false"/>
          <w:bCs w:val="false"/>
          <w:sz w:val="28"/>
          <w:szCs w:val="28"/>
          <w:rtl/>
        </w:rPr>
        <w:t xml:space="preserve">ومن هنا جاءت أهميّة هذا البحث، الذي يسعى إلى دراسة الأحكام الفقهيّة المتعلقة بنزع الأجهزة الطبيّة عن الميت سريريًّا دراسةً تأصيليّة مقارنة، من خلال استقراء أقوال الفقهاء المعاصرين وقرارات المجامع الفقهيّة، وربطها بالمعطيات الطبيّة الحديثة، مع الإشارة إلى الموقف القانونيّ، بهدف الوصول إلى تصوّر شرعيّ منضبط يراعي مقاصد الشريعة ومتطلبات الواقع الطبيّ المعاصر. والله وليّ التوفيق.</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الدراسات السابقة</w:t>
      </w:r>
    </w:p>
    <w:p>
      <w:pPr>
        <w:bidi/>
        <w:spacing w:after="160" w:line="360"/>
        <w:jc w:val="both"/>
      </w:pPr>
      <w:r>
        <w:rPr>
          <w:rFonts w:ascii="Simplified Arabic" w:cs="Simplified Arabic" w:eastAsia="Simplified Arabic" w:hAnsi="Simplified Arabic"/>
          <w:b w:val="false"/>
          <w:bCs w:val="false"/>
          <w:sz w:val="28"/>
          <w:szCs w:val="28"/>
          <w:rtl/>
        </w:rPr>
        <w:t xml:space="preserve">رتّبت الدراسات ترتيبًا زمنيًّا متسلسلًا من الجديد إلى القديم، أولًا الدراسات باللغة العربيّة (15 دراسة)، ثم الدراسات باللغات الأجنبيّة (7 دراسات)، مع بيان الفائدة من كلّ دراسة.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أولًا: الدراسات باللغة العربيّة (15 دراسة):</w:t>
      </w:r>
    </w:p>
    <w:p>
      <w:pPr>
        <w:bidi/>
        <w:spacing w:after="160" w:line="360"/>
        <w:jc w:val="both"/>
      </w:pPr>
      <w:r>
        <w:rPr>
          <w:rFonts w:ascii="Simplified Arabic" w:cs="Simplified Arabic" w:eastAsia="Simplified Arabic" w:hAnsi="Simplified Arabic"/>
          <w:b/>
          <w:bCs/>
          <w:sz w:val="28"/>
          <w:szCs w:val="28"/>
          <w:rtl/>
        </w:rPr>
        <w:t xml:space="preserve">1. ضوابط رفع أجهزة الإنعاش الصناعيّ عن الميت دماغيًّا - دراسة مقارنة</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الزرعوني، راشد محمود (2024). ضوابط رفع أجهزة الإنعاش الصناعي عن الميت دماغيًّا - دراسة مقارنة. جمهورية مصر العربية: مجلة البحوث القانونية والاقتصادية، كلية الحقوق، مج66، ع1.</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https://journals.ekb.eg/article_368941_0.html</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بيان الضوابط الشرعيّة والقانونيّة لرفع الأجهزة في المبحث الرابع من الفصل الرابع، وفي مقارنة القوانين العربيّة.</w:t>
      </w:r>
    </w:p>
    <w:p/>
    <w:p>
      <w:pPr>
        <w:bidi/>
        <w:spacing w:after="160" w:line="360"/>
        <w:jc w:val="both"/>
      </w:pPr>
      <w:r>
        <w:rPr>
          <w:rFonts w:ascii="Simplified Arabic" w:cs="Simplified Arabic" w:eastAsia="Simplified Arabic" w:hAnsi="Simplified Arabic"/>
          <w:b/>
          <w:bCs/>
          <w:sz w:val="28"/>
          <w:szCs w:val="28"/>
          <w:rtl/>
        </w:rPr>
        <w:t xml:space="preserve">2. ضوابط رفع أجهزة الإنعاش الصناعيّ عن الميت دماغيًّا - دراسة مقارنة</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الشلتوني، أنور (2024). ضوابط رفع أجهزة الإنعاش الصناعي عن الميت دماغيًّا - دراسة مقارنة. مجلة البحوث القانونية والاقتصادية (المنصورة)، مج14، ع88، ص1-48.</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https://mjle.journals.ekb.eg/article_368941_50690f4113b5efc26ad3acb040dabad4.pdf</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مطلب المسؤوليّة الطبيّة والآثار القانونيّة في الفصل الثالث والفصل الرابع.</w:t>
      </w:r>
    </w:p>
    <w:p/>
    <w:p>
      <w:pPr>
        <w:bidi/>
        <w:spacing w:after="160" w:line="360"/>
        <w:jc w:val="both"/>
      </w:pPr>
      <w:r>
        <w:rPr>
          <w:rFonts w:ascii="Simplified Arabic" w:cs="Simplified Arabic" w:eastAsia="Simplified Arabic" w:hAnsi="Simplified Arabic"/>
          <w:b/>
          <w:bCs/>
          <w:sz w:val="28"/>
          <w:szCs w:val="28"/>
          <w:rtl/>
        </w:rPr>
        <w:t xml:space="preserve">3. الأحكام الفقهيّة الخاصة برفع أجهزة الإنعاش عن المريض حكمًا وتأصيلًا</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الكميتي، أحمد عمران مصطفى (2024). الأحكام الفقهية الخاصة برفع أجهزة الإنعاش عن المريض حكمًا وتأصيلًا. مجلة المنتدى الأكاديمي للعلوم الإنسانية، ليبيا، مج8، ع1، ص157-204.</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https://search.mandumah.com/Record/1633970</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المبحث الأوّل من الفصل الرابع (التأصيل الفقهيّ وتصوير المسألة).</w:t>
      </w:r>
    </w:p>
    <w:p/>
    <w:p>
      <w:pPr>
        <w:bidi/>
        <w:spacing w:after="160" w:line="360"/>
        <w:jc w:val="both"/>
      </w:pPr>
      <w:r>
        <w:rPr>
          <w:rFonts w:ascii="Simplified Arabic" w:cs="Simplified Arabic" w:eastAsia="Simplified Arabic" w:hAnsi="Simplified Arabic"/>
          <w:b/>
          <w:bCs/>
          <w:sz w:val="28"/>
          <w:szCs w:val="28"/>
          <w:rtl/>
        </w:rPr>
        <w:t xml:space="preserve">4. حكم نزع الأجهزة على المريض الميت دماغيًّا</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الكاسح، تهاني فرج الشاعث، والصالحين، مسعود الصالحين عبد القادر (2024). حكم نزع الأجهزة على المريض الميت دماغيًّا. ليبيا (البيضاء): مجلة شمال إفريقيا للنشر العلمي، جامعة عمر المختار، مج2، ع4، ص50-59.</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https://doi.org/10.65414/najsp.v2i4.281</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بيان أقوال الفقهاء المعارضين وأدلّتهم في المبحث الثالث من الفصل الرابع.</w:t>
      </w:r>
    </w:p>
    <w:p/>
    <w:p>
      <w:pPr>
        <w:bidi/>
        <w:spacing w:after="160" w:line="360"/>
        <w:jc w:val="both"/>
      </w:pPr>
      <w:r>
        <w:rPr>
          <w:rFonts w:ascii="Simplified Arabic" w:cs="Simplified Arabic" w:eastAsia="Simplified Arabic" w:hAnsi="Simplified Arabic"/>
          <w:b/>
          <w:bCs/>
          <w:sz w:val="28"/>
          <w:szCs w:val="28"/>
          <w:rtl/>
        </w:rPr>
        <w:t xml:space="preserve">5. الوضع القانونيّ للميت دماغيًّا: دراسة قانونيّة مقارنة مع أحكام الفقه الإسلاميّ</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محمد، عبد الرزاق أحمد (2023). الوضع القانوني للميت دماغيًّا: دراسة قانونية مقارنة مع أحكام الفقه الإسلامي. العراق: مجلة المعهد، معهد العلمين للدراسات العليا، مج1، ص141-158.</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https://doi.org/10.61353/ma.0000141</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مبحث الآثار القانونيّة في الفصل الثالث، وفي موقف القوانين العربيّة في الفصل الرابع.</w:t>
      </w:r>
    </w:p>
    <w:p/>
    <w:p>
      <w:pPr>
        <w:bidi/>
        <w:spacing w:after="160" w:line="360"/>
        <w:jc w:val="both"/>
      </w:pPr>
      <w:r>
        <w:rPr>
          <w:rFonts w:ascii="Simplified Arabic" w:cs="Simplified Arabic" w:eastAsia="Simplified Arabic" w:hAnsi="Simplified Arabic"/>
          <w:b/>
          <w:bCs/>
          <w:sz w:val="28"/>
          <w:szCs w:val="28"/>
          <w:rtl/>
        </w:rPr>
        <w:t xml:space="preserve">6. أثر فقه الموازنات في القتل الرحيم: رفع أجهزة الإنعاش عن الميت دماغيًّا أنموذجًا</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ناصر، سيهام (2023). أثر فقه الموازنات في القتل الرحيم: رفع أجهزة الإنعاش عن الميت دماغيًّا أنموذجًا. الجزائر: مجلة الإحياء، ص263 وما بعدها.</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https://www.researchgate.net/publication/393318043</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الردّ على الأدلّة وبيان القول الراجح ومبرّرات الترجيح، وفي التفريق بين النزع وقتل الرحمة.</w:t>
      </w:r>
    </w:p>
    <w:p/>
    <w:p>
      <w:pPr>
        <w:bidi/>
        <w:spacing w:after="160" w:line="360"/>
        <w:jc w:val="both"/>
      </w:pPr>
      <w:r>
        <w:rPr>
          <w:rFonts w:ascii="Simplified Arabic" w:cs="Simplified Arabic" w:eastAsia="Simplified Arabic" w:hAnsi="Simplified Arabic"/>
          <w:b/>
          <w:bCs/>
          <w:sz w:val="28"/>
          <w:szCs w:val="28"/>
          <w:rtl/>
        </w:rPr>
        <w:t xml:space="preserve">7. أحكام الموت الدماغيّ للإنسان والتصرّف في أعضائه</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بن صفية، سليمان (2022). أحكام الموت الدماغي للإنسان والتصرف في أعضائه. الجزائر: مجلة الشهاب، مج8، ع2، ص411-434.</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https://asjp.cerist.dz/en/article/198662</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الآثار العلميّة والتقنيّة المتعلقة بزراعة الأعضاء في الفصل الثالث.</w:t>
      </w:r>
    </w:p>
    <w:p/>
    <w:p>
      <w:pPr>
        <w:bidi/>
        <w:spacing w:after="160" w:line="360"/>
        <w:jc w:val="both"/>
      </w:pPr>
      <w:r>
        <w:rPr>
          <w:rFonts w:ascii="Simplified Arabic" w:cs="Simplified Arabic" w:eastAsia="Simplified Arabic" w:hAnsi="Simplified Arabic"/>
          <w:b/>
          <w:bCs/>
          <w:sz w:val="28"/>
          <w:szCs w:val="28"/>
          <w:rtl/>
        </w:rPr>
        <w:t xml:space="preserve">8. الأحكام المتعلّقة برفع أجهزة الإنعاش عن المريض</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الدق، صلاح نجيب (2022). الأحكام المتعلّقة برفع أجهزة الإنعاش عن المريض. مصر: مجلة جمعية أنصار السنة المحمدية، مج14، ع88، ص14-16.</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https://search.mandumah.com/Record/1232048</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عرض الفتاوى المؤيّدة والمعارضة في الفصل الخامس.</w:t>
      </w:r>
    </w:p>
    <w:p/>
    <w:p>
      <w:pPr>
        <w:bidi/>
        <w:spacing w:after="160" w:line="360"/>
        <w:jc w:val="both"/>
      </w:pPr>
      <w:r>
        <w:rPr>
          <w:rFonts w:ascii="Simplified Arabic" w:cs="Simplified Arabic" w:eastAsia="Simplified Arabic" w:hAnsi="Simplified Arabic"/>
          <w:b/>
          <w:bCs/>
          <w:sz w:val="28"/>
          <w:szCs w:val="28"/>
          <w:rtl/>
        </w:rPr>
        <w:t xml:space="preserve">9. موت الرحمة والأحكام الشرعيّة المتعلقة بإبقاء أجهزة الإنعاش الصناعيّ ونزعها</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الرهوان، محمد بن أحمد (2021). موت الرحمة والأحكام الشرعية المتعلقة بإبقاء أجهزة الإنعاش الصناعي ونزعها. دولة الإمارات العربية المتحدة (الشارقة): مجلة الجامعة القاسمية للعلوم الشرعية والدراسات الإسلامية، مج1، ع2.</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https://journals.alqasimia.ac.ae/index.php/ssis/article/view/66</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التعريفات ذات الصلة (موت الرحمة) في الفصل الأوّل، وفي التفريق بينه وبين نزع الأجهزة.</w:t>
      </w:r>
    </w:p>
    <w:p/>
    <w:p>
      <w:pPr>
        <w:bidi/>
        <w:spacing w:after="160" w:line="360"/>
        <w:jc w:val="both"/>
      </w:pPr>
      <w:r>
        <w:rPr>
          <w:rFonts w:ascii="Simplified Arabic" w:cs="Simplified Arabic" w:eastAsia="Simplified Arabic" w:hAnsi="Simplified Arabic"/>
          <w:b/>
          <w:bCs/>
          <w:sz w:val="28"/>
          <w:szCs w:val="28"/>
          <w:rtl/>
        </w:rPr>
        <w:t xml:space="preserve">10. نقل أعضاء الميت موتًا سريريًّا في الفقه الإسلاميّ</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الزكي، عبد الله (2020). نقل أعضاء الميت موتًا سريريًّا في الفقه الإسلامي. مجلة المنهل، جامعة الوادي، الجزائر، مج6، ع2.</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https://dspace.univ-eloued.dz/handle/123456789/15831</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ضابط استقلال لجنة تشخيص الوفاة عن فريق زراعة الأعضاء في الفصل الرابع.</w:t>
      </w:r>
    </w:p>
    <w:p/>
    <w:p>
      <w:pPr>
        <w:bidi/>
        <w:spacing w:after="160" w:line="360"/>
        <w:jc w:val="both"/>
      </w:pPr>
      <w:r>
        <w:rPr>
          <w:rFonts w:ascii="Simplified Arabic" w:cs="Simplified Arabic" w:eastAsia="Simplified Arabic" w:hAnsi="Simplified Arabic"/>
          <w:b/>
          <w:bCs/>
          <w:sz w:val="28"/>
          <w:szCs w:val="28"/>
          <w:rtl/>
        </w:rPr>
        <w:t xml:space="preserve">11. الموت السريريّ والموت الدماغيّ وأثرهما في الأحكام الشرعيّة</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لدغش، رحيمة (2019). الموت السريري والموت الدماغي وأثرهما في الأحكام الشرعية. مجلة العلوم القانونية والسياسية، مج10، ع1.</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https://asjp.cerist.dz/en/article/91461</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فصل التعريفات لتحرير الفرق بين الموت السريريّ والموت الدماغيّ، وفي الآثار الفقهيّة في الفصل الثالث.</w:t>
      </w:r>
    </w:p>
    <w:p/>
    <w:p>
      <w:pPr>
        <w:bidi/>
        <w:spacing w:after="160" w:line="360"/>
        <w:jc w:val="both"/>
      </w:pPr>
      <w:r>
        <w:rPr>
          <w:rFonts w:ascii="Simplified Arabic" w:cs="Simplified Arabic" w:eastAsia="Simplified Arabic" w:hAnsi="Simplified Arabic"/>
          <w:b/>
          <w:bCs/>
          <w:sz w:val="28"/>
          <w:szCs w:val="28"/>
          <w:rtl/>
        </w:rPr>
        <w:t xml:space="preserve">12. إشكاليّة الموت السريريّ الإكلينيكيّ بين الفقه والطبّ وأثره على نقل وزرع الأعضاء البشريّة</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شتوان، بلقاسم (2012). إشكالية الموت السريري الإكلينيكي بين الفقه والطب وأثره على نقل وزرع الأعضاء البشرية. مجلة الشريعة والاقتصاد، مج1، ع2، ص329-348.</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https://asjp.cerist.dz/en/article/26599</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الفصل التمهيدي (تاريخ ظهور المسألة) وفي بيان دور الأجهزة في استمرار الوظائف الحيويّة.</w:t>
      </w:r>
    </w:p>
    <w:p/>
    <w:p>
      <w:pPr>
        <w:bidi/>
        <w:spacing w:after="160" w:line="360"/>
        <w:jc w:val="both"/>
      </w:pPr>
      <w:r>
        <w:rPr>
          <w:rFonts w:ascii="Simplified Arabic" w:cs="Simplified Arabic" w:eastAsia="Simplified Arabic" w:hAnsi="Simplified Arabic"/>
          <w:b/>
          <w:bCs/>
          <w:sz w:val="28"/>
          <w:szCs w:val="28"/>
          <w:rtl/>
        </w:rPr>
        <w:t xml:space="preserve">13. الموت الدماغيّ بين الطبّ والدين</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قياسة، ندى (2010). الموت الدماغي بين الطب والدين. سورية (دمشق): مجلة جامعة دمشق للعلوم الاقتصادية والقانونية، مج26، ع1، ص479-500.</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https://www.damascusuniversity.edu.sy/mag/law/images/stories/479-500.pdf</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التعريف الطبيّ للموت في الفصل الأوّل، وفي التمييز بين الموت الدماغيّ والحالة النباتيّة.</w:t>
      </w:r>
    </w:p>
    <w:p/>
    <w:p>
      <w:pPr>
        <w:bidi/>
        <w:spacing w:after="160" w:line="360"/>
        <w:jc w:val="both"/>
      </w:pPr>
      <w:r>
        <w:rPr>
          <w:rFonts w:ascii="Simplified Arabic" w:cs="Simplified Arabic" w:eastAsia="Simplified Arabic" w:hAnsi="Simplified Arabic"/>
          <w:b/>
          <w:bCs/>
          <w:sz w:val="28"/>
          <w:szCs w:val="28"/>
          <w:rtl/>
        </w:rPr>
        <w:t xml:space="preserve">14. حكم رفع أجهزة الإنعاش عن المتوفى دماغيًّا: دراسة فقهيّة مقارنة</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الحبلاني، سعود بن فرحان محمد (2006). حكم رفع أجهزة الإنعاش عن المتوفى دماغيًا: دراسة فقهية مقارنة. مجلة كلية الدراسات الإسلامية والعربية للبنين، جامعة الأزهر - القاهرة، مج24، ع1، ص454-490.</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https://search.mandumah.com/Record/167975</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عرض أقوال الفقهاء المؤيّدين والمعارضين وأدلّتهم ومناقشتها في المبحث الثالث من الفصل الرابع.</w:t>
      </w:r>
    </w:p>
    <w:p/>
    <w:p>
      <w:pPr>
        <w:bidi/>
        <w:spacing w:after="160" w:line="360"/>
        <w:jc w:val="both"/>
      </w:pPr>
      <w:r>
        <w:rPr>
          <w:rFonts w:ascii="Simplified Arabic" w:cs="Simplified Arabic" w:eastAsia="Simplified Arabic" w:hAnsi="Simplified Arabic"/>
          <w:b/>
          <w:bCs/>
          <w:sz w:val="28"/>
          <w:szCs w:val="28"/>
          <w:rtl/>
        </w:rPr>
        <w:t xml:space="preserve">15. التعريف الطبيّ للموت</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البار، محمد علي (1987). التعريف الطبي للموت. مجلة مجمع الفقه الإسلامي، جدة: منظمة المؤتمر الإسلامي، العدد الثالث.</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https://iifa-aifi.org/ar/journal</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الفصل التمهيدي (تاريخ ظهور المسألة ودخولها الفقه المعاصر)، وفي التعريفات الطبيّة.</w:t>
      </w:r>
    </w:p>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ثانيًا: الدراسات باللغات الأجنبيّة (7 دراسات):</w:t>
      </w:r>
    </w:p>
    <w:p>
      <w:pPr>
        <w:bidi/>
        <w:spacing w:after="160" w:line="360"/>
        <w:jc w:val="both"/>
      </w:pPr>
      <w:r>
        <w:rPr>
          <w:rFonts w:ascii="Simplified Arabic" w:cs="Simplified Arabic" w:eastAsia="Simplified Arabic" w:hAnsi="Simplified Arabic"/>
          <w:b/>
          <w:bCs/>
          <w:sz w:val="28"/>
          <w:szCs w:val="28"/>
          <w:rtl/>
        </w:rPr>
        <w:t xml:space="preserve">1. معالجة مشكلة أخطاء تشخيص الموت الدماغيّ</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Journal of Law, Medicine &amp; Ethics (2025). Addressing the Problem of Brain Death Misdiagnosis. JLME, 53(2), 244-253.</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https://www.cambridge.org/core/services/aop-cambridge-core/content/view/F891733330C5E4ADCB8C5BB0235E271F</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مناقشة أدلّة المعارضين (احتمال الخطأ في التشخيص) وفي تأكيد أهميّة الضوابط.</w:t>
      </w:r>
    </w:p>
    <w:p/>
    <w:p>
      <w:pPr>
        <w:bidi/>
        <w:spacing w:after="160" w:line="360"/>
        <w:jc w:val="both"/>
      </w:pPr>
      <w:r>
        <w:rPr>
          <w:rFonts w:ascii="Simplified Arabic" w:cs="Simplified Arabic" w:eastAsia="Simplified Arabic" w:hAnsi="Simplified Arabic"/>
          <w:b/>
          <w:bCs/>
          <w:sz w:val="28"/>
          <w:szCs w:val="28"/>
          <w:rtl/>
        </w:rPr>
        <w:t xml:space="preserve">2. الفحوصات المساندة لتحديد الموت الدماغيّ</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Ancillary Tests for Brain Death (2025). Frontiers in Neurology, Neurocritical and Neurohospitalist Care, vol. 15 (2024), published January 7, 2025.</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https://doi.org/10.3389/fneur.2024.1491263</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مطلب معايير تشخيص الموت الدماغيّ والفحوص المساندة.</w:t>
      </w:r>
    </w:p>
    <w:p/>
    <w:p>
      <w:pPr>
        <w:bidi/>
        <w:spacing w:after="160" w:line="360"/>
        <w:jc w:val="both"/>
      </w:pPr>
      <w:r>
        <w:rPr>
          <w:rFonts w:ascii="Simplified Arabic" w:cs="Simplified Arabic" w:eastAsia="Simplified Arabic" w:hAnsi="Simplified Arabic"/>
          <w:b/>
          <w:bCs/>
          <w:sz w:val="28"/>
          <w:szCs w:val="28"/>
          <w:rtl/>
        </w:rPr>
        <w:t xml:space="preserve">3. الموت الإكلينيكيّ: المفهوم والتقنيّات الطبيّة لإعادة الإنعاش</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Schroeder, T. (2023). Clinical Death: Concept and Medical Resuscitation Techniques. Journal of Clinical Medicine Studies, published March 31, 2023.</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https://www.walshmedicalmedia.com/open-access/clinical-death-a-reversible-state-of-cardiac-arrest-119791.html</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التعريف الطبيّ الدقيق للموت السريريّ بوصفه حالة قابلة للإنعاش.</w:t>
      </w:r>
    </w:p>
    <w:p/>
    <w:p>
      <w:pPr>
        <w:bidi/>
        <w:spacing w:after="160" w:line="360"/>
        <w:jc w:val="both"/>
      </w:pPr>
      <w:r>
        <w:rPr>
          <w:rFonts w:ascii="Simplified Arabic" w:cs="Simplified Arabic" w:eastAsia="Simplified Arabic" w:hAnsi="Simplified Arabic"/>
          <w:b/>
          <w:bCs/>
          <w:sz w:val="28"/>
          <w:szCs w:val="28"/>
          <w:rtl/>
        </w:rPr>
        <w:t xml:space="preserve">4. تحليل رجعيّ لاختبار توقف التنفّس والفحوصات المساندة في تحديد الموت الدماغيّ</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Retrospective Analysis of the Apnea Test and Ancillary Test in Determining Brain Death (2020). Vol. 32, No. 3, pp. 405-411, July-September 2020.</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https://pmc.ncbi.nlm.nih.gov/articles/PMC7595719/</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بيان اختبار انقطاع النفَس بوصفه ركنًا في التشخيص.</w:t>
      </w:r>
    </w:p>
    <w:p/>
    <w:p>
      <w:pPr>
        <w:bidi/>
        <w:spacing w:after="160" w:line="360"/>
        <w:jc w:val="both"/>
      </w:pPr>
      <w:r>
        <w:rPr>
          <w:rFonts w:ascii="Simplified Arabic" w:cs="Simplified Arabic" w:eastAsia="Simplified Arabic" w:hAnsi="Simplified Arabic"/>
          <w:b/>
          <w:bCs/>
          <w:sz w:val="28"/>
          <w:szCs w:val="28"/>
          <w:rtl/>
        </w:rPr>
        <w:t xml:space="preserve">5. الموت الدماغيّ وتحديده والإرشادات الموجّهة للأطباء (بيان موقف الأكاديميّة الأمريكيّة لطبّ الأعصاب)</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Russell, J. A., Epstein, L. G., Greer, D. M., Kirschen, M., Rubin, M. A., &amp; Lewis, A. (2019). Brain death, the determination of brain death, and member guidance for brain death accommodation requests: AAN position statement. Neurology, 92(5), 228-232.</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https://doi.org/10.1212/WNL.0000000000006750</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الموقف الطبيّ والقانونيّ الأمريكيّ ومراعاة اعتراضات الأسر الدينيّة.</w:t>
      </w:r>
    </w:p>
    <w:p/>
    <w:p>
      <w:pPr>
        <w:bidi/>
        <w:spacing w:after="160" w:line="360"/>
        <w:jc w:val="both"/>
      </w:pPr>
      <w:r>
        <w:rPr>
          <w:rFonts w:ascii="Simplified Arabic" w:cs="Simplified Arabic" w:eastAsia="Simplified Arabic" w:hAnsi="Simplified Arabic"/>
          <w:b/>
          <w:bCs/>
          <w:sz w:val="28"/>
          <w:szCs w:val="28"/>
          <w:rtl/>
        </w:rPr>
        <w:t xml:space="preserve">6. المنظورات السريريّة والأخلاقيّة للموت الدماغيّ</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Nair-Collins, M. (2015). Clinical and Ethical Perspectives on Brain Death. Medicolegal and Bioethics, 5, 69-80.</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https://doi.org/10.2147/MB.S70369</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المفهوم الطبيّ للموت الدماغيّ ونشأة معايير هارفارد وقانون التحديد الموحّد للوفاة.</w:t>
      </w:r>
    </w:p>
    <w:p/>
    <w:p>
      <w:pPr>
        <w:bidi/>
        <w:spacing w:after="160" w:line="360"/>
        <w:jc w:val="both"/>
      </w:pPr>
      <w:r>
        <w:rPr>
          <w:rFonts w:ascii="Simplified Arabic" w:cs="Simplified Arabic" w:eastAsia="Simplified Arabic" w:hAnsi="Simplified Arabic"/>
          <w:b/>
          <w:bCs/>
          <w:sz w:val="28"/>
          <w:szCs w:val="28"/>
          <w:rtl/>
        </w:rPr>
        <w:t xml:space="preserve">7. المسؤوليّات القانونيّة والأخلاقيّة عقب الوفاة الدماغيّة: قضيّتا ماكماث ومونيوز</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Gostin, L. O. (2014). Legal and Ethical Responsibilities Following Brain Death: The McMath and Munoz Cases. JAMA, published online January 24, 2014.</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http://jama.jamanetwork.com/article.aspx?articleid=1818922</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موقف القضاء الأمريكيّ (دولة أجنبيّة) وفي مبحث المسؤوليّة القانونيّة.</w:t>
      </w:r>
    </w:p>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أهداف البحث</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بيان مفهوم الموت السريريّ والموت الدماغيّ من الناحية الطبيّة، وتأصيل مفهوم الموت في الفقه الإسلاميّ ومقارنته به.</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عرض أقوال الفقهاء المعاصرين في حكم نزع الأجهزة الطبيّة عن الميت سريريًّا ومناقشة أدلّتهم.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دراسة قرارات المجامع الفقهيّة والفتاوى المؤيّدة والمعارضة المتعلقة بالمسألة.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بيان الضوابط والشروط الشرعيّة المعتبرة في نزع الأجهزة الطبيّة.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إبراز الموقف القانونيّ المقارن (عربيًّا وأجنبيًّا) من نزع الأجهزة الطبيّة عن الميت سريريًّا.</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أسباب اختيار البحث</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كثرة وقوع هذه النازلة في أقسام العناية المركّزة، وحيرة كثير من الأسر المسلمة بين إبقاء الأجهزة ونزعها.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الاختلاف الظاهر بين الفقهاء المعاصرين والمجامع الفقهيّة في اعتبار الموت الدماغيّ موتًا شرعيًّا، ورغبتي في تحرير محلّ النزاع فيه.</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شيوع الخلط عند الناس بين نزع الأجهزة عن الميت دماغيًّا وبين قتل الرحمة المحرّم، والحاجة إلى بيان الفرق الشرعيّ بينهما.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الرغبة في الجمع بين الجانب الفقهيّ والجانبين الطبيّ والقانونيّ في دراسة واحدة مقارنة تخدم طلبة الشريعة والطبّ والقانون.</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قلّة الدراسات التي تناولت المسألة من زواياها الثلاث مجتمعة في بيئتنا المحليّة.</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إشكاليّة البحث</w:t>
      </w:r>
    </w:p>
    <w:p>
      <w:pPr>
        <w:bidi/>
        <w:spacing w:after="160" w:line="360"/>
        <w:jc w:val="both"/>
      </w:pPr>
      <w:r>
        <w:rPr>
          <w:rFonts w:ascii="Simplified Arabic" w:cs="Simplified Arabic" w:eastAsia="Simplified Arabic" w:hAnsi="Simplified Arabic"/>
          <w:b w:val="false"/>
          <w:bCs w:val="false"/>
          <w:sz w:val="28"/>
          <w:szCs w:val="28"/>
          <w:rtl/>
        </w:rPr>
        <w:t xml:space="preserve">تتمحور إشكاليّة البحث حول السؤال الرئيس الآتي: ما الحكم الشرعيّ لنزع الأجهزة الطبيّة عن الميت سريريًّا في ضوء المعطيات الطبيّة المعاصرة وقرارات المجامع الفقهيّة؟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الأسئلة الفرعيّة: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المقصود بالموت السريريّ والموت الدماغيّ من الناحية الطبيّة؟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كيف عرّف الفقه الإسلاميّ الموت، وما علاماته الشرعيّة؟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هل يُعدّ الموت الدماغيّ موتًا حقيقيًّا يُرتِّب أحكام الوفاة؟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حكم نزع الأجهزة الطبيّة عن الميت سريريًّا عند الفقهاء المعاصرين، وما أدلّة كلّ فريق؟</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الضوابط الشرعيّة التي يجب مراعاتها عند نزع الأجهزة؟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موقف المجامع الفقهيّة والفتاوى والقوانين الوضعيّة من هذه المسألة؟</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منهجيّة البحث</w:t>
      </w:r>
    </w:p>
    <w:p>
      <w:pPr>
        <w:bidi/>
        <w:spacing w:after="160" w:line="360"/>
        <w:jc w:val="both"/>
      </w:pPr>
      <w:r>
        <w:rPr>
          <w:rFonts w:ascii="Simplified Arabic" w:cs="Simplified Arabic" w:eastAsia="Simplified Arabic" w:hAnsi="Simplified Arabic"/>
          <w:b w:val="false"/>
          <w:bCs w:val="false"/>
          <w:sz w:val="28"/>
          <w:szCs w:val="28"/>
          <w:rtl/>
        </w:rPr>
        <w:t xml:space="preserve">يعتمد البحث على المنهج الاستقرائيّ التحليليّ المقارن، وذلك من خلال: استقراء النصوص الشرعيّة المتعلقة بحفظ النفس والموت؛ وجمع أقوال الفقهاء المعاصرين وقرارات المجامع الفقهيّة والفتاوى؛ وتحليل المعطيات الطبيّة المتعلقة بالموت السريريّ والموت الدماغيّ؛ والمقارنة بين الآراء الفقهيّة والترجيح بينها وفق القواعد الأصوليّة؛ والاستعانة بالمراجع الطبيّة والقانونيّة فيما يخدم موضوع البحث.</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محتويات خطّة البحث الأوّليّة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الفصل الأوّل: تعريفات أساسيّة، وتعريفات ذات صلة.</w:t>
      </w:r>
    </w:p>
    <w:p>
      <w:pPr>
        <w:bidi/>
        <w:spacing w:after="160" w:line="360"/>
        <w:jc w:val="both"/>
      </w:pPr>
      <w:r>
        <w:rPr>
          <w:rFonts w:ascii="Simplified Arabic" w:cs="Simplified Arabic" w:eastAsia="Simplified Arabic" w:hAnsi="Simplified Arabic"/>
          <w:b/>
          <w:bCs/>
          <w:sz w:val="28"/>
          <w:szCs w:val="28"/>
          <w:rtl/>
        </w:rPr>
        <w:t xml:space="preserve">* المبحث الأوّل: تعريفات أساسيّة.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الأحكام. </w:t>
      </w:r>
      <w:r>
        <w:rPr>
          <w:rFonts w:ascii="Simplified Arabic" w:cs="Simplified Arabic" w:eastAsia="Simplified Arabic" w:hAnsi="Simplified Arabic"/>
          <w:b w:val="false"/>
          <w:bCs w:val="false"/>
          <w:sz w:val="28"/>
          <w:szCs w:val="28"/>
          <w:rtl/>
        </w:rPr>
        <w:t xml:space="preserve">الفرع الأوّل: تعريف الحكم لغةً. الفرع الثاني: تعريف الحكم اصطلاحًا.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الفقهيّة. </w:t>
      </w:r>
      <w:r>
        <w:rPr>
          <w:rFonts w:ascii="Simplified Arabic" w:cs="Simplified Arabic" w:eastAsia="Simplified Arabic" w:hAnsi="Simplified Arabic"/>
          <w:b w:val="false"/>
          <w:bCs w:val="false"/>
          <w:sz w:val="28"/>
          <w:szCs w:val="28"/>
          <w:rtl/>
        </w:rPr>
        <w:t xml:space="preserve">الفرع الأوّل: تعريف الفقه لغةً. الفرع الثاني: تعريف الفقه اصطلاحًا.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النزع. </w:t>
      </w:r>
      <w:r>
        <w:rPr>
          <w:rFonts w:ascii="Simplified Arabic" w:cs="Simplified Arabic" w:eastAsia="Simplified Arabic" w:hAnsi="Simplified Arabic"/>
          <w:b w:val="false"/>
          <w:bCs w:val="false"/>
          <w:sz w:val="28"/>
          <w:szCs w:val="28"/>
          <w:rtl/>
        </w:rPr>
        <w:t xml:space="preserve">الفرع الأوّل: تعريف النزع لغةً. الفرع الثاني: تعريف النزع اصطلاحًا.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الرابع: الأجهزة الطبيّة. </w:t>
      </w:r>
      <w:r>
        <w:rPr>
          <w:rFonts w:ascii="Simplified Arabic" w:cs="Simplified Arabic" w:eastAsia="Simplified Arabic" w:hAnsi="Simplified Arabic"/>
          <w:b w:val="false"/>
          <w:bCs w:val="false"/>
          <w:sz w:val="28"/>
          <w:szCs w:val="28"/>
          <w:rtl/>
        </w:rPr>
        <w:t xml:space="preserve">الفرع الأوّل: تعريف الجهاز لغةً. الفرع الثاني: تعريف الأجهزة الطبيّة طبًّا.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الخامس: الميت. </w:t>
      </w:r>
      <w:r>
        <w:rPr>
          <w:rFonts w:ascii="Simplified Arabic" w:cs="Simplified Arabic" w:eastAsia="Simplified Arabic" w:hAnsi="Simplified Arabic"/>
          <w:b w:val="false"/>
          <w:bCs w:val="false"/>
          <w:sz w:val="28"/>
          <w:szCs w:val="28"/>
          <w:rtl/>
        </w:rPr>
        <w:t xml:space="preserve">الفرع الأوّل: تعريف الموت لغةً. الفرع الثاني: تعريف الموت اصطلاحًا (شرعًا). الفرع الثالث: تعريف الموت طبًّا.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السادس: سريريًّا. </w:t>
      </w:r>
      <w:r>
        <w:rPr>
          <w:rFonts w:ascii="Simplified Arabic" w:cs="Simplified Arabic" w:eastAsia="Simplified Arabic" w:hAnsi="Simplified Arabic"/>
          <w:b w:val="false"/>
          <w:bCs w:val="false"/>
          <w:sz w:val="28"/>
          <w:szCs w:val="28"/>
          <w:rtl/>
        </w:rPr>
        <w:t xml:space="preserve">الفرع الأوّل: تعريف السرير لغةً. الفرع الثاني: تعريف الموت السريريّ طبًّا.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السابع: </w:t>
      </w:r>
      <w:r>
        <w:rPr>
          <w:rFonts w:ascii="Simplified Arabic" w:cs="Simplified Arabic" w:eastAsia="Simplified Arabic" w:hAnsi="Simplified Arabic"/>
          <w:b w:val="false"/>
          <w:bCs w:val="false"/>
          <w:sz w:val="28"/>
          <w:szCs w:val="28"/>
          <w:rtl/>
        </w:rPr>
        <w:t xml:space="preserve">التعريف المركّب "نزع الأجهزة الطبيّة عن الميت سريريًّا".</w:t>
      </w:r>
    </w:p>
    <w:p>
      <w:pPr>
        <w:bidi/>
        <w:spacing w:after="160" w:line="360"/>
        <w:jc w:val="both"/>
      </w:pPr>
      <w:r>
        <w:rPr>
          <w:rFonts w:ascii="Simplified Arabic" w:cs="Simplified Arabic" w:eastAsia="Simplified Arabic" w:hAnsi="Simplified Arabic"/>
          <w:b/>
          <w:bCs/>
          <w:sz w:val="28"/>
          <w:szCs w:val="28"/>
          <w:rtl/>
        </w:rPr>
        <w:t xml:space="preserve">* المبحث الثاني: تعريفات ذات صلة.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w:t>
      </w:r>
      <w:r>
        <w:rPr>
          <w:rFonts w:ascii="Simplified Arabic" w:cs="Simplified Arabic" w:eastAsia="Simplified Arabic" w:hAnsi="Simplified Arabic"/>
          <w:b w:val="false"/>
          <w:bCs w:val="false"/>
          <w:sz w:val="28"/>
          <w:szCs w:val="28"/>
          <w:rtl/>
        </w:rPr>
        <w:t xml:space="preserve">الموت الدماغيّ.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الإنعاش القلبيّ الرئويّ.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أجهزة الإنعاش الصناعيّ (المنفسة، الإكمو، منظّمات القلب).</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الرابع: </w:t>
      </w:r>
      <w:r>
        <w:rPr>
          <w:rFonts w:ascii="Simplified Arabic" w:cs="Simplified Arabic" w:eastAsia="Simplified Arabic" w:hAnsi="Simplified Arabic"/>
          <w:b w:val="false"/>
          <w:bCs w:val="false"/>
          <w:sz w:val="28"/>
          <w:szCs w:val="28"/>
          <w:rtl/>
        </w:rPr>
        <w:t xml:space="preserve">الحالة النباتيّة (الغيبوبة المستديمة).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الخامس: </w:t>
      </w:r>
      <w:r>
        <w:rPr>
          <w:rFonts w:ascii="Simplified Arabic" w:cs="Simplified Arabic" w:eastAsia="Simplified Arabic" w:hAnsi="Simplified Arabic"/>
          <w:b w:val="false"/>
          <w:bCs w:val="false"/>
          <w:sz w:val="28"/>
          <w:szCs w:val="28"/>
          <w:rtl/>
        </w:rPr>
        <w:t xml:space="preserve">الاحتضار.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السادس: </w:t>
      </w:r>
      <w:r>
        <w:rPr>
          <w:rFonts w:ascii="Simplified Arabic" w:cs="Simplified Arabic" w:eastAsia="Simplified Arabic" w:hAnsi="Simplified Arabic"/>
          <w:b w:val="false"/>
          <w:bCs w:val="false"/>
          <w:sz w:val="28"/>
          <w:szCs w:val="28"/>
          <w:rtl/>
        </w:rPr>
        <w:t xml:space="preserve">موت الرحمة (القتل الرحيم).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السابع: </w:t>
      </w:r>
      <w:r>
        <w:rPr>
          <w:rFonts w:ascii="Simplified Arabic" w:cs="Simplified Arabic" w:eastAsia="Simplified Arabic" w:hAnsi="Simplified Arabic"/>
          <w:b w:val="false"/>
          <w:bCs w:val="false"/>
          <w:sz w:val="28"/>
          <w:szCs w:val="28"/>
          <w:rtl/>
        </w:rPr>
        <w:t xml:space="preserve">العناية المركّزة.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الثامن: </w:t>
      </w:r>
      <w:r>
        <w:rPr>
          <w:rFonts w:ascii="Simplified Arabic" w:cs="Simplified Arabic" w:eastAsia="Simplified Arabic" w:hAnsi="Simplified Arabic"/>
          <w:b w:val="false"/>
          <w:bCs w:val="false"/>
          <w:sz w:val="28"/>
          <w:szCs w:val="28"/>
          <w:rtl/>
        </w:rPr>
        <w:t xml:space="preserve">زراعة الأعضاء.</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الفصل الثاني (التمهيديّ): نشأة مسألة نزع الأجهزة الطبيّة وتاريخها، وربطها بالشرائع السماويّة والتشريعات الوضعيّة القديمة.</w:t>
      </w:r>
    </w:p>
    <w:p>
      <w:pPr>
        <w:bidi/>
        <w:spacing w:after="160" w:line="360"/>
        <w:jc w:val="both"/>
      </w:pPr>
      <w:r>
        <w:rPr>
          <w:rFonts w:ascii="Simplified Arabic" w:cs="Simplified Arabic" w:eastAsia="Simplified Arabic" w:hAnsi="Simplified Arabic"/>
          <w:b/>
          <w:bCs/>
          <w:sz w:val="28"/>
          <w:szCs w:val="28"/>
          <w:rtl/>
        </w:rPr>
        <w:t xml:space="preserve">* المبحث الأوّل: تاريخ ظهور المسألة.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w:t>
      </w:r>
      <w:r>
        <w:rPr>
          <w:rFonts w:ascii="Simplified Arabic" w:cs="Simplified Arabic" w:eastAsia="Simplified Arabic" w:hAnsi="Simplified Arabic"/>
          <w:b w:val="false"/>
          <w:bCs w:val="false"/>
          <w:sz w:val="28"/>
          <w:szCs w:val="28"/>
          <w:rtl/>
        </w:rPr>
        <w:t xml:space="preserve">الموت وعلاماته قبل ظهور أجهزة الإنعاش (علامات الموت عند الفقهاء المتقدّمين).</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ظهور الإنعاش الصناعيّ والعناية المركّزة في القرن العشرين، ومعايير هارفارد سنة 1968م.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دخول المسألة الفقه الإسلاميّ المعاصر: ندوة المنظمة الإسلاميّة للعلوم الطبيّة بالكويت 1985م، وقرارات المجامع الفقهيّة.</w:t>
      </w:r>
    </w:p>
    <w:p>
      <w:pPr>
        <w:bidi/>
        <w:spacing w:after="160" w:line="360"/>
        <w:jc w:val="both"/>
      </w:pPr>
      <w:r>
        <w:rPr>
          <w:rFonts w:ascii="Simplified Arabic" w:cs="Simplified Arabic" w:eastAsia="Simplified Arabic" w:hAnsi="Simplified Arabic"/>
          <w:b/>
          <w:bCs/>
          <w:sz w:val="28"/>
          <w:szCs w:val="28"/>
          <w:rtl/>
        </w:rPr>
        <w:t xml:space="preserve">* المبحث الثاني: الموت وأحكامه في الشرائع السماويّة والتشريعات الوضعيّة القديمة.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w:t>
      </w:r>
      <w:r>
        <w:rPr>
          <w:rFonts w:ascii="Simplified Arabic" w:cs="Simplified Arabic" w:eastAsia="Simplified Arabic" w:hAnsi="Simplified Arabic"/>
          <w:b w:val="false"/>
          <w:bCs w:val="false"/>
          <w:sz w:val="28"/>
          <w:szCs w:val="28"/>
          <w:rtl/>
        </w:rPr>
        <w:t xml:space="preserve">الموت وتحديده في الشريعة اليهوديّة، وموقفها المعاصر من الموت الدماغيّ.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الموت والوسائل الاستثنائيّة في المسيحيّة (موقف الكنيسة من وسائل الإنعاش).</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التشريعات الوضعيّة القديمة: مسؤوليّة الطبيب في شريعة حمورابي عند البابليّين، وتكريم جسد الميت عند الفراعنة.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الفصل الثالث: الآثار المتعلقة بنزع الأجهزة الطبيّة عن الميت سريريًّا.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المبحث الأوّل: الآثار الفقهيّة. </w:t>
      </w:r>
      <w:r>
        <w:rPr>
          <w:rFonts w:ascii="Simplified Arabic" w:cs="Simplified Arabic" w:eastAsia="Simplified Arabic" w:hAnsi="Simplified Arabic"/>
          <w:b w:val="false"/>
          <w:bCs w:val="false"/>
          <w:sz w:val="28"/>
          <w:szCs w:val="28"/>
          <w:rtl/>
        </w:rPr>
        <w:t xml:space="preserve">(أثر تحديد لحظة الموت في: تجهيز الميت ودفنه، الإرث، عدّة الزوجة، الوصيّة، الجناية على من نُزعت أجهزته).</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المبحث الثاني: الآثار الطبيّة. </w:t>
      </w:r>
      <w:r>
        <w:rPr>
          <w:rFonts w:ascii="Simplified Arabic" w:cs="Simplified Arabic" w:eastAsia="Simplified Arabic" w:hAnsi="Simplified Arabic"/>
          <w:b w:val="false"/>
          <w:bCs w:val="false"/>
          <w:sz w:val="28"/>
          <w:szCs w:val="28"/>
          <w:rtl/>
        </w:rPr>
        <w:t xml:space="preserve">(دقّة التشخيص وأخطاؤه، أسرّة العناية المركّزة، علاقة المسألة بزراعة الأعضاء).</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المبحث الثالث: الآثار الاجتماعيّة والنفسيّة. </w:t>
      </w:r>
      <w:r>
        <w:rPr>
          <w:rFonts w:ascii="Simplified Arabic" w:cs="Simplified Arabic" w:eastAsia="Simplified Arabic" w:hAnsi="Simplified Arabic"/>
          <w:b w:val="false"/>
          <w:bCs w:val="false"/>
          <w:sz w:val="28"/>
          <w:szCs w:val="28"/>
          <w:rtl/>
        </w:rPr>
        <w:t xml:space="preserve">(أثر بقاء الجثمان على الأجهزة في الأسرة، الحداد المعلّق، النزاع بين الأهل والمستشفى).</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المبحث الرابع: الآثار القانونيّة. </w:t>
      </w:r>
      <w:r>
        <w:rPr>
          <w:rFonts w:ascii="Simplified Arabic" w:cs="Simplified Arabic" w:eastAsia="Simplified Arabic" w:hAnsi="Simplified Arabic"/>
          <w:b w:val="false"/>
          <w:bCs w:val="false"/>
          <w:sz w:val="28"/>
          <w:szCs w:val="28"/>
          <w:rtl/>
        </w:rPr>
        <w:t xml:space="preserve">(المسؤوليّة الجنائيّة والمدنيّة والتأديبيّة للطبيب).</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المبحث الخامس: الآثار الاقتصاديّة. </w:t>
      </w:r>
      <w:r>
        <w:rPr>
          <w:rFonts w:ascii="Simplified Arabic" w:cs="Simplified Arabic" w:eastAsia="Simplified Arabic" w:hAnsi="Simplified Arabic"/>
          <w:b w:val="false"/>
          <w:bCs w:val="false"/>
          <w:sz w:val="28"/>
          <w:szCs w:val="28"/>
          <w:rtl/>
        </w:rPr>
        <w:t xml:space="preserve">(كلفة الإبقاء على الأجهزة، استنزاف أموال الأسرة والمرافق الصحيّة).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الفصل الرابع: التأصيل الفقهيّ لمسألة نزع الأجهزة الطبيّة عن الميت سريريًّا، تحرير المسألة، وبيان أقوال الفقهاء، وموقف القانون والطبّ.</w:t>
      </w:r>
    </w:p>
    <w:p>
      <w:pPr>
        <w:bidi/>
        <w:spacing w:after="160" w:line="360"/>
        <w:jc w:val="both"/>
      </w:pPr>
      <w:r>
        <w:rPr>
          <w:rFonts w:ascii="Simplified Arabic" w:cs="Simplified Arabic" w:eastAsia="Simplified Arabic" w:hAnsi="Simplified Arabic"/>
          <w:b/>
          <w:bCs/>
          <w:sz w:val="28"/>
          <w:szCs w:val="28"/>
          <w:rtl/>
        </w:rPr>
        <w:t xml:space="preserve">* المبحث الأوّل: تأصيل المسألة فقهيًّا، ويشمل:</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w:t>
      </w:r>
      <w:r>
        <w:rPr>
          <w:rFonts w:ascii="Simplified Arabic" w:cs="Simplified Arabic" w:eastAsia="Simplified Arabic" w:hAnsi="Simplified Arabic"/>
          <w:b w:val="false"/>
          <w:bCs w:val="false"/>
          <w:sz w:val="28"/>
          <w:szCs w:val="28"/>
          <w:rtl/>
        </w:rPr>
        <w:t xml:space="preserve">تصوير المسألة. (فرعان: صورة المسألة طبًّا، وصورتها فقهًا).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مقاصد الشريعة الإسلاميّة في المسألة. (الفرع الأوّل: مقصد حفظ الدين. الفرع الثاني: مقصد حفظ النفس. الفرع الثالث: مقصد حفظ المال).</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فلسفة مقاصد الشريعة الإسلاميّة في المسألة.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الرابع: </w:t>
      </w:r>
      <w:r>
        <w:rPr>
          <w:rFonts w:ascii="Simplified Arabic" w:cs="Simplified Arabic" w:eastAsia="Simplified Arabic" w:hAnsi="Simplified Arabic"/>
          <w:b w:val="false"/>
          <w:bCs w:val="false"/>
          <w:sz w:val="28"/>
          <w:szCs w:val="28"/>
          <w:rtl/>
        </w:rPr>
        <w:t xml:space="preserve">ربط المسألة بالواقع.</w:t>
      </w:r>
    </w:p>
    <w:p>
      <w:pPr>
        <w:bidi/>
        <w:spacing w:after="160" w:line="360"/>
        <w:jc w:val="both"/>
      </w:pPr>
      <w:r>
        <w:rPr>
          <w:rFonts w:ascii="Simplified Arabic" w:cs="Simplified Arabic" w:eastAsia="Simplified Arabic" w:hAnsi="Simplified Arabic"/>
          <w:b/>
          <w:bCs/>
          <w:sz w:val="28"/>
          <w:szCs w:val="28"/>
          <w:rtl/>
        </w:rPr>
        <w:t xml:space="preserve">* المبحث الثاني: تحرير المسألة، ويشمل:</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w:t>
      </w:r>
      <w:r>
        <w:rPr>
          <w:rFonts w:ascii="Simplified Arabic" w:cs="Simplified Arabic" w:eastAsia="Simplified Arabic" w:hAnsi="Simplified Arabic"/>
          <w:b w:val="false"/>
          <w:bCs w:val="false"/>
          <w:sz w:val="28"/>
          <w:szCs w:val="28"/>
          <w:rtl/>
        </w:rPr>
        <w:t xml:space="preserve">بيان محلّ الاتفاق.</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بيان محلّ النزاع.</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أسباب الاختلاف.</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الرابع: </w:t>
      </w:r>
      <w:r>
        <w:rPr>
          <w:rFonts w:ascii="Simplified Arabic" w:cs="Simplified Arabic" w:eastAsia="Simplified Arabic" w:hAnsi="Simplified Arabic"/>
          <w:b w:val="false"/>
          <w:bCs w:val="false"/>
          <w:sz w:val="28"/>
          <w:szCs w:val="28"/>
          <w:rtl/>
        </w:rPr>
        <w:t xml:space="preserve">التكييف الفقهيّ.</w:t>
      </w:r>
    </w:p>
    <w:p>
      <w:pPr>
        <w:bidi/>
        <w:spacing w:after="160" w:line="360"/>
        <w:jc w:val="both"/>
      </w:pPr>
      <w:r>
        <w:rPr>
          <w:rFonts w:ascii="Simplified Arabic" w:cs="Simplified Arabic" w:eastAsia="Simplified Arabic" w:hAnsi="Simplified Arabic"/>
          <w:b/>
          <w:bCs/>
          <w:sz w:val="28"/>
          <w:szCs w:val="28"/>
          <w:rtl/>
        </w:rPr>
        <w:t xml:space="preserve">* المبحث الثالث: أقوال الفقهاء في المسألة، ويشمل:</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w:t>
      </w:r>
      <w:r>
        <w:rPr>
          <w:rFonts w:ascii="Simplified Arabic" w:cs="Simplified Arabic" w:eastAsia="Simplified Arabic" w:hAnsi="Simplified Arabic"/>
          <w:b w:val="false"/>
          <w:bCs w:val="false"/>
          <w:sz w:val="28"/>
          <w:szCs w:val="28"/>
          <w:rtl/>
        </w:rPr>
        <w:t xml:space="preserve">بيان أقوال الفقهاء المؤيّدين (لجواز النزع) وأدلّتهم ومناقشتها. (توزيع للفروع).</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بيان أقوال الفقهاء المعارضين وأدلّتهم ومناقشتها. (توزيع للفروع).</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الردّ على الأدلّة. (الفرع الأوّل: الردّ على أدلّة المؤيّدين. الفرع الثاني: الردّ على أدلّة المعارضين).</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الرابع: </w:t>
      </w:r>
      <w:r>
        <w:rPr>
          <w:rFonts w:ascii="Simplified Arabic" w:cs="Simplified Arabic" w:eastAsia="Simplified Arabic" w:hAnsi="Simplified Arabic"/>
          <w:b w:val="false"/>
          <w:bCs w:val="false"/>
          <w:sz w:val="28"/>
          <w:szCs w:val="28"/>
          <w:rtl/>
        </w:rPr>
        <w:t xml:space="preserve">القول الراجح في المسألة. (الفرع الأوّل: القول الراجح. الفرع الثاني: مبرّرات الترجيح).</w:t>
      </w:r>
    </w:p>
    <w:p>
      <w:pPr>
        <w:bidi/>
        <w:spacing w:after="160" w:line="360"/>
        <w:jc w:val="both"/>
      </w:pPr>
      <w:r>
        <w:rPr>
          <w:rFonts w:ascii="Simplified Arabic" w:cs="Simplified Arabic" w:eastAsia="Simplified Arabic" w:hAnsi="Simplified Arabic"/>
          <w:b/>
          <w:bCs/>
          <w:sz w:val="28"/>
          <w:szCs w:val="28"/>
          <w:rtl/>
        </w:rPr>
        <w:t xml:space="preserve">* المبحث الرابع: موقف القانون والطبّ والاجتماع والعلم في المسألة، ويشمل:</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الموقف والأقوال القانونيّة في المسألة (قوانين سبع دول: أربع عربيّة وثلاث أجنبيّة). </w:t>
      </w:r>
      <w:r>
        <w:rPr>
          <w:rFonts w:ascii="Simplified Arabic" w:cs="Simplified Arabic" w:eastAsia="Simplified Arabic" w:hAnsi="Simplified Arabic"/>
          <w:b w:val="false"/>
          <w:bCs w:val="false"/>
          <w:sz w:val="28"/>
          <w:szCs w:val="28"/>
          <w:rtl/>
        </w:rPr>
        <w:t xml:space="preserve">الفرع الأوّل: فلسطين. الفرع الثاني: الأردن. الفرع الثالث: مصر. الفرع الرابع: الإمارات. الفرع الخامس: إسرائيل. الفرع السادس: الولايات المتحدة. الفرع السابع: فرنسا.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الموقف والأقوال الطبيّة في المسألة.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الموقف والأقوال الاجتماعيّة في المسألة.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الرابع: </w:t>
      </w:r>
      <w:r>
        <w:rPr>
          <w:rFonts w:ascii="Simplified Arabic" w:cs="Simplified Arabic" w:eastAsia="Simplified Arabic" w:hAnsi="Simplified Arabic"/>
          <w:b w:val="false"/>
          <w:bCs w:val="false"/>
          <w:sz w:val="28"/>
          <w:szCs w:val="28"/>
          <w:rtl/>
        </w:rPr>
        <w:t xml:space="preserve">الموقف والأقوال العلميّة والتقنيّة في المسألة.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الفصل الخامس: الفتاوى المؤيّدة والمعارضة في مسألة نزع الأجهزة الطبيّة عن الميت سريريًّا.</w:t>
      </w:r>
    </w:p>
    <w:p>
      <w:pPr>
        <w:bidi/>
        <w:spacing w:after="160" w:line="360"/>
        <w:jc w:val="both"/>
      </w:pPr>
      <w:r>
        <w:rPr>
          <w:rFonts w:ascii="Simplified Arabic" w:cs="Simplified Arabic" w:eastAsia="Simplified Arabic" w:hAnsi="Simplified Arabic"/>
          <w:b/>
          <w:bCs/>
          <w:sz w:val="28"/>
          <w:szCs w:val="28"/>
          <w:rtl/>
        </w:rPr>
        <w:t xml:space="preserve">* المبحث الأوّل: الفتاوى المؤيّدة (ثلاث فتاوى مع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w:t>
      </w:r>
      <w:r>
        <w:rPr>
          <w:rFonts w:ascii="Simplified Arabic" w:cs="Simplified Arabic" w:eastAsia="Simplified Arabic" w:hAnsi="Simplified Arabic"/>
          <w:b w:val="false"/>
          <w:bCs w:val="false"/>
          <w:sz w:val="28"/>
          <w:szCs w:val="28"/>
          <w:rtl/>
        </w:rPr>
        <w:t xml:space="preserve">قرار مجمع الفقه الإسلاميّ الدوليّ رقم (5) د3/07/86 بشأن أجهزة الإنعاش (عمّان 1986م). الفرع الأوّل: نصّ القرار. الفرع الثاني: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توصية ندوة "الحياة الإنسانيّة: بدايتها ونهايتها" للمنظمة الإسلاميّة للعلوم الطبيّة (الكويت 1985م). الفرع الأوّل: نصّ التوصية. الفرع الثاني: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فتوى دار الإفتاء المصريّة بشأن رفع أجهزة الإنعاش عمّن ثبت موته دماغيًّا. الفرع الأوّل: نصّ الفتوى. الفرع الثاني: الردّ والتعقيب.</w:t>
      </w:r>
    </w:p>
    <w:p>
      <w:pPr>
        <w:bidi/>
        <w:spacing w:after="160" w:line="360"/>
        <w:jc w:val="both"/>
      </w:pPr>
      <w:r>
        <w:rPr>
          <w:rFonts w:ascii="Simplified Arabic" w:cs="Simplified Arabic" w:eastAsia="Simplified Arabic" w:hAnsi="Simplified Arabic"/>
          <w:b/>
          <w:bCs/>
          <w:sz w:val="28"/>
          <w:szCs w:val="28"/>
          <w:rtl/>
        </w:rPr>
        <w:t xml:space="preserve">* المبحث الثاني: الفتاوى المعارضة (ثلاث فتاوى مع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w:t>
      </w:r>
      <w:r>
        <w:rPr>
          <w:rFonts w:ascii="Simplified Arabic" w:cs="Simplified Arabic" w:eastAsia="Simplified Arabic" w:hAnsi="Simplified Arabic"/>
          <w:b w:val="false"/>
          <w:bCs w:val="false"/>
          <w:sz w:val="28"/>
          <w:szCs w:val="28"/>
          <w:rtl/>
        </w:rPr>
        <w:t xml:space="preserve">قرار المجمع الفقهيّ الإسلاميّ برابطة العالم الإسلاميّ، الدورة العاشرة (مكة 1987م)، في شقّه المتعلق بعدم الحكم بالوفاة قبل توقف القلب. الفرع الأوّل: نصّ القرار. الفرع الثاني: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فتوى اللجنة الدائمة للبحوث العلميّة والإفتاء بالمملكة العربيّة السعوديّة في عدم اعتبار الموت الدماغيّ موتًا. الفرع الأوّل: نصّ الفتوى. الفرع الثاني: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فتوى الشيخ محمد بن صالح ابن عثيمين رحمه الله في التوقف عن الحكم بالموت قبل مفارقة الروح. الفرع الأوّل: نصّ الفتوى. الفرع الثاني: الردّ والتعقيب.</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الخاتمة والنتائج والتوصيات.</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الخاتمة.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النتائج.</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التوصيات.</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الفهارس.</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فهرس الآيات القرآنيّة.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فهرس الأحاديث النبويّة.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فهرس الأعلام.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فهرس المصادر والمراجع.</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فهرس المحتويات.</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قائمة المصادر والمراجع للخطّة</w:t>
      </w:r>
    </w:p>
    <w:p>
      <w:pPr>
        <w:bidi/>
        <w:spacing w:after="160" w:line="360"/>
        <w:jc w:val="both"/>
      </w:pPr>
      <w:r>
        <w:rPr>
          <w:rFonts w:ascii="Simplified Arabic" w:cs="Simplified Arabic" w:eastAsia="Simplified Arabic" w:hAnsi="Simplified Arabic"/>
          <w:b w:val="false"/>
          <w:bCs w:val="false"/>
          <w:sz w:val="28"/>
          <w:szCs w:val="28"/>
          <w:rtl/>
        </w:rPr>
        <w:t xml:space="preserve">رتّبت المصادر ترتيبًا ألفبائيًّا داخل كلّ قسم.</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أولًا: القرآن الكريم.</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ثانيًا: المعاجم اللغويّة والاصطلاحيّة: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فارس، أحمد. معجم مقاييس اللغة (تحقيق عبد السلام هارون). بيروت: دار الفكر.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منظور، محمد بن مكرم. لسان العرب. بيروت: دار صادر.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الجرجاني، علي بن محمد. التعريفات. بيروت: دار الكتب العلمية.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الفيروزآبادي، مجد الدين. القاموس المحيط. بيروت: مؤسسة الرسالة.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الفيومي، أحمد بن محمد. المصباح المنير في غريب الشرح الكبير. بيروت: المكتبة العلمية.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ثالثًا: كتب الحديث الشريف:</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ماجه، محمد بن يزيد القزويني. سنن ابن ماجه (تحقيق محمد فؤاد عبد الباقي). القاهرة: دار إحياء الكتب العربية.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أبو داود، سليمان بن الأشعث السجستاني. سنن أبي داود. صيدا بيروت: المكتبة العصرية.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البخاري، محمد بن اسماعيل (2002). صحيح البخاري. ط1، دمشق بيروت: دار ابن كثير.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مالك بن أنس (1985). موطأ مالك (تحقيق محمد فؤاد عبد الباقي). ط1، القاهرة: دار الأصيل.</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مسلم بن الحجاج القشيري النيسابوري (2006). صحيح مسلم (تحقيق نظر الفاريابي). ط1، المنصورة: مكتبة الإيمان.</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رابعًا: كتب المذاهب الإسلاميّة المعتمدة (ثلاثة كتب لكلّ مذهب):</w:t>
      </w:r>
    </w:p>
    <w:p>
      <w:pPr>
        <w:bidi/>
        <w:spacing w:after="160" w:line="360"/>
        <w:jc w:val="both"/>
      </w:pPr>
      <w:r>
        <w:rPr>
          <w:rFonts w:ascii="Simplified Arabic" w:cs="Simplified Arabic" w:eastAsia="Simplified Arabic" w:hAnsi="Simplified Arabic"/>
          <w:b/>
          <w:bCs/>
          <w:sz w:val="28"/>
          <w:szCs w:val="28"/>
          <w:rtl/>
        </w:rPr>
        <w:t xml:space="preserve">المذهب الحنفيّ: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عابدين، محمد أمين. ردّ المحتار على الدرّ المختار (حاشية ابن عابدين). بيروت: دار الفكر.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السرخسي، محمد بن أحمد. المبسوط. بيروت: دار المعرفة.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الكاساني، علاء الدين أبو بكر. بدائع الصنائع في ترتيب الشرائع. بيروت: دار الكتب العلمية.</w:t>
      </w:r>
    </w:p>
    <w:p>
      <w:pPr>
        <w:bidi/>
        <w:spacing w:after="160" w:line="360"/>
        <w:jc w:val="both"/>
      </w:pPr>
      <w:r>
        <w:rPr>
          <w:rFonts w:ascii="Simplified Arabic" w:cs="Simplified Arabic" w:eastAsia="Simplified Arabic" w:hAnsi="Simplified Arabic"/>
          <w:b/>
          <w:bCs/>
          <w:sz w:val="28"/>
          <w:szCs w:val="28"/>
          <w:rtl/>
        </w:rPr>
        <w:t xml:space="preserve">المذهب المالكيّ: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الحطّاب، محمد بن محمد. مواهب الجليل في شرح مختصر خليل. بيروت: دار الفكر.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الدسوقي، محمد بن أحمد. حاشية الدسوقي على الشرح الكبير. بيروت: دار الفكر.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القرافي، أحمد بن إدريس. الذخيرة. بيروت: دار الغرب الإسلامي.</w:t>
      </w:r>
    </w:p>
    <w:p>
      <w:pPr>
        <w:bidi/>
        <w:spacing w:after="160" w:line="360"/>
        <w:jc w:val="both"/>
      </w:pPr>
      <w:r>
        <w:rPr>
          <w:rFonts w:ascii="Simplified Arabic" w:cs="Simplified Arabic" w:eastAsia="Simplified Arabic" w:hAnsi="Simplified Arabic"/>
          <w:b/>
          <w:bCs/>
          <w:sz w:val="28"/>
          <w:szCs w:val="28"/>
          <w:rtl/>
        </w:rPr>
        <w:t xml:space="preserve">المذهب الشافعيّ: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الرملي، محمد بن أحمد. نهاية المحتاج إلى شرح المنهاج. بيروت: دار الفكر.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الشربيني، محمد بن أحمد الخطيب. مغني المحتاج إلى معرفة معاني ألفاظ المنهاج. بيروت: دار الكتب العلمية.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النووي، يحيى بن شرف. المجموع شرح المهذّب. بيروت: دار الفكر.</w:t>
      </w:r>
    </w:p>
    <w:p>
      <w:pPr>
        <w:bidi/>
        <w:spacing w:after="160" w:line="360"/>
        <w:jc w:val="both"/>
      </w:pPr>
      <w:r>
        <w:rPr>
          <w:rFonts w:ascii="Simplified Arabic" w:cs="Simplified Arabic" w:eastAsia="Simplified Arabic" w:hAnsi="Simplified Arabic"/>
          <w:b/>
          <w:bCs/>
          <w:sz w:val="28"/>
          <w:szCs w:val="28"/>
          <w:rtl/>
        </w:rPr>
        <w:t xml:space="preserve">المذهب الحنبليّ: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قدامة، عبد الله بن أحمد المقدسي. المغني. القاهرة: مكتبة القاهرة.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البهوتي، منصور بن يونس. كشّاف القناع عن متن الإقناع. بيروت: دار الكتب العلمية.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المرداوي، علاء الدين علي بن سليمان. الإنصاف في معرفة الراجح من الخلاف. بيروت: دار إحياء التراث العربي.</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خامسًا: كتب أصول الفقه والقواعد الفقهيّة ومقاصد الشريعة: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عاشور، محمد الطاهر. مقاصد الشريعة الإسلامية. تونس: الدار التونسية للنشر.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نجيم، زين الدين. الأشباه والنظائر على مذهب أبي حنيفة النعمان. بيروت: دار الكتب العلمية.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الريسوني، أحمد (2010). مدخل إلى مقاصد الشريعة. ط1، المنصورة: دار الكلمة.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زيدان، عبد الكريم (2001). الوجيز في شرح القواعد الفقهية في الشريعة الإسلامية. ط1، بيروت: مؤسسة الرسالة.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السيوطي، جلال الدين. الأشباه والنظائر. بيروت: دار الكتب العلمية.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الشاطبي، إبراهيم بن موسى. الموافقات في أصول الشريعة. بيروت: دار المعرفة.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سادسًا: كتب ودراسات معاصرة عن موضوع البحث:</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البار، محمد علي، والسباعي، زهير. الطبيب أدبه وفقهه. دمشق: دار القلم.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بكر أبو زيد، بكر بن عبد الله. فقه النوازل: قضايا فقهية معاصرة. بيروت: مؤسسة الرسالة.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الزحيلي، وهبة. الفقه الإسلامي وأدلته. ط4، دمشق: دار الفكر.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الشماخي، هدى عبد الباسط محمود (2020). المسئولية عن الأعمال الطبية في الفقه الإسلامي: دراسة مقارنة. ط1، القاهرة: المركز القومي للإصدارات القانونية. https://platform.almanhal.com/Details/Book/137906</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الشنقيطي، محمد بن محمد المختار. أحكام الجراحة الطبية والآثار المترتبة عليها. جدة: مكتبة الصحابة.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عبد المبدي، جهاد محمود (2024). الأحكام المتعلقة بممارسة الأعمال الطبية: دراسة مقارنة بين الفقه الإسلامي والقانون. ط1، القاهرة: المركز القومي للإصدارات القانونية. https://platform.almanhal.com/Details/Book/265411</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الموسوعة الفقهية الكويتية. الكويت: وزارة الأوقاف والشؤون الإسلامية.</w:t>
      </w:r>
    </w:p>
    <w:p>
      <w:pPr>
        <w:bidi/>
        <w:spacing w:after="160" w:line="360"/>
        <w:jc w:val="both"/>
      </w:pPr>
      <w:r>
        <w:rPr>
          <w:rFonts w:ascii="Simplified Arabic" w:cs="Simplified Arabic" w:eastAsia="Simplified Arabic" w:hAnsi="Simplified Arabic"/>
          <w:b w:val="false"/>
          <w:bCs w:val="false"/>
          <w:sz w:val="28"/>
          <w:szCs w:val="28"/>
          <w:rtl/>
        </w:rPr>
        <w:t xml:space="preserve">(يضاف إليها الدراسات السابقة المذكورة أعلاه: 15 دراسة عربيّة و7 دراسات أجنبيّة).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سابعًا: القرارات والفتاوى:</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مجمع الفقه الإسلامي الدولي. قرارات وتوصيات مجمع الفقه الإسلامي، القرار رقم (5) د 3/07/86 بشأن أجهزة الإنعاش، الدورة الثالثة، عمّان، 1986م. جدة: منظمة التعاون الإسلامي. https://iifa-aifi.org/ar/decisions</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المجمع الفقهي الإسلامي برابطة العالم الإسلامي. قرار الدورة العاشرة بشأن أجهزة الإنعاش، مكة المكرمة، 1408هـ/1987م.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المنظمة الإسلامية للعلوم الطبية. ثبت ندوة "الحياة الإنسانية: بدايتها ونهايتها في المفهوم الإسلامي". الكويت، 1985م.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اللجنة الدائمة للبحوث العلمية والإفتاء بالمملكة العربية السعودية. فتاوى اللجنة الدائمة. الرياض.</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دار الإفتاء المصرية. فتاوى معاصرة في القضايا الطبية. القاهرة. https://www.dar-alifta.org</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ثامنًا: القوانين والتشريعات:</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الانتفاع بأعضاء جسم الإنسان الأردني رقم (23) لسنة 1977م وتعديلاته.</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الصحة العامة الفلسطيني رقم (20) لسنة 2004م.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تنظيم زرع الأعضاء البشرية المصري رقم (5) لسنة 2010م.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المرسوم بقانون اتحادي رقم (4) لسنة 2016م بشأن المسؤولية الطبية، دولة الإمارات العربية المتحدة.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الموت الدماغي-التنفسي الإسرائيلي لسنة 2008م (חוק מוות מוחי-נשימתי, התשס"ח-2008)، الكنيست.</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التحديد الموحّد للوفاة الأمريكي (Uniform Determination of Death Act) لسنة 1981م.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القانون الفرنسي المتعلق بحقوق المرضى ونهاية الحياة (قانون ليونيتي) لسنة 2005م.</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plified Arabic" w:cs="Simplified Arabic" w:eastAsia="Simplified Arabic" w:hAnsi="Simplified Arabic"/>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2026-08-14T18:50:24.764Z</dcterms:created>
  <dcterms:modified xsi:type="dcterms:W3CDTF">2026-08-14T18:50:24.764Z</dcterms:modified>
</cp:coreProperties>
</file>

<file path=docProps/custom.xml><?xml version="1.0" encoding="utf-8"?>
<Properties xmlns="http://schemas.openxmlformats.org/officeDocument/2006/custom-properties" xmlns:vt="http://schemas.openxmlformats.org/officeDocument/2006/docPropsVTypes"/>
</file>