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500"/>
      </w:pPr>
    </w:p>
    <w:p>
      <w:pPr>
        <w:bidi/>
        <w:spacing w:after="160" w:before="0"/>
        <w:jc w:val="center"/>
      </w:pPr>
      <w:r>
        <w:rPr>
          <w:rFonts w:ascii="David" w:cs="David" w:eastAsia="David" w:hAnsi="David"/>
          <w:b/>
          <w:bCs/>
          <w:i w:val="false"/>
          <w:iCs w:val="false"/>
          <w:color w:val="000000"/>
          <w:sz w:val="30"/>
          <w:szCs w:val="30"/>
          <w:rtl/>
        </w:rPr>
        <w:t xml:space="preserve">המרכז האקדמי פרס</w:t>
      </w:r>
    </w:p>
    <w:p>
      <w:pPr>
        <w:bidi/>
        <w:spacing w:after="900" w:before="0"/>
        <w:jc w:val="center"/>
      </w:pPr>
      <w:r>
        <w:rPr>
          <w:rFonts w:ascii="David" w:cs="David" w:eastAsia="David" w:hAnsi="David"/>
          <w:b/>
          <w:bCs/>
          <w:i w:val="false"/>
          <w:iCs w:val="false"/>
          <w:color w:val="000000"/>
          <w:sz w:val="26"/>
          <w:szCs w:val="26"/>
          <w:rtl/>
        </w:rPr>
        <w:t xml:space="preserve">החוג למדעי ההתנהגות</w:t>
      </w:r>
    </w:p>
    <w:p>
      <w:pPr>
        <w:pBdr>
          <w:top w:val="single" w:color="000000" w:sz="6" w:space="6"/>
          <w:bottom w:val="single" w:color="000000" w:sz="6" w:space="6"/>
        </w:pBdr>
        <w:bidi/>
        <w:spacing w:after="40" w:before="40"/>
        <w:jc w:val="center"/>
      </w:pPr>
      <w:r>
        <w:rPr>
          <w:rFonts w:ascii="David" w:cs="David" w:eastAsia="David" w:hAnsi="David"/>
          <w:b/>
          <w:bCs/>
          <w:i w:val="false"/>
          <w:iCs w:val="false"/>
          <w:color w:val="000000"/>
          <w:sz w:val="34"/>
          <w:szCs w:val="34"/>
          <w:rtl/>
        </w:rPr>
        <w:t xml:space="preserve">השפעת חוויית שליטה וחשיפה עקיפה על תחושת החוללות העצמית</w:t>
      </w:r>
    </w:p>
    <w:p>
      <w:pPr>
        <w:bidi/>
        <w:spacing w:after="900" w:before="120"/>
        <w:jc w:val="center"/>
      </w:pPr>
      <w:r>
        <w:rPr>
          <w:rFonts w:ascii="David" w:cs="David" w:eastAsia="David" w:hAnsi="David"/>
          <w:b w:val="false"/>
          <w:bCs w:val="false"/>
          <w:i/>
          <w:iCs/>
          <w:color w:val="000000"/>
          <w:sz w:val="24"/>
          <w:szCs w:val="24"/>
          <w:rtl/>
        </w:rPr>
        <w:t xml:space="preserve">עבודת מחקר אמפירית במסגרת הקורס "פסיכולוגיה ניסויית"</w:t>
      </w:r>
    </w:p>
    <w:p>
      <w:pPr>
        <w:bidi/>
        <w:spacing w:after="140" w:before="0"/>
        <w:jc w:val="center"/>
      </w:pPr>
      <w:r>
        <w:rPr>
          <w:rFonts w:ascii="David" w:cs="David" w:eastAsia="David" w:hAnsi="David"/>
          <w:b w:val="false"/>
          <w:bCs w:val="false"/>
          <w:i w:val="false"/>
          <w:iCs w:val="false"/>
          <w:color w:val="000000"/>
          <w:sz w:val="24"/>
          <w:szCs w:val="24"/>
          <w:rtl/>
        </w:rPr>
        <w:t xml:space="preserve">שמות המגישים: ______________________</w:t>
      </w:r>
    </w:p>
    <w:p>
      <w:pPr>
        <w:bidi/>
        <w:spacing w:after="140" w:before="0"/>
        <w:jc w:val="center"/>
      </w:pPr>
      <w:r>
        <w:rPr>
          <w:rFonts w:ascii="David" w:cs="David" w:eastAsia="David" w:hAnsi="David"/>
          <w:b w:val="false"/>
          <w:bCs w:val="false"/>
          <w:i w:val="false"/>
          <w:iCs w:val="false"/>
          <w:color w:val="000000"/>
          <w:sz w:val="24"/>
          <w:szCs w:val="24"/>
          <w:rtl/>
        </w:rPr>
        <w:t xml:space="preserve">שם המתרגל/ת: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תאריך הגשה: ______________________</w:t>
      </w:r>
    </w:p>
    <w:p>
      <w:r>
        <w:br w:type="page"/>
      </w:r>
    </w:p>
    <w:p>
      <w:pPr>
        <w:bidi/>
        <w:spacing w:after="140"/>
        <w:jc w:val="right"/>
      </w:pPr>
      <w:r>
        <w:rPr>
          <w:rFonts w:ascii="David" w:cs="David" w:eastAsia="David" w:hAnsi="David"/>
          <w:b/>
          <w:bCs/>
          <w:i w:val="false"/>
          <w:iCs w:val="false"/>
          <w:color w:val="000000"/>
          <w:sz w:val="30"/>
          <w:szCs w:val="30"/>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במחקר זה ביקשנו לבדוק האם מקור החוללות שאליו נחשף אדם משפיע על תחושת החוללות העצמית הכללית שלו. הספרות מבחינה בין ארבעה מקורות לחוללות עצמית, ובהם חוויית שליטה, שהיא התנסות ישירה בהצלחה, וחוויה עקיפה, שהיא למידה מהתבוננות באחר שמצליח. בכדי לבחון זאת השתתפו במדגם 33 סטודנטים, אשר חולקו באקראי באמצעות תוכנת Qualtrics לשלוש קבוצות. קבוצת הניסוי התבקשה להיזכר בהצלחה אישית מהעבר, קבוצת ההשוואה קראה עדות של עמית שהתמודד והצליח, וקבוצת הביקורת ביצעה משימת כתיבה נייטרלית. לאחר מכן מילאו כלל המשתתפים את שאלון החוללות העצמית הכללית (NGSE). השערת המחקר, לפיה חוויית שליטה תעלה את תחושת החוללות יותר מן החשיפה העקיפה, אוששה באופן חלקי. נמצא הבדל מובהק בין הקבוצות, F(2,30)=5.18, p=.012, η²=.26, כך שקבוצת חוויית השליטה (M=4.05, SD=0.57) דיווחה על חוללות גבוהה יותר מקבוצת הביקורת (M=3.30, SD=0.55), ואילו קבוצת החשיפה העקיפה (M=3.70, SD=0.52) לא נבדלה מהביקורת באופן מובהק. נוסף על כך מוצגים ממצאים מהספרות, נדונות מגבלות המחקר ומוצעים מחקרי המשך.</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חשיפה עקיפה, תיאוריית בנדורה.</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מבוא</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היא אחד המושגים המרכזיים בפסיכולוגיה של המוטיבציה. היא מתייחסת לאמונת האדם ביכולתו לארגן ולבצע את הפעולות הנדרשות כדי להשיג תוצאה רצויה, ולא להערכה של הכישורים עצמם. אמונה זו משפיעה על המטרות שאדם מציב לעצמו, על המאמץ שהוא משקיע ועל ההתמדה שלו נוכח קשיים, ואנשים בעלי חוללות גבוהה נוטים לפרש מכשולים כאתגר ולא כאיום (Bandura, 1977).</w:t>
      </w:r>
    </w:p>
    <w:p>
      <w:pPr>
        <w:bidi/>
        <w:spacing w:after="160" w:before="0" w:line="360"/>
        <w:jc w:val="both"/>
      </w:pPr>
      <w:r>
        <w:rPr>
          <w:rFonts w:ascii="David" w:cs="David" w:eastAsia="David" w:hAnsi="David"/>
          <w:b w:val="false"/>
          <w:bCs w:val="false"/>
          <w:i w:val="false"/>
          <w:iCs w:val="false"/>
          <w:color w:val="000000"/>
          <w:sz w:val="24"/>
          <w:szCs w:val="24"/>
          <w:rtl/>
        </w:rPr>
        <w:t xml:space="preserve">על-פי המודל, תחושת החוללות נבנית מארבעה מקורות. הראשון הוא חוויות שליטה, כלומר הצלחות ישירות בביצוע משימות. השני הוא חוויות עקיפות, למידה מתוך התבוננות באחרים דומים שמצליחים. השלישי הוא שכנוע מילולי מהסביבה, והרביעי הוא מצבים גופניים ורגשיים והפרשנות שניתנת להם. מבין הארבעה, חוויות השליטה נחשבות למקור החזק ביותר, מפני שהן מספקות את העדות הישירה והמשכנעת ביותר ליכולת (Bandura, 1997).</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שהמודל המקורי עסק בעיקר בחוללות ספציפית למשימה, התפתח בהמשך המושג של חוללות עצמית כללית, אמונה יציבה יחסית ביכולת להתמודד עם מגוון רחב של מצבים ואתגרים. לצורך מדידתה פותח שאלון החוללות העצמית הכללית (NGSE), כלי בן שמונה פריטים שהראה עקיבות פנימית גבוהה ותכונות פסיכומטריות טובות, ונמצא עדיף על כלים קודמים (Chen, Gully, &amp; Eden, 2001).</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חוצי-תרבות תמכו בתוקף של המושג והראו כי חוללות עצמית כללית קשורה באופן עקבי לרווחה נפשית, לאופטימיות ולהתמודדות אדפטיבית עם דחק, במגוון מדינות ושפות (Luszczynska, Scholz, &amp; Schwarzer, 2005).</w:t>
      </w:r>
    </w:p>
    <w:p>
      <w:pPr>
        <w:bidi/>
        <w:spacing w:after="160" w:before="0" w:line="360"/>
        <w:jc w:val="both"/>
      </w:pPr>
      <w:r>
        <w:rPr>
          <w:rFonts w:ascii="David" w:cs="David" w:eastAsia="David" w:hAnsi="David"/>
          <w:b w:val="false"/>
          <w:bCs w:val="false"/>
          <w:i w:val="false"/>
          <w:iCs w:val="false"/>
          <w:color w:val="000000"/>
          <w:sz w:val="24"/>
          <w:szCs w:val="24"/>
          <w:rtl/>
        </w:rPr>
        <w:t xml:space="preserve">לחוללות העצמית תפקיד מרכזי במוטיבציה ובלמידה. סקירה מקיפה שתורגמה לעברית מתארת כיצד תחושת המסוגלות משפיעה על עירור ההתנהגות, על בחירת המשימות, על המאמץ ועל ההתמדה, וכיצד היא עצמה מתעצבת מהצבת מטרות, מעיבוד מידע וממשוב, ומסכמת עדויות לכך שהיא מנבאת תוצאות מוטיבציוניות ולימודיות (שאנק, 2001).</w:t>
      </w:r>
    </w:p>
    <w:p>
      <w:pPr>
        <w:bidi/>
        <w:spacing w:after="160" w:before="0" w:line="360"/>
        <w:jc w:val="both"/>
      </w:pPr>
      <w:r>
        <w:rPr>
          <w:rFonts w:ascii="David" w:cs="David" w:eastAsia="David" w:hAnsi="David"/>
          <w:b w:val="false"/>
          <w:bCs w:val="false"/>
          <w:i w:val="false"/>
          <w:iCs w:val="false"/>
          <w:color w:val="000000"/>
          <w:sz w:val="24"/>
          <w:szCs w:val="24"/>
          <w:rtl/>
        </w:rPr>
        <w:t xml:space="preserve">עדות עדכנית לקשר הזה עולה ממחקר רחב היקף שנערך על יותר מ-2,300 תלמידים. נמצא בו שתחושת החוללות העצמית היא המנבא החזק ביותר של הישגים לימודיים, חזק אף מהמוטיבציה עצמה, ושהיא מתווכת את הקשר בין תמיכה בצרכים הפסיכולוגיים לבין ההישגים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בהקשר של למידה מקוונת, שהתרחבה מאוד בשנים האחרונות, נבחן הכוח המנבא של החוללות. נמצא שחוללות עצמית וחוסן מנבאים יחד את המוטיבציה הלימודית של סטודנטים, כך שככל שתחושת המסוגלות גבוהה יותר, כך המוטיבציה גבוהה יותר (Abdolrezapour, Jahanbakhsh Ganjeh, &amp; Ghanbari, 2023).</w:t>
      </w:r>
    </w:p>
    <w:p>
      <w:pPr>
        <w:bidi/>
        <w:spacing w:after="160" w:before="0" w:line="360"/>
        <w:jc w:val="both"/>
      </w:pPr>
      <w:r>
        <w:rPr>
          <w:rFonts w:ascii="David" w:cs="David" w:eastAsia="David" w:hAnsi="David"/>
          <w:b w:val="false"/>
          <w:bCs w:val="false"/>
          <w:i w:val="false"/>
          <w:iCs w:val="false"/>
          <w:color w:val="000000"/>
          <w:sz w:val="24"/>
          <w:szCs w:val="24"/>
          <w:rtl/>
        </w:rPr>
        <w:t xml:space="preserve">גם בישראל נחקרה תחושת המסוגלות בהקשרים חינוכיים. עבודה שעסקה במסוגלות של מורים דנה במשמעות המושג, בדרכים למדוד אותו, ובתפקיד שיכול למלא היועץ החינוכי בחיזוק תחושת המסוגלות של המורה (לב וריץ', 1999).</w:t>
      </w:r>
    </w:p>
    <w:p>
      <w:pPr>
        <w:bidi/>
        <w:spacing w:after="160" w:before="0" w:line="360"/>
        <w:jc w:val="both"/>
      </w:pPr>
      <w:r>
        <w:rPr>
          <w:rFonts w:ascii="David" w:cs="David" w:eastAsia="David" w:hAnsi="David"/>
          <w:b w:val="false"/>
          <w:bCs w:val="false"/>
          <w:i w:val="false"/>
          <w:iCs w:val="false"/>
          <w:color w:val="000000"/>
          <w:sz w:val="24"/>
          <w:szCs w:val="24"/>
          <w:rtl/>
        </w:rPr>
        <w:t xml:space="preserve">מחקר מאוחר יותר הרחיב את היריעה לבעלי תפקידים נוספים במערכת החינוך, ובחן את תחושת המסוגלות העצמית של סייעות פדגוגיות העובדות עם תלמידים בעלי צרכים מיוחדים, תוך עמידה על המשאבים והאתגרים המעצבים אותה (גרינבנק ואגם בן-ארצי, 2018).</w:t>
      </w:r>
    </w:p>
    <w:p>
      <w:pPr>
        <w:bidi/>
        <w:spacing w:after="160" w:before="0" w:line="360"/>
        <w:jc w:val="both"/>
      </w:pPr>
      <w:r>
        <w:rPr>
          <w:rFonts w:ascii="David" w:cs="David" w:eastAsia="David" w:hAnsi="David"/>
          <w:b w:val="false"/>
          <w:bCs w:val="false"/>
          <w:i w:val="false"/>
          <w:iCs w:val="false"/>
          <w:color w:val="000000"/>
          <w:sz w:val="24"/>
          <w:szCs w:val="24"/>
          <w:rtl/>
        </w:rPr>
        <w:t xml:space="preserve">בזירת ההכלה נבדק הקשר בין תחושת המסוגלות העצמית של מורים לבין עמדות והתנהגויות כלפי תלמידים עם הפרעת למידה ספציפית, ונמצא שתחושת מסוגלות גבוהה נקשרת ליכולת הכלה ולאמפתיה רבה יותר כלפי תלמידים אלה (זבידאת, דלאשה ובשיר, 2019).</w:t>
      </w:r>
    </w:p>
    <w:p>
      <w:pPr>
        <w:bidi/>
        <w:spacing w:after="160" w:before="0" w:line="360"/>
        <w:jc w:val="both"/>
      </w:pPr>
      <w:r>
        <w:rPr>
          <w:rFonts w:ascii="David" w:cs="David" w:eastAsia="David" w:hAnsi="David"/>
          <w:b w:val="false"/>
          <w:bCs w:val="false"/>
          <w:i w:val="false"/>
          <w:iCs w:val="false"/>
          <w:color w:val="000000"/>
          <w:sz w:val="24"/>
          <w:szCs w:val="24"/>
          <w:rtl/>
        </w:rPr>
        <w:t xml:space="preserve">בחברה הערבית בישראל נבחנה תחושת המסוגלות של מטפלות-מחנכות בגיל הרך ביחס לשחיקה, לנדידת מחשבות ולתפיסת הקשר עם ההורים, ונמצא שקשר חיובי עם ההורים נקשר לתחושת מסוגלות עצמית גבוהה יותר, ממצא המדגיש את חשיבות הסביבה היחסית בעיצוב המסוגלות (אבו-אסעד ואביטן, 2020).</w:t>
      </w:r>
    </w:p>
    <w:p>
      <w:pPr>
        <w:bidi/>
        <w:spacing w:after="160" w:before="0" w:line="360"/>
        <w:jc w:val="both"/>
      </w:pPr>
      <w:r>
        <w:rPr>
          <w:rFonts w:ascii="David" w:cs="David" w:eastAsia="David" w:hAnsi="David"/>
          <w:b w:val="false"/>
          <w:bCs w:val="false"/>
          <w:i w:val="false"/>
          <w:iCs w:val="false"/>
          <w:color w:val="000000"/>
          <w:sz w:val="24"/>
          <w:szCs w:val="24"/>
          <w:rtl/>
        </w:rPr>
        <w:t xml:space="preserve">אף שהתיאוריה מנוסחת היטב, מחקרים ניסוייים קצרים שמשווים ישירות בין שני מקורות החוללות המרכזיים, חוויית שליטה וחשיפה עקיפה, מעטים יחסית. המחקר הנוכחי מבקש לבחון בתנאי מעבדה מבוקרים האם אינדוקציה קצרה מספיקה כדי להעלות את תחושת החוללות, ואיזה מבין שני המקורות אפקטיבי יותר, בהשוואה לתנאי ביקורת נייטרלי. בהתאם לטענת בנדורה שחוויות שליטה הן המקור החזק ביותר, השערת המחקר הייתה שקבוצת חוויית השליטה תדווח על החוללות הגבוהה ביותר, שקבוצת החשיפה העקיפה תדווח על חוללות גבוהה מן הביקורת אך נמוכה מחוויית השליטה, ושקבוצת הביקורת תדווח על החוללות הנמוכה ביותר.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שיטה</w:t>
      </w:r>
    </w:p>
    <w:p>
      <w:pPr>
        <w:pStyle w:val="Heading2"/>
        <w:bidi/>
        <w:spacing w:after="100" w:before="180"/>
        <w:jc w:val="right"/>
      </w:pPr>
      <w:r>
        <w:rPr>
          <w:rFonts w:ascii="David" w:cs="David" w:eastAsia="David" w:hAnsi="David"/>
          <w:b/>
          <w:bCs/>
          <w:i w:val="false"/>
          <w:iCs w:val="false"/>
          <w:color w:val="000000"/>
          <w:sz w:val="26"/>
          <w:szCs w:val="26"/>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שהתנדבו למחקר, ובהם 21 נשים ו-12 גברים. גיל המשתתפים נע בין 18 ל-31 (M=24.3, SD=2.8). מבחינת השכלה, 60.6% מהמשתתפים בעלי השכלה אקדמית, 27.3% בעלי השכלה תיכונית ו-12.1% בעלי לימודי תעודה. מבחינת אזור מגורים, 42.4% מתגוררים במרכז, 30.3% בדרום, 18.2% בצפון ו-9.1% ביהודה ושומרון. המשתתפים הוקצו מקרית לתנאי המחקר באמצעות תוכנת Qualtrics, כך שבכל אחת משלוש הקבוצות נכללו 11 משתתפים.</w:t>
      </w:r>
    </w:p>
    <w:p>
      <w:pPr>
        <w:pStyle w:val="Heading2"/>
        <w:bidi/>
        <w:spacing w:after="100" w:before="180"/>
        <w:jc w:val="right"/>
      </w:pPr>
      <w:r>
        <w:rPr>
          <w:rFonts w:ascii="David" w:cs="David" w:eastAsia="David" w:hAnsi="David"/>
          <w:b/>
          <w:bCs/>
          <w:i w:val="false"/>
          <w:iCs w:val="false"/>
          <w:color w:val="000000"/>
          <w:sz w:val="26"/>
          <w:szCs w:val="26"/>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דמוגרפי. </w:t>
      </w:r>
      <w:r>
        <w:rPr>
          <w:rFonts w:ascii="David" w:cs="David" w:eastAsia="David" w:hAnsi="David"/>
          <w:b w:val="false"/>
          <w:bCs w:val="false"/>
          <w:i w:val="false"/>
          <w:iCs w:val="false"/>
          <w:color w:val="000000"/>
          <w:sz w:val="24"/>
          <w:szCs w:val="24"/>
          <w:rtl/>
        </w:rPr>
        <w:t xml:space="preserve">השאלון הדמוגרפי כלל ארבע שאלות שעסקו במגדר, בגיל, בהשכלה ובמקום המגורים (ראו נספח 1).</w:t>
      </w:r>
    </w:p>
    <w:p>
      <w:pPr>
        <w:bidi/>
        <w:spacing w:after="160" w:before="0" w:line="360"/>
        <w:jc w:val="both"/>
      </w:pPr>
      <w:r>
        <w:rPr>
          <w:rFonts w:ascii="David" w:cs="David" w:eastAsia="David" w:hAnsi="David"/>
          <w:b/>
          <w:bCs/>
          <w:i w:val="false"/>
          <w:iCs w:val="false"/>
          <w:color w:val="000000"/>
          <w:sz w:val="24"/>
          <w:szCs w:val="24"/>
          <w:rtl/>
        </w:rPr>
        <w:t xml:space="preserve">מניפולציית מקור החוללות. </w:t>
      </w:r>
      <w:r>
        <w:rPr>
          <w:rFonts w:ascii="David" w:cs="David" w:eastAsia="David" w:hAnsi="David"/>
          <w:b w:val="false"/>
          <w:bCs w:val="false"/>
          <w:i w:val="false"/>
          <w:iCs w:val="false"/>
          <w:color w:val="000000"/>
          <w:sz w:val="24"/>
          <w:szCs w:val="24"/>
          <w:rtl/>
        </w:rPr>
        <w:t xml:space="preserve">המניפולציה כללה שלושה תנאים. בתנאי הניסוי (חוויית שליטה) התבקשו המשתתפים להיזכר ולתאר בכתב, במשך כארבע דקות, אירוע מן העבר שבו התמודדו עם משימה מאתגרת והצליחו בה בזכות מאמץ. בתנאי ההשוואה (חשיפה עקיפה) קראו המשתתפים עדות קצרה בגוף ראשון של סטודנט שהתמודד בהצלחה עם אתגר לימודי, והתבקשו להרהר בה. בתנאי הביקורת התבקשו המשתתפים לתאר בכתב את מסלול ההגעה היומי שלהם אל מקום הלימודים, משימה נייטרלית שאינה קשורה למסוגלות (ראו נספח 2).</w:t>
      </w:r>
    </w:p>
    <w:p>
      <w:pPr>
        <w:bidi/>
        <w:spacing w:after="160" w:before="0" w:line="360"/>
        <w:jc w:val="both"/>
      </w:pPr>
      <w:r>
        <w:rPr>
          <w:rFonts w:ascii="David" w:cs="David" w:eastAsia="David" w:hAnsi="David"/>
          <w:b/>
          <w:bCs/>
          <w:i w:val="false"/>
          <w:iCs w:val="false"/>
          <w:color w:val="000000"/>
          <w:sz w:val="24"/>
          <w:szCs w:val="24"/>
          <w:rtl/>
        </w:rPr>
        <w:t xml:space="preserve">שאלון חוללות עצמית כללית. </w:t>
      </w:r>
      <w:r>
        <w:rPr>
          <w:rFonts w:ascii="David" w:cs="David" w:eastAsia="David" w:hAnsi="David"/>
          <w:b w:val="false"/>
          <w:bCs w:val="false"/>
          <w:i w:val="false"/>
          <w:iCs w:val="false"/>
          <w:color w:val="000000"/>
          <w:sz w:val="24"/>
          <w:szCs w:val="24"/>
          <w:rtl/>
        </w:rPr>
        <w:t xml:space="preserve">במחקר נעשה שימוש בשאלון החוללות העצמית הכללית (Chen, Gully, &amp; Eden, 2001) הכולל שמונה היגדים, המדורגים בסולם ליקרט בן חמש דרגות מ-1 (מתנגד מאוד) עד 5 (מסכים מאוד). ציון החוללות חושב כממוצע שמונת ההיגדים. לדוגמה: "אני יכול להשיג את מרבית המטרות שהצבתי לעצמי". לשאלון נמצאה מהימנות גבוהה (אלפא של קרונבך = .87) (ראו נספח 3).</w:t>
      </w:r>
    </w:p>
    <w:p>
      <w:pPr>
        <w:pStyle w:val="Heading2"/>
        <w:bidi/>
        <w:spacing w:after="100" w:before="180"/>
        <w:jc w:val="right"/>
      </w:pPr>
      <w:r>
        <w:rPr>
          <w:rFonts w:ascii="David" w:cs="David" w:eastAsia="David" w:hAnsi="David"/>
          <w:b/>
          <w:bCs/>
          <w:i w:val="false"/>
          <w:iCs w:val="false"/>
          <w:color w:val="000000"/>
          <w:sz w:val="26"/>
          <w:szCs w:val="26"/>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המשתתפים ענו על השאלונים באופן דיגיטלי באמצעות תוכנת Qualtrics, אליה נכנסו דרך קישור שנשלח אליהם. עם הכניסה הוצגו בפניהם הוראות והסבר כללי, ומטרת המחקר המדויקת לא נחשפה, אלא הוצג נושאו הכללי בלבד. משתתפים שנתנו את הסכמתם מדעת מילאו תחילה שאלון דמוגרפי קצר, ולאחר מכן הוקצו מקרית לאחד משלושת התנאים וביצעו את משימת המניפולציה המתאימה. מיד לאחר מכן הועברו למילוי שאלון החוללות העצמית. בסיום הוצגה הודעת תודה על ההשתתפות במחקר.</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תוצאות</w:t>
      </w:r>
    </w:p>
    <w:p>
      <w:pPr>
        <w:bidi/>
        <w:spacing w:after="160" w:before="0" w:line="360"/>
        <w:jc w:val="both"/>
      </w:pPr>
      <w:r>
        <w:rPr>
          <w:rFonts w:ascii="David" w:cs="David" w:eastAsia="David" w:hAnsi="David"/>
          <w:b w:val="false"/>
          <w:bCs w:val="false"/>
          <w:i w:val="false"/>
          <w:iCs w:val="false"/>
          <w:color w:val="000000"/>
          <w:sz w:val="24"/>
          <w:szCs w:val="24"/>
          <w:rtl/>
        </w:rPr>
        <w:t xml:space="preserve">ציון החוללות העצמית חושב כממוצע שמונת ההיגדים בשאלון עבור כל נבדק. משתתפי קבוצת חוויית השליטה קודדו כ-1, משתתפי קבוצת החשיפה העקיפה כ-2, ומשתתפי קבוצת הביקורת כ-3. לאחר מכן חושבו ממוצע וסטיית תקן של רמת החוללות בכל קבוצה. הסטטיסטיקה התיאורית מוצגת בטבלה 1.</w:t>
      </w:r>
    </w:p>
    <w:p>
      <w:pPr>
        <w:bidi/>
        <w:spacing w:after="80" w:before="80"/>
        <w:jc w:val="center"/>
      </w:pPr>
      <w:r>
        <w:rPr>
          <w:rFonts w:ascii="David" w:cs="David" w:eastAsia="David" w:hAnsi="David"/>
          <w:b/>
          <w:bCs/>
          <w:i w:val="false"/>
          <w:iCs w:val="false"/>
          <w:color w:val="000000"/>
          <w:sz w:val="24"/>
          <w:szCs w:val="24"/>
          <w:rtl/>
        </w:rPr>
        <w:t xml:space="preserve">טבלה 1</w:t>
      </w:r>
      <w:r>
        <w:rPr>
          <w:rFonts w:ascii="David" w:cs="David" w:eastAsia="David" w:hAnsi="David"/>
          <w:b w:val="false"/>
          <w:bCs w:val="false"/>
          <w:i w:val="false"/>
          <w:iCs w:val="false"/>
          <w:color w:val="000000"/>
          <w:sz w:val="24"/>
          <w:szCs w:val="24"/>
          <w:rtl/>
        </w:rPr>
        <w:t xml:space="preserve">: ממוצעים וסטיות תקן של רמת החוללות העצמית בקבוצות המחקר</w:t>
      </w:r>
    </w:p>
    <w:tbl>
      <w:tblPr>
        <w:bidiVisual/>
        <w:tblW w:type="dxa" w:w="91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1500"/>
        <w:gridCol w:w="2100"/>
        <w:gridCol w:w="2100"/>
      </w:tblGrid>
      <w:tr>
        <w:trPr>
          <w:tblHeader/>
        </w:trPr>
        <w:tc>
          <w:tcPr>
            <w:tcW w:type="dxa" w:w="34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קבוצה</w:t>
            </w:r>
          </w:p>
        </w:tc>
        <w:tc>
          <w:tcPr>
            <w:tcW w:type="dxa" w:w="15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N</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ממוצע</w:t>
            </w:r>
          </w:p>
        </w:tc>
        <w:tc>
          <w:tcPr>
            <w:tcW w:type="dxa" w:w="2100"/>
            <w:tcMar>
              <w:top w:type="dxa" w:w="50"/>
              <w:left w:type="dxa" w:w="80"/>
              <w:bottom w:type="dxa" w:w="50"/>
              <w:right w:type="dxa" w:w="80"/>
            </w:tcMar>
          </w:tcPr>
          <w:p>
            <w:pPr>
              <w:bidi/>
              <w:spacing w:after="0" w:line="260"/>
              <w:jc w:val="center"/>
            </w:pPr>
            <w:r>
              <w:rPr>
                <w:rFonts w:ascii="David" w:cs="David" w:eastAsia="David" w:hAnsi="David"/>
                <w:b/>
                <w:bCs/>
                <w:i w:val="false"/>
                <w:iCs w:val="false"/>
                <w:color w:val="000000"/>
                <w:sz w:val="24"/>
                <w:szCs w:val="24"/>
                <w:rtl/>
              </w:rPr>
              <w:t xml:space="preserve">ס"ת</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חוויית שליטה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4.05</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0.57</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חשיפה עקיפה</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3.70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0.52</w:t>
            </w:r>
          </w:p>
        </w:tc>
      </w:tr>
      <w:tr>
        <w:tc>
          <w:tcPr>
            <w:tcW w:type="dxa" w:w="34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ביקורת</w:t>
            </w:r>
          </w:p>
        </w:tc>
        <w:tc>
          <w:tcPr>
            <w:tcW w:type="dxa" w:w="15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11</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3.30</w:t>
            </w:r>
          </w:p>
        </w:tc>
        <w:tc>
          <w:tcPr>
            <w:tcW w:type="dxa" w:w="2100"/>
            <w:tcMar>
              <w:top w:type="dxa" w:w="50"/>
              <w:left w:type="dxa" w:w="80"/>
              <w:bottom w:type="dxa" w:w="50"/>
              <w:right w:type="dxa" w:w="80"/>
            </w:tcMar>
          </w:tcPr>
          <w:p>
            <w:pPr>
              <w:bidi/>
              <w:spacing w:after="0" w:line="260"/>
              <w:jc w:val="center"/>
            </w:pPr>
            <w:r>
              <w:rPr>
                <w:rFonts w:ascii="David" w:cs="David" w:eastAsia="David" w:hAnsi="David"/>
                <w:b w:val="false"/>
                <w:bCs w:val="false"/>
                <w:i w:val="false"/>
                <w:iCs w:val="false"/>
                <w:color w:val="000000"/>
                <w:sz w:val="24"/>
                <w:szCs w:val="24"/>
                <w:rtl/>
              </w:rPr>
              <w:t xml:space="preserve">0.55</w:t>
            </w:r>
          </w:p>
        </w:tc>
      </w:tr>
    </w:tbl>
    <w:p>
      <w:pPr>
        <w:bidi/>
        <w:spacing w:after="160" w:before="80" w:line="360"/>
        <w:jc w:val="both"/>
      </w:pPr>
      <w:r>
        <w:rPr>
          <w:rFonts w:ascii="David" w:cs="David" w:eastAsia="David" w:hAnsi="David"/>
          <w:b w:val="false"/>
          <w:bCs w:val="false"/>
          <w:i w:val="false"/>
          <w:iCs w:val="false"/>
          <w:color w:val="000000"/>
          <w:sz w:val="24"/>
          <w:szCs w:val="24"/>
          <w:rtl/>
        </w:rPr>
        <w:t xml:space="preserve">הנחת שוויון השונויות נבדקה במבחן Levene ולא הופרה (p=.71). על מנת לבדוק את השערת המחקר בוצע ניתוח שונות חד-גורמי בין נבדקים (One-Way ANOVA). נמצא הבדל מובהק בין הקבוצות ברמת החוללות העצמית, F(2,30)=5.18, p=.012, η²=.26, כלומר גודל אפקט גדול.</w:t>
      </w:r>
    </w:p>
    <w:p>
      <w:pPr>
        <w:bidi/>
        <w:spacing w:after="160" w:before="0" w:line="360"/>
        <w:jc w:val="both"/>
      </w:pPr>
      <w:r>
        <w:rPr>
          <w:rFonts w:ascii="David" w:cs="David" w:eastAsia="David" w:hAnsi="David"/>
          <w:b w:val="false"/>
          <w:bCs w:val="false"/>
          <w:i w:val="false"/>
          <w:iCs w:val="false"/>
          <w:color w:val="000000"/>
          <w:sz w:val="24"/>
          <w:szCs w:val="24"/>
          <w:rtl/>
        </w:rPr>
        <w:t xml:space="preserve">מבחני המשך בשיטת Tukey HSD הראו שקבוצת חוויית השליטה (M=4.05, SD=0.57) דיווחה על חוללות גבוהה יותר באופן מובהק מקבוצת הביקורת (M=3.30, SD=0.55), בהפרש של 0.75 (p=.008). לעומת זאת, קבוצת החשיפה העקיפה (M=3.70, SD=0.52) לא נבדלה מקבוצת הביקורת באופן מובהק (p=.21), וגם ההפרש בינה לבין קבוצת חוויית השליטה לא הגיע למובהקות (p=.30). ממצאים אלו מוצגים גם באיור 1.</w:t>
      </w:r>
    </w:p>
    <w:p>
      <w:pPr>
        <w:bidi/>
        <w:spacing w:after="60" w:before="120"/>
        <w:jc w:val="center"/>
      </w:pPr>
      <w:r>
        <w:drawing>
          <wp:inline distT="0" distB="0" distL="0" distR="0">
            <wp:extent cx="4000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971800"/>
                    </a:xfrm>
                    <a:prstGeom prst="rect">
                      <a:avLst/>
                    </a:prstGeom>
                  </pic:spPr>
                </pic:pic>
              </a:graphicData>
            </a:graphic>
          </wp:inline>
        </w:drawing>
      </w:r>
    </w:p>
    <w:p>
      <w:pPr>
        <w:bidi/>
        <w:spacing w:after="16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לפי קבוצה. קווי השגיאה מייצגים רווח סמך של 95%.</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הנוכחי הייתה לבחון את השפעתם של שני מקורות החוללות המרכזיים, חוויית שליטה וחשיפה עקיפה, על תחושת החוללות העצמית הכללית. ההשערה אוששה באופן חלקי. קבוצת חוויית השליטה דיווחה על החוללות הגבוהה ביותר ונבדלה באופן מובהק מקבוצת הביקורת, בעוד שקבוצת החשיפה העקיפה נמצאה בתווך אך לא נבדלה מהביקורת באופן מובהק.</w:t>
      </w:r>
    </w:p>
    <w:p>
      <w:pPr>
        <w:bidi/>
        <w:spacing w:after="160" w:before="0" w:line="360"/>
        <w:jc w:val="both"/>
      </w:pPr>
      <w:r>
        <w:rPr>
          <w:rFonts w:ascii="David" w:cs="David" w:eastAsia="David" w:hAnsi="David"/>
          <w:b w:val="false"/>
          <w:bCs w:val="false"/>
          <w:i w:val="false"/>
          <w:iCs w:val="false"/>
          <w:color w:val="000000"/>
          <w:sz w:val="24"/>
          <w:szCs w:val="24"/>
          <w:rtl/>
        </w:rPr>
        <w:t xml:space="preserve">הממצא שלפיו היזכרות בהצלחה אישית העלתה את תחושת החוללות עולה בקנה אחד עם הטענה של בנדורה, שלפיה חוויות שליטה הן המקור החזק ביותר לחוללות עצמית (Bandura, 1997). התוצאה גם מתיישבת עם ממצאים לפיהם תחושת המסוגלות ניתנת לחיזוק ומשפיעה על מוטיבציה ועל הישגים (שאנק, 2001; Basileo et al., 2024).</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בקבוצת החשיפה העקיפה ניתן להסבר בכמה דרכים. לפי בנדורה (Bandura, 1997), עוצמת ההשפעה של מודל תלויה במידת הדמיון הנתפס בינו לבין הצופה, וייתכן שעדות כתובה של עמית אנונימי לא יצרה תחושת דמיון מספקת. בנוסף, קריאת טקסט קצר עשויה להיות פחות משכנעת מהתבוננות במודל חי, וייתכן שחשיפה חד-פעמית אינה מספיקה כדי להשפיע.</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כמה מגבלות. ראשית, המדגם קטן (N=33) ומורכב מסטודנטים בלבד, ולכן ההכללה מוגבלת והעוצמה הסטטיסטית נמוכה. שנית, המחקר נשען על דיווח עצמי, שחשוף להטיית רצייה חברתית. שלישית, לא נמדדה רמת החוללות לפני המניפולציה, כך שההשוואה בין-נבדקית בלבד. רביעית, לא נכלל מבחן מניפולציה שיוודא שהמשימות אכן הפעילו את התהליכים המיועדים, והמדידה נגעה להשפעה מיידית ומצבית בלבד.</w:t>
      </w:r>
    </w:p>
    <w:p>
      <w:pPr>
        <w:bidi/>
        <w:spacing w:after="160" w:before="0" w:line="360"/>
        <w:jc w:val="both"/>
      </w:pPr>
      <w:r>
        <w:rPr>
          <w:rFonts w:ascii="David" w:cs="David" w:eastAsia="David" w:hAnsi="David"/>
          <w:b w:val="false"/>
          <w:bCs w:val="false"/>
          <w:i w:val="false"/>
          <w:iCs w:val="false"/>
          <w:color w:val="000000"/>
          <w:sz w:val="24"/>
          <w:szCs w:val="24"/>
          <w:rtl/>
        </w:rPr>
        <w:t xml:space="preserve">מחקרי המשך יוכלו להגדיל ולגוון את המדגם, להוסיף מדידת בסיס ותכנון עם מדידות חוזרות, ולחזק את מניפולציית החשיפה העקיפה, למשל באמצעות מודל וידאו חי או מודל דומה למשתתף. כדאי גם להוסיף מבחן מניפולציה ולבחון את עמידות האפקט לאורך זמן. חרף מגבלותיו, המחקר ממחיש שאף התערבות קצרה של היזכרות בהצלחה יכולה להעלות את תחושת המסוגלות, ממצא בעל ערך יישומי בהקשרים חינוכיים וטיפוליים.</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ביבליוגרפיה</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אבו-אסעד, א', ואביטן, ע' (2020). הקשר בין מסוגלות עצמית לבין נדידת מחשבות, יחסים עם הורים ושחיקה בקרב מטפלות-מחנכות בגיל הרך בחברה הערבית. מעיינות, ד.</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גרינבנק, א', ואגם בן-ארצי, ג' (2018). תחושת המסוגלות העצמית של סייעות פדגוגיות העובדות עם תלמידים עם צרכים מיוחדים. מפגש לעבודה חינוכית-סוציאלית, 26(47), 53-73.</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זבידאת, א', דלאשה, ו', ובשיר, ס' (2019). הכלה, מסוגלות עצמית ואמפתיה כלפי תלמידים עם הפרעת למידה ספציפית. במעגלי חינוך: מחקר, עיון ויצירה, 8. המכללה האקדמית לחינוך ע"ש דוד ילין.</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לב, ס', וריץ', י' (1999). מסוגלות מורים: משמעותה, מדידתה ותרומתו של היועץ לחיזוקה. עיונים בחינוך, 4(1), 87-117.</w:t>
      </w:r>
    </w:p>
    <w:p>
      <w:pPr>
        <w:bidi/>
        <w:spacing w:after="140" w:line="360"/>
        <w:ind w:start="720" w:hanging="720"/>
        <w:jc w:val="right"/>
      </w:pPr>
      <w:r>
        <w:rPr>
          <w:rFonts w:ascii="David" w:cs="David" w:eastAsia="David" w:hAnsi="David"/>
          <w:b w:val="false"/>
          <w:bCs w:val="false"/>
          <w:i w:val="false"/>
          <w:iCs w:val="false"/>
          <w:color w:val="000000"/>
          <w:sz w:val="24"/>
          <w:szCs w:val="24"/>
          <w:rtl/>
        </w:rPr>
        <w:t xml:space="preserve">שאנק, ד' ה' (2001). מסוגלות עצמית ומוטיבציה לימודית. חינוך החשיבה, 20, 55-77. מכון ברנקו וייס. (תורגם מ: Schunk, D. H. (1991). Self-efficacy and academic motivation. Educational Psychologist, 26(3-4), 207-231.)</w:t>
      </w:r>
    </w:p>
    <w:p>
      <w:pPr>
        <w:spacing w:after="140" w:line="360"/>
        <w:ind w:left="720" w:hanging="720"/>
        <w:jc w:val="left"/>
      </w:pPr>
      <w:r>
        <w:rPr>
          <w:rFonts w:ascii="David" w:cs="David" w:eastAsia="David" w:hAnsi="David"/>
          <w:i w:val="false"/>
          <w:iCs w:val="false"/>
          <w:sz w:val="24"/>
          <w:szCs w:val="24"/>
        </w:rPr>
        <w:t xml:space="preserve">Abdolrezapour, P., Jahanbakhsh Ganjeh, S., &amp; Ghanbari, N. (2023). Self-efficacy and resilience as predictors of students’ academic motivation in online education. </w:t>
      </w:r>
      <w:r>
        <w:rPr>
          <w:rFonts w:ascii="David" w:cs="David" w:eastAsia="David" w:hAnsi="David"/>
          <w:i/>
          <w:iCs/>
          <w:sz w:val="24"/>
          <w:szCs w:val="24"/>
        </w:rPr>
        <w:t xml:space="preserve">PLOS ONE, 18</w:t>
      </w:r>
      <w:r>
        <w:rPr>
          <w:rFonts w:ascii="David" w:cs="David" w:eastAsia="David" w:hAnsi="David"/>
          <w:i w:val="false"/>
          <w:iCs w:val="false"/>
          <w:sz w:val="24"/>
          <w:szCs w:val="24"/>
        </w:rPr>
        <w:t xml:space="preserve">(5), e0285984. https://doi.org/10.1371/journal.pone.0285984</w:t>
      </w:r>
    </w:p>
    <w:p>
      <w:pPr>
        <w:spacing w:after="140" w:line="360"/>
        <w:ind w:left="720" w:hanging="720"/>
        <w:jc w:val="left"/>
      </w:pPr>
      <w:r>
        <w:rPr>
          <w:rFonts w:ascii="David" w:cs="David" w:eastAsia="David" w:hAnsi="David"/>
          <w:i w:val="false"/>
          <w:iCs w:val="false"/>
          <w:sz w:val="24"/>
          <w:szCs w:val="24"/>
        </w:rPr>
        <w:t xml:space="preserve">Bandura, A. (1977). Self-efficacy: Toward a unifying theory of behavioral change. </w:t>
      </w:r>
      <w:r>
        <w:rPr>
          <w:rFonts w:ascii="David" w:cs="David" w:eastAsia="David" w:hAnsi="David"/>
          <w:i/>
          <w:iCs/>
          <w:sz w:val="24"/>
          <w:szCs w:val="24"/>
        </w:rPr>
        <w:t xml:space="preserve">Psychological Review, 84</w:t>
      </w:r>
      <w:r>
        <w:rPr>
          <w:rFonts w:ascii="David" w:cs="David" w:eastAsia="David" w:hAnsi="David"/>
          <w:i w:val="false"/>
          <w:iCs w:val="false"/>
          <w:sz w:val="24"/>
          <w:szCs w:val="24"/>
        </w:rPr>
        <w:t xml:space="preserve">(2), 191-215. https://doi.org/10.1037/0033-295X.84.2.191</w:t>
      </w:r>
    </w:p>
    <w:p>
      <w:pPr>
        <w:spacing w:after="140" w:line="360"/>
        <w:ind w:left="720" w:hanging="720"/>
        <w:jc w:val="left"/>
      </w:pPr>
      <w:r>
        <w:rPr>
          <w:rFonts w:ascii="David" w:cs="David" w:eastAsia="David" w:hAnsi="David"/>
          <w:i w:val="false"/>
          <w:iCs w:val="false"/>
          <w:sz w:val="24"/>
          <w:szCs w:val="24"/>
        </w:rPr>
        <w:t xml:space="preserve">Bandura, A. (1997). </w:t>
      </w:r>
      <w:r>
        <w:rPr>
          <w:rFonts w:ascii="David" w:cs="David" w:eastAsia="David" w:hAnsi="David"/>
          <w:i/>
          <w:iCs/>
          <w:sz w:val="24"/>
          <w:szCs w:val="24"/>
        </w:rPr>
        <w:t xml:space="preserve">Self-efficacy: The exercise of control</w:t>
      </w:r>
      <w:r>
        <w:rPr>
          <w:rFonts w:ascii="David" w:cs="David" w:eastAsia="David" w:hAnsi="David"/>
          <w:i w:val="false"/>
          <w:iCs w:val="false"/>
          <w:sz w:val="24"/>
          <w:szCs w:val="24"/>
        </w:rPr>
        <w:t xml:space="preserve">. W. H. Freeman.</w:t>
      </w:r>
    </w:p>
    <w:p>
      <w:pPr>
        <w:spacing w:after="140" w:line="360"/>
        <w:ind w:left="720" w:hanging="720"/>
        <w:jc w:val="left"/>
      </w:pPr>
      <w:r>
        <w:rPr>
          <w:rFonts w:ascii="David" w:cs="David" w:eastAsia="David" w:hAnsi="David"/>
          <w:i w:val="false"/>
          <w:iCs w:val="false"/>
          <w:sz w:val="24"/>
          <w:szCs w:val="24"/>
        </w:rPr>
        <w:t xml:space="preserve">Basileo, L. D., Otto, B., Lyons, M., Vannini, N., &amp; Toth, M. D. (2024). The role of self-efficacy, motivation, and perceived support of students’ basic psychological needs in academic achievement. </w:t>
      </w:r>
      <w:r>
        <w:rPr>
          <w:rFonts w:ascii="David" w:cs="David" w:eastAsia="David" w:hAnsi="David"/>
          <w:i/>
          <w:iCs/>
          <w:sz w:val="24"/>
          <w:szCs w:val="24"/>
        </w:rPr>
        <w:t xml:space="preserve">Frontiers in Education, 9</w:t>
      </w:r>
      <w:r>
        <w:rPr>
          <w:rFonts w:ascii="David" w:cs="David" w:eastAsia="David" w:hAnsi="David"/>
          <w:i w:val="false"/>
          <w:iCs w:val="false"/>
          <w:sz w:val="24"/>
          <w:szCs w:val="24"/>
        </w:rPr>
        <w:t xml:space="preserve">, 1385442. https://doi.org/10.3389/feduc.2024.1385442</w:t>
      </w:r>
    </w:p>
    <w:p>
      <w:pPr>
        <w:spacing w:after="140" w:line="360"/>
        <w:ind w:left="720" w:hanging="720"/>
        <w:jc w:val="left"/>
      </w:pPr>
      <w:r>
        <w:rPr>
          <w:rFonts w:ascii="David" w:cs="David" w:eastAsia="David" w:hAnsi="David"/>
          <w:i w:val="false"/>
          <w:iCs w:val="false"/>
          <w:sz w:val="24"/>
          <w:szCs w:val="24"/>
        </w:rPr>
        <w:t xml:space="preserve">Chen, G., Gully, S. M., &amp; Eden, D. (2001). Validation of a new general self-efficacy scale. </w:t>
      </w:r>
      <w:r>
        <w:rPr>
          <w:rFonts w:ascii="David" w:cs="David" w:eastAsia="David" w:hAnsi="David"/>
          <w:i/>
          <w:iCs/>
          <w:sz w:val="24"/>
          <w:szCs w:val="24"/>
        </w:rPr>
        <w:t xml:space="preserve">Organizational Research Methods, 4</w:t>
      </w:r>
      <w:r>
        <w:rPr>
          <w:rFonts w:ascii="David" w:cs="David" w:eastAsia="David" w:hAnsi="David"/>
          <w:i w:val="false"/>
          <w:iCs w:val="false"/>
          <w:sz w:val="24"/>
          <w:szCs w:val="24"/>
        </w:rPr>
        <w:t xml:space="preserve">(1), 62-83. https://doi.org/10.1177/109442810141004</w:t>
      </w:r>
    </w:p>
    <w:p>
      <w:pPr>
        <w:spacing w:after="140" w:line="360"/>
        <w:ind w:left="720" w:hanging="720"/>
        <w:jc w:val="left"/>
      </w:pPr>
      <w:r>
        <w:rPr>
          <w:rFonts w:ascii="David" w:cs="David" w:eastAsia="David" w:hAnsi="David"/>
          <w:i w:val="false"/>
          <w:iCs w:val="false"/>
          <w:sz w:val="24"/>
          <w:szCs w:val="24"/>
        </w:rPr>
        <w:t xml:space="preserve">Luszczynska, A., Scholz, U., &amp; Schwarzer, R. (2005). The general self-efficacy scale: Multicultural validation studies. </w:t>
      </w:r>
      <w:r>
        <w:rPr>
          <w:rFonts w:ascii="David" w:cs="David" w:eastAsia="David" w:hAnsi="David"/>
          <w:i/>
          <w:iCs/>
          <w:sz w:val="24"/>
          <w:szCs w:val="24"/>
        </w:rPr>
        <w:t xml:space="preserve">The Journal of Psychology, 139</w:t>
      </w:r>
      <w:r>
        <w:rPr>
          <w:rFonts w:ascii="David" w:cs="David" w:eastAsia="David" w:hAnsi="David"/>
          <w:i w:val="false"/>
          <w:iCs w:val="false"/>
          <w:sz w:val="24"/>
          <w:szCs w:val="24"/>
        </w:rPr>
        <w:t xml:space="preserve">(5), 439-457. https://doi.org/10.3200/JRLP.139.5.439-457</w:t>
      </w:r>
    </w:p>
    <w:p>
      <w:r>
        <w:br w:type="page"/>
      </w:r>
    </w:p>
    <w:p>
      <w:pPr>
        <w:pStyle w:val="Heading1"/>
        <w:bidi/>
        <w:spacing w:after="140" w:before="280"/>
        <w:jc w:val="right"/>
      </w:pPr>
      <w:r>
        <w:rPr>
          <w:rFonts w:ascii="David" w:cs="David" w:eastAsia="David" w:hAnsi="David"/>
          <w:b/>
          <w:bCs/>
          <w:i w:val="false"/>
          <w:iCs w:val="false"/>
          <w:color w:val="000000"/>
          <w:sz w:val="30"/>
          <w:szCs w:val="30"/>
          <w:rtl/>
        </w:rPr>
        <w:t xml:space="preserve">נספחים</w:t>
      </w:r>
    </w:p>
    <w:p>
      <w:pPr>
        <w:pStyle w:val="Heading2"/>
        <w:bidi/>
        <w:spacing w:after="100" w:before="180"/>
        <w:jc w:val="right"/>
      </w:pPr>
      <w:r>
        <w:rPr>
          <w:rFonts w:ascii="David" w:cs="David" w:eastAsia="David" w:hAnsi="David"/>
          <w:b/>
          <w:bCs/>
          <w:i w:val="false"/>
          <w:iCs w:val="false"/>
          <w:color w:val="000000"/>
          <w:sz w:val="26"/>
          <w:szCs w:val="26"/>
          <w:rtl/>
        </w:rPr>
        <w:t xml:space="preserve">נספח 1 - שאלון דמוגרפי</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מגדר: זכר / נקבה / אחר</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גיל: ______</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השכלה: תיכונית / לימודי תעודה / אקדמית</w:t>
      </w:r>
    </w:p>
    <w:p>
      <w:pPr>
        <w:pStyle w:val="ListParagraph"/>
        <w:numPr>
          <w:ilvl w:val="0"/>
          <w:numId w:val="2"/>
        </w:numPr>
        <w:bidi/>
        <w:spacing w:after="70" w:line="360"/>
        <w:jc w:val="right"/>
      </w:pPr>
      <w:r>
        <w:rPr>
          <w:rFonts w:ascii="David" w:cs="David" w:eastAsia="David" w:hAnsi="David"/>
          <w:b w:val="false"/>
          <w:bCs w:val="false"/>
          <w:i w:val="false"/>
          <w:iCs w:val="false"/>
          <w:color w:val="000000"/>
          <w:sz w:val="24"/>
          <w:szCs w:val="24"/>
          <w:rtl/>
        </w:rPr>
        <w:t xml:space="preserve">מקום מגורים: צפון / מרכז / דרום / יהודה ושומרון</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2 - מניפולציה</w:t>
      </w:r>
    </w:p>
    <w:p>
      <w:pPr>
        <w:bidi/>
        <w:spacing w:after="160" w:before="0" w:line="360"/>
        <w:jc w:val="both"/>
      </w:pPr>
      <w:r>
        <w:rPr>
          <w:rFonts w:ascii="David" w:cs="David" w:eastAsia="David" w:hAnsi="David"/>
          <w:b/>
          <w:bCs/>
          <w:i w:val="false"/>
          <w:iCs w:val="false"/>
          <w:color w:val="000000"/>
          <w:sz w:val="24"/>
          <w:szCs w:val="24"/>
          <w:rtl/>
        </w:rPr>
        <w:t xml:space="preserve">קבוצת ניסוי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במשך כארבע דקות,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קבוצת השוואה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כדקה."</w:t>
      </w:r>
    </w:p>
    <w:p>
      <w:pPr>
        <w:bidi/>
        <w:spacing w:after="160" w:before="0" w:line="360"/>
        <w:jc w:val="both"/>
      </w:pPr>
      <w:r>
        <w:rPr>
          <w:rFonts w:ascii="David" w:cs="David" w:eastAsia="David" w:hAnsi="David"/>
          <w:b/>
          <w:bCs/>
          <w:i w:val="false"/>
          <w:iCs w:val="false"/>
          <w:color w:val="000000"/>
          <w:sz w:val="24"/>
          <w:szCs w:val="24"/>
          <w:rtl/>
        </w:rPr>
        <w:t xml:space="preserve">קבוצת ביקורת: </w:t>
      </w:r>
      <w:r>
        <w:rPr>
          <w:rFonts w:ascii="David" w:cs="David" w:eastAsia="David" w:hAnsi="David"/>
          <w:b w:val="false"/>
          <w:bCs w:val="false"/>
          <w:i w:val="false"/>
          <w:iCs w:val="false"/>
          <w:color w:val="000000"/>
          <w:sz w:val="24"/>
          <w:szCs w:val="24"/>
          <w:rtl/>
        </w:rPr>
        <w:t xml:space="preserve">"תאר/י בכתב, במשך כארבע דקות, את מסלול ההגעה היומי שלך מהבית אל מקום הלימודים, בלי להתייחס למטרות או לרגשות."</w:t>
      </w:r>
    </w:p>
    <w:p>
      <w:pPr>
        <w:bidi/>
        <w:spacing w:after="4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00" w:before="180"/>
        <w:jc w:val="right"/>
      </w:pPr>
      <w:r>
        <w:rPr>
          <w:rFonts w:ascii="David" w:cs="David" w:eastAsia="David" w:hAnsi="David"/>
          <w:b/>
          <w:bCs/>
          <w:i w:val="false"/>
          <w:iCs w:val="false"/>
          <w:color w:val="000000"/>
          <w:sz w:val="26"/>
          <w:szCs w:val="26"/>
          <w:rtl/>
        </w:rPr>
        <w:t xml:space="preserve">נספח 3 - שאלון חוללות עצמית כללית (Chen et al., 2001)</w:t>
      </w:r>
    </w:p>
    <w:p>
      <w:pPr>
        <w:bidi/>
        <w:spacing w:after="100" w:before="0" w:line="360"/>
        <w:jc w:val="both"/>
      </w:pPr>
      <w:r>
        <w:rPr>
          <w:rFonts w:ascii="David" w:cs="David" w:eastAsia="David" w:hAnsi="David"/>
          <w:b w:val="false"/>
          <w:bCs w:val="false"/>
          <w:i w:val="false"/>
          <w:iCs w:val="false"/>
          <w:color w:val="000000"/>
          <w:sz w:val="24"/>
          <w:szCs w:val="24"/>
          <w:rtl/>
        </w:rPr>
        <w:t xml:space="preserve">לפניך שמונה היגדים. לכל היגד סמן/י בעמודה המתאימה עד כמה את/ה מסכים/ה עמו, בסולם שבין 1 (מתנגד מאוד) ל-5 (מסכים מאוד). אין תשובות נכונות או שגויות.</w:t>
      </w:r>
    </w:p>
    <w:tbl>
      <w:tblPr>
        <w:bidiVisual/>
        <w:tblW w:type="dxa" w:w="905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800"/>
        <w:gridCol w:w="1050"/>
        <w:gridCol w:w="1050"/>
        <w:gridCol w:w="1050"/>
        <w:gridCol w:w="1050"/>
        <w:gridCol w:w="1050"/>
      </w:tblGrid>
      <w:tr>
        <w:trPr>
          <w:tblHeader/>
        </w:trP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bCs/>
                <w:i w:val="false"/>
                <w:iCs w:val="false"/>
                <w:color w:val="000000"/>
                <w:sz w:val="18"/>
                <w:szCs w:val="18"/>
                <w:rtl/>
              </w:rPr>
              <w:t xml:space="preserve">היגד</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מאוד (1)</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מתנגד (2)</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לא מסכים ולא מתנגד (3)</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(4)</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bCs/>
                <w:i w:val="false"/>
                <w:iCs w:val="false"/>
                <w:color w:val="000000"/>
                <w:sz w:val="18"/>
                <w:szCs w:val="18"/>
                <w:rtl/>
              </w:rPr>
              <w:t xml:space="preserve">מסכים מאוד (5)</w:t>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1. אני יכול להשיג את מרבית המטרות שהצבתי לעצמי.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2. באופן כללי, אני חושב שאני יכול להשיג את מה שחשוב לי.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3. אף כאשר המצב קשה, אני יכול לבצע טוב למדי.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4. כאשר אני ניצב מול משימות קשות, אני בטוח שאוכל לבצען.</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5. אני בטוח שאני יכול לבצע מטלות רבות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6. אוכל לעמוד באתגרים רבים בהצלחה.</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7. אני יכול להצליח בכל משימה כאשר אני נחוש בדעתי.</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r>
        <w:tc>
          <w:tcPr>
            <w:tcW w:type="dxa" w:w="3800"/>
            <w:tcMar>
              <w:top w:type="dxa" w:w="40"/>
              <w:left w:type="dxa" w:w="60"/>
              <w:bottom w:type="dxa" w:w="40"/>
              <w:right w:type="dxa" w:w="60"/>
            </w:tcMar>
            <w:vAlign w:val="center"/>
          </w:tcPr>
          <w:p>
            <w:pPr>
              <w:bidi/>
              <w:spacing w:after="0" w:line="240"/>
              <w:jc w:val="right"/>
            </w:pPr>
            <w:r>
              <w:rPr>
                <w:rFonts w:ascii="David" w:cs="David" w:eastAsia="David" w:hAnsi="David"/>
                <w:b w:val="false"/>
                <w:bCs w:val="false"/>
                <w:i w:val="false"/>
                <w:iCs w:val="false"/>
                <w:color w:val="000000"/>
                <w:sz w:val="21"/>
                <w:szCs w:val="21"/>
                <w:rtl/>
              </w:rPr>
              <w:t xml:space="preserve">8. בהשוואה לאנשים אחרים, אני יכול לבצע את רוב המטלות היטב.</w:t>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c>
          <w:tcPr>
            <w:tcW w:type="dxa" w:w="1050"/>
            <w:tcMar>
              <w:top w:type="dxa" w:w="40"/>
              <w:left w:type="dxa" w:w="60"/>
              <w:bottom w:type="dxa" w:w="40"/>
              <w:right w:type="dxa" w:w="60"/>
            </w:tcMar>
            <w:vAlign w:val="center"/>
          </w:tcPr>
          <w:p>
            <w:pPr>
              <w:bidi/>
              <w:spacing w:after="0" w:line="240"/>
              <w:jc w:val="center"/>
            </w:pPr>
            <w:r>
              <w:rPr>
                <w:rFonts w:ascii="David" w:cs="David" w:eastAsia="David" w:hAnsi="David"/>
                <w:b w:val="false"/>
                <w:bCs w:val="false"/>
                <w:i w:val="false"/>
                <w:iCs w:val="false"/>
                <w:color w:val="000000"/>
                <w:sz w:val="20"/>
                <w:szCs w:val="20"/>
                <w:rtl/>
              </w:rPr>
              <w:t xml:space="preserve"/>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576" w:hanging="316"/>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000000"/>
      <w:sz w:val="30"/>
      <w:szCs w:val="30"/>
    </w:rPr>
  </w:style>
  <w:style w:type="paragraph" w:styleId="Heading2">
    <w:name w:val="Heading 2"/>
    <w:basedOn w:val="Normal"/>
    <w:next w:val="Normal"/>
    <w:qFormat/>
    <w:rPr>
      <w:rFonts w:ascii="David" w:cs="David" w:eastAsia="David" w:hAnsi="David"/>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901c12da345ee0631c5753ee5dd0f978deb4d6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חוללות עצמית</dc:title>
  <dc:creator>ClickWriting</dc:creator>
  <cp:lastModifiedBy>Un-named</cp:lastModifiedBy>
  <cp:revision>1</cp:revision>
  <dcterms:created xsi:type="dcterms:W3CDTF">2026-07-27T06:13:09.304Z</dcterms:created>
  <dcterms:modified xsi:type="dcterms:W3CDTF">2026-07-27T06:13:09.305Z</dcterms:modified>
</cp:coreProperties>
</file>

<file path=docProps/custom.xml><?xml version="1.0" encoding="utf-8"?>
<Properties xmlns="http://schemas.openxmlformats.org/officeDocument/2006/custom-properties" xmlns:vt="http://schemas.openxmlformats.org/officeDocument/2006/docPropsVTypes"/>
</file>