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before="0" w:after="120"/>
        <w:ind/>
        <w:jc w:val="both"/>
      </w:pPr>
      <w:r>
        <w:rPr>
          <w:rFonts w:ascii="David" w:hAnsi="David" w:cs="David"/>
          <w:b w:val="0"/>
          <w:color w:val="00000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pStyle w:val="Heading2"/>
        <w:bidi w:val="1"/>
        <w:spacing w:line="360" w:lineRule="auto" w:before="280" w:after="160"/>
        <w:jc w:val="both"/>
      </w:pPr>
      <w:r>
        <w:rPr>
          <w:rFonts w:ascii="David" w:hAnsi="David" w:cs="David"/>
          <w:b/>
          <w:color w:val="000000"/>
          <w:sz w:val="26"/>
          <w:szCs w:val="26"/>
          <w:rtl w:val="1"/>
          <w:rtl w:val="1"/>
        </w:rPr>
        <w:t>5.1 תפיסת המונח "צדק בגן"</w:t>
      </w:r>
    </w:p>
    <w:p>
      <w:pPr>
        <w:bidi w:val="1"/>
        <w:spacing w:line="360" w:lineRule="auto" w:before="0" w:after="120"/>
        <w:ind/>
        <w:jc w:val="both"/>
      </w:pPr>
      <w:r>
        <w:rPr>
          <w:rFonts w:ascii="David" w:hAnsi="David" w:cs="David"/>
          <w:b w:val="0"/>
          <w:color w:val="00000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both"/>
      </w:pPr>
      <w:r>
        <w:rPr>
          <w:rFonts w:ascii="David" w:hAnsi="David" w:cs="David"/>
          <w:b/>
          <w:color w:val="000000"/>
          <w:sz w:val="24"/>
          <w:szCs w:val="24"/>
          <w:rtl w:val="1"/>
          <w:rtl w:val="1"/>
        </w:rPr>
        <w:t>5.1.1 צדק כראיית הילד הבודד וכערך מנחה</w:t>
      </w:r>
    </w:p>
    <w:p>
      <w:pPr>
        <w:bidi w:val="1"/>
        <w:spacing w:line="360" w:lineRule="auto" w:before="0" w:after="120"/>
        <w:ind/>
        <w:jc w:val="both"/>
      </w:pPr>
      <w:r>
        <w:rPr>
          <w:rFonts w:ascii="David" w:hAnsi="David" w:cs="David"/>
          <w:b w:val="0"/>
          <w:color w:val="00000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color w:val="000000"/>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color w:val="000000"/>
          <w:szCs w:val="24"/>
          <w:rtl w:val="1"/>
        </w:rPr>
        <w:t xml:space="preserve">  (מרואיינת 4)</w:t>
      </w:r>
    </w:p>
    <w:p>
      <w:pPr>
        <w:bidi w:val="1"/>
        <w:spacing w:line="360" w:lineRule="auto" w:before="0" w:after="120"/>
        <w:ind/>
        <w:jc w:val="both"/>
      </w:pPr>
      <w:r>
        <w:rPr>
          <w:rFonts w:ascii="David" w:hAnsi="David" w:cs="David"/>
          <w:b w:val="0"/>
          <w:color w:val="00000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both"/>
      </w:pPr>
      <w:r>
        <w:rPr>
          <w:rFonts w:ascii="David" w:hAnsi="David" w:cs="David"/>
          <w:b/>
          <w:color w:val="000000"/>
          <w:sz w:val="24"/>
          <w:szCs w:val="24"/>
          <w:rtl w:val="1"/>
          <w:rtl w:val="1"/>
        </w:rPr>
        <w:t>5.1.2 צדק כשוויון הזדמנויות וכצמצום פערים</w:t>
      </w:r>
    </w:p>
    <w:p>
      <w:pPr>
        <w:bidi w:val="1"/>
        <w:spacing w:line="360" w:lineRule="auto" w:before="0" w:after="120"/>
        <w:ind/>
        <w:jc w:val="both"/>
      </w:pPr>
      <w:r>
        <w:rPr>
          <w:rFonts w:ascii="David" w:hAnsi="David" w:cs="David"/>
          <w:b w:val="0"/>
          <w:color w:val="00000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both"/>
      </w:pPr>
      <w:r>
        <w:rPr>
          <w:rFonts w:ascii="David" w:hAnsi="David" w:cs="David"/>
          <w:b/>
          <w:color w:val="000000"/>
          <w:sz w:val="24"/>
          <w:szCs w:val="24"/>
          <w:rtl w:val="1"/>
          <w:rtl w:val="1"/>
        </w:rPr>
        <w:t>5.1.3 צדק כהקשבה וכניהול מתחים</w:t>
      </w:r>
    </w:p>
    <w:p>
      <w:pPr>
        <w:bidi w:val="1"/>
        <w:spacing w:line="360" w:lineRule="auto" w:before="0" w:after="120"/>
        <w:ind/>
        <w:jc w:val="both"/>
      </w:pPr>
      <w:r>
        <w:rPr>
          <w:rFonts w:ascii="David" w:hAnsi="David" w:cs="David"/>
          <w:b w:val="0"/>
          <w:color w:val="00000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color w:val="000000"/>
          <w:szCs w:val="24"/>
          <w:rtl w:val="1"/>
        </w:rPr>
        <w:t xml:space="preserve">  (מרואיינת 5)</w:t>
      </w:r>
    </w:p>
    <w:p>
      <w:pPr>
        <w:bidi w:val="1"/>
        <w:spacing w:line="360" w:lineRule="auto" w:before="0" w:after="120"/>
        <w:ind/>
        <w:jc w:val="both"/>
      </w:pPr>
      <w:r>
        <w:rPr>
          <w:rFonts w:ascii="David" w:hAnsi="David" w:cs="David"/>
          <w:b w:val="0"/>
          <w:color w:val="00000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both"/>
      </w:pPr>
      <w:r>
        <w:rPr>
          <w:rFonts w:ascii="David" w:hAnsi="David" w:cs="David"/>
          <w:b/>
          <w:color w:val="000000"/>
          <w:sz w:val="26"/>
          <w:szCs w:val="26"/>
          <w:rtl w:val="1"/>
          <w:rtl w:val="1"/>
        </w:rPr>
        <w:t>5.2 חלוקת משאב תשומת הלב הרגשית</w:t>
      </w:r>
    </w:p>
    <w:p>
      <w:pPr>
        <w:bidi w:val="1"/>
        <w:spacing w:line="360" w:lineRule="auto" w:before="0" w:after="120"/>
        <w:ind/>
        <w:jc w:val="both"/>
      </w:pPr>
      <w:r>
        <w:rPr>
          <w:rFonts w:ascii="David" w:hAnsi="David" w:cs="David"/>
          <w:b w:val="0"/>
          <w:color w:val="00000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both"/>
      </w:pPr>
      <w:r>
        <w:rPr>
          <w:rFonts w:ascii="David" w:hAnsi="David" w:cs="David"/>
          <w:b/>
          <w:color w:val="000000"/>
          <w:sz w:val="24"/>
          <w:szCs w:val="24"/>
          <w:rtl w:val="1"/>
          <w:rtl w:val="1"/>
        </w:rPr>
        <w:t>5.2.1 חלוקה לפי עיקרון הצורך</w:t>
      </w:r>
    </w:p>
    <w:p>
      <w:pPr>
        <w:bidi w:val="1"/>
        <w:spacing w:line="360" w:lineRule="auto" w:before="0" w:after="120"/>
        <w:ind/>
        <w:jc w:val="both"/>
      </w:pPr>
      <w:r>
        <w:rPr>
          <w:rFonts w:ascii="David" w:hAnsi="David" w:cs="David"/>
          <w:b w:val="0"/>
          <w:color w:val="00000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color w:val="000000"/>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both"/>
      </w:pPr>
      <w:r>
        <w:rPr>
          <w:rFonts w:ascii="David" w:hAnsi="David" w:cs="David"/>
          <w:b/>
          <w:color w:val="000000"/>
          <w:sz w:val="24"/>
          <w:szCs w:val="24"/>
          <w:rtl w:val="1"/>
          <w:rtl w:val="1"/>
        </w:rPr>
        <w:t>5.2.2 הילד השקט: מאבק בעוול הסמוי</w:t>
      </w:r>
    </w:p>
    <w:p>
      <w:pPr>
        <w:bidi w:val="1"/>
        <w:spacing w:line="360" w:lineRule="auto" w:before="0" w:after="120"/>
        <w:ind/>
        <w:jc w:val="both"/>
      </w:pPr>
      <w:r>
        <w:rPr>
          <w:rFonts w:ascii="David" w:hAnsi="David" w:cs="David"/>
          <w:b w:val="0"/>
          <w:color w:val="00000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both"/>
      </w:pPr>
      <w:r>
        <w:rPr>
          <w:rFonts w:ascii="David" w:hAnsi="David" w:cs="David"/>
          <w:b/>
          <w:color w:val="000000"/>
          <w:sz w:val="26"/>
          <w:szCs w:val="26"/>
          <w:rtl w:val="1"/>
          <w:rtl w:val="1"/>
        </w:rPr>
        <w:t>5.3 ההבחנה בין חלוקה שווה לחלוקה הוגנת</w:t>
      </w:r>
    </w:p>
    <w:p>
      <w:pPr>
        <w:bidi w:val="1"/>
        <w:spacing w:line="360" w:lineRule="auto" w:before="0" w:after="120"/>
        <w:ind/>
        <w:jc w:val="both"/>
      </w:pPr>
      <w:r>
        <w:rPr>
          <w:rFonts w:ascii="David" w:hAnsi="David" w:cs="David"/>
          <w:b w:val="0"/>
          <w:color w:val="00000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color w:val="000000"/>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color w:val="000000"/>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both"/>
      </w:pPr>
      <w:r>
        <w:rPr>
          <w:rFonts w:ascii="David" w:hAnsi="David" w:cs="David"/>
          <w:b/>
          <w:color w:val="000000"/>
          <w:sz w:val="26"/>
          <w:szCs w:val="26"/>
          <w:rtl w:val="1"/>
          <w:rtl w:val="1"/>
        </w:rPr>
        <w:t>5.4 חלוקת המשאבים הפיזיים והמרחב הקבוצתי</w:t>
      </w:r>
    </w:p>
    <w:p>
      <w:pPr>
        <w:bidi w:val="1"/>
        <w:pStyle w:val="Heading3"/>
        <w:bidi w:val="1"/>
        <w:spacing w:line="360" w:lineRule="auto" w:before="280" w:after="160"/>
        <w:jc w:val="both"/>
      </w:pPr>
      <w:r>
        <w:rPr>
          <w:rFonts w:ascii="David" w:hAnsi="David" w:cs="David"/>
          <w:b/>
          <w:color w:val="000000"/>
          <w:sz w:val="24"/>
          <w:szCs w:val="24"/>
          <w:rtl w:val="1"/>
          <w:rtl w:val="1"/>
        </w:rPr>
        <w:t>5.4.1 שקיפות, תור וכללים משותפים</w:t>
      </w:r>
    </w:p>
    <w:p>
      <w:pPr>
        <w:bidi w:val="1"/>
        <w:spacing w:line="360" w:lineRule="auto" w:before="0" w:after="120"/>
        <w:ind/>
        <w:jc w:val="both"/>
      </w:pPr>
      <w:r>
        <w:rPr>
          <w:rFonts w:ascii="David" w:hAnsi="David" w:cs="David"/>
          <w:b w:val="0"/>
          <w:color w:val="00000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both"/>
      </w:pPr>
      <w:r>
        <w:rPr>
          <w:rFonts w:ascii="David" w:hAnsi="David" w:cs="David"/>
          <w:b/>
          <w:color w:val="000000"/>
          <w:sz w:val="24"/>
          <w:szCs w:val="24"/>
          <w:rtl w:val="1"/>
          <w:rtl w:val="1"/>
        </w:rPr>
        <w:t>5.4.2 איזון המרחב הקבוצתי והתמודדות עם הדרה</w:t>
      </w:r>
    </w:p>
    <w:p>
      <w:pPr>
        <w:bidi w:val="1"/>
        <w:spacing w:line="360" w:lineRule="auto" w:before="0" w:after="120"/>
        <w:ind/>
        <w:jc w:val="both"/>
      </w:pPr>
      <w:r>
        <w:rPr>
          <w:rFonts w:ascii="David" w:hAnsi="David" w:cs="David"/>
          <w:b w:val="0"/>
          <w:color w:val="00000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color w:val="000000"/>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both"/>
      </w:pPr>
      <w:r>
        <w:rPr>
          <w:rFonts w:ascii="David" w:hAnsi="David" w:cs="David"/>
          <w:b/>
          <w:color w:val="000000"/>
          <w:sz w:val="26"/>
          <w:szCs w:val="26"/>
          <w:rtl w:val="1"/>
          <w:rtl w:val="1"/>
        </w:rPr>
        <w:t>5.5 צדק חברתי-כלכלי ומניעת בושה</w:t>
      </w:r>
    </w:p>
    <w:p>
      <w:pPr>
        <w:bidi w:val="1"/>
        <w:spacing w:line="360" w:lineRule="auto" w:before="0" w:after="120"/>
        <w:ind/>
        <w:jc w:val="both"/>
      </w:pPr>
      <w:r>
        <w:rPr>
          <w:rFonts w:ascii="David" w:hAnsi="David" w:cs="David"/>
          <w:b w:val="0"/>
          <w:color w:val="00000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color w:val="000000"/>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both"/>
      </w:pPr>
      <w:r>
        <w:rPr>
          <w:rFonts w:ascii="David" w:hAnsi="David" w:cs="David"/>
          <w:b/>
          <w:color w:val="000000"/>
          <w:sz w:val="26"/>
          <w:szCs w:val="26"/>
          <w:rtl w:val="1"/>
          <w:rtl w:val="1"/>
        </w:rPr>
        <w:t>5.6 הגננת כסוכנת צדק וכמחנכת ערכים</w:t>
      </w:r>
    </w:p>
    <w:p>
      <w:pPr>
        <w:bidi w:val="1"/>
        <w:spacing w:line="360" w:lineRule="auto" w:before="0" w:after="120"/>
        <w:ind/>
        <w:jc w:val="both"/>
      </w:pPr>
      <w:r>
        <w:rPr>
          <w:rFonts w:ascii="David" w:hAnsi="David" w:cs="David"/>
          <w:b w:val="0"/>
          <w:color w:val="00000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color w:val="000000"/>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before="0" w:after="120"/>
        <w:ind/>
        <w:jc w:val="both"/>
      </w:pPr>
      <w:r>
        <w:rPr>
          <w:rFonts w:ascii="David" w:hAnsi="David" w:cs="David"/>
          <w:b w:val="0"/>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בפרקטיקה היומיומית שלהן. מתוך מודעות לפער המחקרי הקיים בנוגע לגיל הרך, שאליו כמעט אינה מתייחסת הספרות העוסקת בצדק בכיתה, ביקש המחקר לתת קול לגננות עצמן, ולבחון את עולמן המקצועי והערכי דרך ראיונות עומק חצי-מובנים עם שש גננות בעלות ותק, רקע ואוכלוסיית גן מגוונים. פרק זה דן בממצאים המרכזיים שעלו מן הניתוח, ומאיר אותם באור הספרות התיאורטית והמחקרית שנסקרה.</w:t>
      </w:r>
    </w:p>
    <w:p>
      <w:pPr>
        <w:bidi w:val="1"/>
        <w:spacing w:line="360" w:lineRule="auto" w:before="0" w:after="120"/>
        <w:ind/>
        <w:jc w:val="both"/>
      </w:pPr>
      <w:r>
        <w:rPr>
          <w:rFonts w:ascii="David" w:hAnsi="David" w:cs="David"/>
          <w:b w:val="0"/>
          <w:color w:val="000000"/>
          <w:sz w:val="24"/>
          <w:szCs w:val="24"/>
          <w:rtl w:val="1"/>
        </w:rPr>
        <w:t>ניתוח הנתונים חשף שש תמות מרכזיות המספקות מענה לשאלת המחקר,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ו-(ו) תפיסת הגננת את עצמה כסוכנת צדק וכמחנכת ערכים. תמות אלה משרטטות יחד תמונה שלמה של האופן שבו נחווה ומיושם הצדק בגן, ומלמדות כי הגננת חווה את סוגיית הצדק כסוגיה יומיומית, מוחשית ובלתי פוסקת, המתרחשת בכל החלטה זעירה של מי ראשון בתור, מי מקבל תשומת לב ומי זוכה בתפקיד המבוקש.</w:t>
      </w:r>
    </w:p>
    <w:p>
      <w:pPr>
        <w:bidi w:val="1"/>
        <w:spacing w:line="360" w:lineRule="auto" w:before="0" w:after="120"/>
        <w:ind/>
        <w:jc w:val="both"/>
      </w:pPr>
      <w:r>
        <w:rPr>
          <w:rFonts w:ascii="David" w:hAnsi="David" w:cs="David"/>
          <w:b w:val="0"/>
          <w:color w:val="000000"/>
          <w:sz w:val="24"/>
          <w:szCs w:val="24"/>
          <w:rtl w:val="1"/>
        </w:rPr>
        <w:t>התמה הראשונה, תפיסת המונח "צדק בגן", חשפה כי הגננות אינן אוחזות בהגדרה אחת אחידה, אלא בשלוש תפיסות משלימות: צדק כראיית הילד הבודד ומתן מענה לצרכיו, צדק כשוויון הזדמנויות, וצדק כהקשבה וכניהול מתחים בין צרכים מתנגשים. ריבוי זה תואם את הטענה כי מושג הצדק נתפס באופן שונה בעיני אנשים שונים ומושפע מן המטען הערכי והאישי שלהם (סבג וביברמן-שלו, 2014). מעניין במיוחד הוא הביטוי שנתנה אחת הגננות לתפיסה שלפיה "צדק של מי?" היא השאלה הראשונה, כלומר שאין צדק אובייקטיבי אחד אלא תהליך מתמשך של הקשבה. תפיסה זו מקרבת את הגננות אל מושג הצדק האינטראקציוני, המדגיש את איכות ההליך והיחס ולא רק את התוצאה (Jiang et al., 2018).</w:t>
      </w:r>
    </w:p>
    <w:p>
      <w:pPr>
        <w:bidi w:val="1"/>
        <w:spacing w:line="360" w:lineRule="auto" w:before="0" w:after="120"/>
        <w:ind/>
        <w:jc w:val="both"/>
      </w:pPr>
      <w:r>
        <w:rPr>
          <w:rFonts w:ascii="David" w:hAnsi="David" w:cs="David"/>
          <w:b w:val="0"/>
          <w:color w:val="000000"/>
          <w:sz w:val="24"/>
          <w:szCs w:val="24"/>
          <w:rtl w:val="1"/>
        </w:rPr>
        <w:t>התמה המרכזית והחזקה ביותר, שחלחלה אל כלל שאר התמות, היא ההבחנה החדה שערכו כל שש הגננות בין חלוקה שווה לחלוקה הוגנת, והעדפתן הברורה את ההוגנות מבוססת-הצורך על פני השוויון המכני. ממצא זה מהדהד את עיקרון הצורך בגישה הרב-ממדית לצדק חלוקתי, ומחזק את תפיסתו של קונל (Connell, 1993) שלפיה יש להדגיש את השונה כדי להשיג צדק חברתי אמיתי. בעוד שבבית הספר נמצא כי עיקרון ההוגנות מבוסס-התפוקה הוא הדומיננטי בחלוקת ציונים (קרמרסקי ורש, 2004), מלמד המחקר הנוכחי כי בגן, בהיעדר משאב מדיד כמו ציון, ההוגנות מבוססת-הצורך היא עקרון החלוקה השליט, המיושם דווקא סביב משאבים רכים: תשומת לב, זמן ומרחב. מעבר לכך, הגננות תיארו כי הן מלמדות את ההבחנה הזו במפורש גם את הילדים, למשל באמצעות דימויים חזותיים. ממצא זה מתחבר לספרות ההתפתחותית, המלמדת כי כבר סביב גיל ארבע עד חמש מסוגלים ילדים לצאת מנקודת המבט האנוכית ולהבין הוגנות מבוססת-צורך (Grütter et al., 2024; Lee et al., 2022), ומחזק את התובנה כי הגן הוא זירה שבה נלמדת ההבחנה בין שווה להוגן הלכה למעשה.</w:t>
      </w:r>
    </w:p>
    <w:p>
      <w:pPr>
        <w:bidi w:val="1"/>
        <w:spacing w:line="360" w:lineRule="auto" w:before="0" w:after="120"/>
        <w:ind/>
        <w:jc w:val="both"/>
      </w:pPr>
      <w:r>
        <w:rPr>
          <w:rFonts w:ascii="David" w:hAnsi="David" w:cs="David"/>
          <w:b w:val="0"/>
          <w:color w:val="000000"/>
          <w:sz w:val="24"/>
          <w:szCs w:val="24"/>
          <w:rtl w:val="1"/>
        </w:rPr>
        <w:t>תמת חלוקת תשומת הלב חשפה ממד המחבר בין הצדק החלוקתי לבין הצדק האינטראקציוני. הגננות תיארו את חלוקת הקשב לא כתהליך אינטואיטיבי גרידא, אלא כפעולה מכוונת ושיטתית, מתוך מודעות ל"עוול הסמוי" של הילד השקט, העלול להיעלם מן הרדאר לטובת הרועש והדורש. ממד זה עולה בקנה אחד עם הספרות המדגישה כי חוויית הצדק של הלומד תלויה לא רק בכמות שקיבל, אלא באיכות היחס ובתחושת ההיראות וההכרה (Horan et al., 2010; Jiang et al., 2018). כך מתחדד כי בגן, שבו אין ציון, הצדק נמדד במטבע של נראות ושייכות. ראוי לציין כי הגננות תיארו שהן נעזרות בצוות ובסייעת כדי לממש חלוקה זו, ובכך מתחבר הממצא למתח שבין אינטרס הפרט לטובת הכלל, מתח מובנה בעשייה החינוכית (סבג וביברמן-שלו, 2014).</w:t>
      </w:r>
    </w:p>
    <w:p>
      <w:pPr>
        <w:bidi w:val="1"/>
        <w:spacing w:line="360" w:lineRule="auto" w:before="0" w:after="120"/>
        <w:ind/>
        <w:jc w:val="both"/>
      </w:pPr>
      <w:r>
        <w:rPr>
          <w:rFonts w:ascii="David" w:hAnsi="David" w:cs="David"/>
          <w:b w:val="0"/>
          <w:color w:val="000000"/>
          <w:sz w:val="24"/>
          <w:szCs w:val="24"/>
          <w:rtl w:val="1"/>
        </w:rPr>
        <w:t>תמת חלוקת המשאבים הפיזיים והמרחב הקבוצתי חשפה את חשיבותו של הצדק הפרוצדורלי בעיני הגננות. הן תיארו מערכות שקופות של תורים וכללים, והדגישו כי דווקא הצפיות והשקיפות של המערכת הן שיוצרות את תחושת ההוגנות, יותר מן התוצאה עצמה. ממצא זה תואם את הספרות על הצדק הפרוצדורלי, המלמדת כי הליך שקוף ועקבי בונה אמון ותחושת הוגנות (Jiang et al., 2018). בתוך תמה זו עלתה גם סוגיית ההדרה החברתית, שהגננות תפסו לא כבעיה חברתית-רגשית בלבד אלא כסוגיית צדק חלוקתי מובהקת, המחייבת התערבות אקטיבית לצמצום עוול, בעיקר כאשר ההדרה נובעת מרקע כלכלי (Lang et al., 2024).</w:t>
      </w:r>
    </w:p>
    <w:p>
      <w:pPr>
        <w:bidi w:val="1"/>
        <w:spacing w:line="360" w:lineRule="auto" w:before="0" w:after="120"/>
        <w:ind/>
        <w:jc w:val="both"/>
      </w:pPr>
      <w:r>
        <w:rPr>
          <w:rFonts w:ascii="David" w:hAnsi="David" w:cs="David"/>
          <w:b w:val="0"/>
          <w:color w:val="000000"/>
          <w:sz w:val="24"/>
          <w:szCs w:val="24"/>
          <w:rtl w:val="1"/>
        </w:rPr>
        <w:t>תמת הצדק החברתי-כלכלי חשפה תפיסה של הגן כמרחב מתקן, המבקש לצמצם פערים ולא לשקף אותם. הגננות תיארו מאמץ מכוון ורגיש למניעת בושה, החל מכללים אחידים לימי הולדת ועד להספקת כל החומרים מן הגן. מאמץ זה, הבולט במיוחד אצל הגננת מן השכונה המוחלשת ואצל הגננת שגדלה בעצמה במיעוט אמצעים, מחבר את ממצאי המחקר לספרות על הריבוד החברתי-כלכלי במערכת החינוך הישראלית (אדלר ובלס, 2009; דהאן, 2010) ולמחקרים המלמדים כי תפיסות הילדים את אי-השוויון מתורגמות להתנהגותם בפועל (Elenbaas &amp; Mistry, 2021). ממצא זה ממחיש כי הגננת תופסת את עצמה כמי שאמונה על שוויון הזדמנויות מהותי, ולא רק פורמלי, כלומר על התחשבות בנקודת הפתיחה השונה של כל ילד (דהאן, 2010).</w:t>
      </w:r>
    </w:p>
    <w:p>
      <w:pPr>
        <w:bidi w:val="1"/>
        <w:spacing w:line="360" w:lineRule="auto" w:before="0" w:after="120"/>
        <w:ind/>
        <w:jc w:val="both"/>
      </w:pPr>
      <w:r>
        <w:rPr>
          <w:rFonts w:ascii="David" w:hAnsi="David" w:cs="David"/>
          <w:b w:val="0"/>
          <w:color w:val="000000"/>
          <w:sz w:val="24"/>
          <w:szCs w:val="24"/>
          <w:rtl w:val="1"/>
        </w:rPr>
        <w:t>לבסוף, תמת הגננת כסוכנת צדק חשפה כי כל הגננות תופסות את קידום ערכי השוויון והצדק כשליחות מרכזית, ולא כתוספת, וכי הן מאמינות שהילדים לומדים צדק מדוגמה אישית ולא מהטפה. תפיסה זו תואמת את ההמשגה של הגננת כדמות מוסרית וכסוכנת שינוי. עם זאת, בהתאם לספרות (Solehuddin &amp; Adriany, 2017; Lang et al., 2024; Ryan &amp; Grieshaber, 2024), נמצאה שונות במידת המודעות המפורשת ובכלים ובשפה המקצועית שברשות הגננות, שונות המושפעת מן הוותק, מן הרקע האישי ומאוכלוסיית הגן. כך למשל, הגננת הצעירה תיארה גישה משתפת ומודעת מאוד מבחינה תיאורטית, בעוד הגננת הוותיקה תיארה כי במשך שנים פעלה נכון אך ללא מילים לכך, והשפה המושגית הגיעה רק מאוחר יותר.</w:t>
      </w:r>
    </w:p>
    <w:p>
      <w:pPr>
        <w:bidi w:val="1"/>
        <w:spacing w:line="360" w:lineRule="auto" w:before="0" w:after="120"/>
        <w:ind/>
        <w:jc w:val="both"/>
      </w:pPr>
      <w:r>
        <w:rPr>
          <w:rFonts w:ascii="David" w:hAnsi="David" w:cs="David"/>
          <w:b w:val="0"/>
          <w:color w:val="000000"/>
          <w:sz w:val="24"/>
          <w:szCs w:val="24"/>
          <w:rtl w:val="1"/>
        </w:rPr>
        <w:t>תרומת המחקר, העולה מתמות אלה, היא כפולה. מן ההיבט התיאורטי, המחקר מרחיב את הידע על תפיסות הצדק אל הגיל הרך, זירה שכמעט לא נחקרה, וממחיש כי עקרונות הצדק החלוקתי מתקיימים בגן במלוא עוצמתם, אך סביב משאבים רכים ובלתי מדידים ולא סביב ציונים. בכך תורם המחקר להרחבת המסגרת התיאורטית של הצדק החלוקתי אל מעבר להקשר הבית-ספרי שבו נחקר עד כה. מן ההיבט היישומי, המחקר מצביע על כך שהעשייה הצודקת של הגננות היא לרוב אינטואיטיבית וסמויה, ומכאן החשיבות שבהעלאתה למודעות מפורשת, שתאפשר לחזק ולהעצים אותה, ולהנגישה גם לגננות מתחילות שטרם גיבשו שפה מקצועית בתחום.</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מסקנות והשלכות</w:t>
      </w:r>
    </w:p>
    <w:p>
      <w:pPr>
        <w:bidi w:val="1"/>
        <w:pStyle w:val="Heading2"/>
        <w:bidi w:val="1"/>
        <w:spacing w:line="360" w:lineRule="auto" w:before="280" w:after="160"/>
        <w:jc w:val="both"/>
      </w:pPr>
      <w:r>
        <w:rPr>
          <w:rFonts w:ascii="David" w:hAnsi="David" w:cs="David"/>
          <w:b/>
          <w:color w:val="000000"/>
          <w:sz w:val="26"/>
          <w:szCs w:val="26"/>
          <w:rtl w:val="1"/>
          <w:rtl w:val="1"/>
        </w:rPr>
        <w:t>7.1 מסקנות</w:t>
      </w:r>
    </w:p>
    <w:p>
      <w:pPr>
        <w:bidi w:val="1"/>
        <w:spacing w:line="360" w:lineRule="auto" w:before="0" w:after="120"/>
        <w:ind/>
        <w:jc w:val="both"/>
      </w:pPr>
      <w:r>
        <w:rPr>
          <w:rFonts w:ascii="David" w:hAnsi="David" w:cs="David"/>
          <w:b w:val="0"/>
          <w:color w:val="000000"/>
          <w:sz w:val="24"/>
          <w:szCs w:val="24"/>
          <w:rtl w:val="1"/>
        </w:rPr>
        <w:t>המסר המרכזי העולה מן המחקר הוא שהגננת חווה את סוגיית הצדק כסוגיה יומיומית ובלתי פוסקת, ושתפיסתה את הצדק היא במהותה תפיסה של הוגנות מבוססת-צורך ולא של שוויון מכני. הגננת אינה שואפת לתת לכל הילדים את אותו דבר בדיוק, אלא לתת לכל ילד את מה שהוא צריך כדי להגיע לאותה נקודה, ובכך היא מיישמת הלכה למעשה את עיקרון הצורך שבבסיס הצדק החלוקתי (Connell, 1993; סבג וביברמן-שלו, 2014).</w:t>
      </w:r>
    </w:p>
    <w:p>
      <w:pPr>
        <w:bidi w:val="1"/>
        <w:spacing w:line="360" w:lineRule="auto" w:before="0" w:after="120"/>
        <w:ind/>
        <w:jc w:val="both"/>
      </w:pPr>
      <w:r>
        <w:rPr>
          <w:rFonts w:ascii="David" w:hAnsi="David" w:cs="David"/>
          <w:b w:val="0"/>
          <w:color w:val="000000"/>
          <w:sz w:val="24"/>
          <w:szCs w:val="24"/>
          <w:rtl w:val="1"/>
        </w:rPr>
        <w:t>במהלך היישום היומיומי, מתרגמות הגננות תפיסה זו למגוון פרקטיקות: מתן תשומת לב מוגברת למי שזקוק לה תוך גיוס הקבוצה והצוות, מערכות שקופות של תורים וכללים היוצרות תחושת הוגנות, איזון המרחב הקבוצתי בין הילד הדומיננטי לילד השקט, טיפול אקטיבי בהדרה, ומאמץ מתמיד למניעת בושה ולצמצום פערים חברתיים-כלכליים. מכאן עולה המסקנה כי הצדק בגן אינו מושג מופשט, אלא נבנה מאינספור החלטות זעירות ומעשיות, שכל אחת מהן היא הכרעה חלוקתית קטנה.</w:t>
      </w:r>
    </w:p>
    <w:p>
      <w:pPr>
        <w:bidi w:val="1"/>
        <w:spacing w:line="360" w:lineRule="auto" w:before="0" w:after="120"/>
        <w:ind/>
        <w:jc w:val="both"/>
      </w:pPr>
      <w:r>
        <w:rPr>
          <w:rFonts w:ascii="David" w:hAnsi="David" w:cs="David"/>
          <w:b w:val="0"/>
          <w:color w:val="000000"/>
          <w:sz w:val="24"/>
          <w:szCs w:val="24"/>
          <w:rtl w:val="1"/>
        </w:rPr>
        <w:t>מסקנה מרכזית נוספת נוגעת להשפעתה של הגננת. מאחר שהיא סוכנת הצדק הראשונה של הילד מול החברה, לתפיסותיה ולפרקטיקות שלה השפעה מעצבת על חוויית הצדק, השוויון והשייכות הראשונית של הילד, חוויה שתלווה אותו הלאה בהמשך חייו. ניתן להעריך כי ככל שהמודעות של הגננת לסוגיית הצדק מפורשת ומגובשת יותר, כך גדל פוטנציאל ההשפעה החיובית שלה, וכי גן המתנהל על-פי עקרונות של הוגנות ושקיפות מהווה עבור הילד מודל ראשוני של חברה צודקת.</w:t>
      </w:r>
    </w:p>
    <w:p>
      <w:pPr>
        <w:bidi w:val="1"/>
        <w:spacing w:line="360" w:lineRule="auto" w:before="0" w:after="120"/>
        <w:ind/>
        <w:jc w:val="both"/>
      </w:pPr>
      <w:r>
        <w:rPr>
          <w:rFonts w:ascii="David" w:hAnsi="David" w:cs="David"/>
          <w:b w:val="0"/>
          <w:color w:val="000000"/>
          <w:sz w:val="24"/>
          <w:szCs w:val="24"/>
          <w:rtl w:val="1"/>
        </w:rPr>
        <w:t>לבסוף, מן המחקר עולה מסקנה חשובה בדבר הפער בין הערכים לבין הכלים: הבסיס הערכי, כלומר המחויבות להוגנות ולצדק, קיים אצל כלל הגננות שרואיינו, ללא תלות בוותק או ברקע. אולם השפה המושגית והכלים המקצועיים לעסוק בסוגיה באופן מודע, מתועד ומכוון אינם תמיד זמינים להן, ופעמים רבות העשייה הצודקת נותרת אינטואיטיבית וסמויה. פער זה הוא נקודת המוצא להשלכות ולהמלצות שלהלן.</w:t>
      </w:r>
    </w:p>
    <w:p>
      <w:pPr>
        <w:bidi w:val="1"/>
        <w:pStyle w:val="Heading2"/>
        <w:bidi w:val="1"/>
        <w:spacing w:line="360" w:lineRule="auto" w:before="280" w:after="160"/>
        <w:jc w:val="both"/>
      </w:pPr>
      <w:r>
        <w:rPr>
          <w:rFonts w:ascii="David" w:hAnsi="David" w:cs="David"/>
          <w:b/>
          <w:color w:val="000000"/>
          <w:sz w:val="26"/>
          <w:szCs w:val="26"/>
          <w:rtl w:val="1"/>
          <w:rtl w:val="1"/>
        </w:rPr>
        <w:t>7.2 השלכות המחקר</w:t>
      </w:r>
    </w:p>
    <w:p>
      <w:pPr>
        <w:bidi w:val="1"/>
        <w:spacing w:line="360" w:lineRule="auto" w:before="0" w:after="120"/>
        <w:ind/>
        <w:jc w:val="both"/>
      </w:pPr>
      <w:r>
        <w:rPr>
          <w:rFonts w:ascii="David" w:hAnsi="David" w:cs="David"/>
          <w:b w:val="0"/>
          <w:color w:val="000000"/>
          <w:sz w:val="24"/>
          <w:szCs w:val="24"/>
          <w:rtl w:val="1"/>
        </w:rPr>
        <w:t>למחקר השלכות מעשיות אחדות. ראשית, יש מקום לשלב בהכשרת הגננות ובהשתלמויות ההמשך התייחסות מפורשת לסוגיית הצדק החלוקתי בגן, ובכלל זה להבחנה בין שווה להוגן, לחלוקת המשאבים הרכים, למאבק בעוול הסמוי של הילד השקט, ולהתמודדות עם הדרה על רקע כלכלי. שנית, ראוי לפתח כלים מעשיים, כגון כלי תצפית וכלי רפלקציה, שיסייעו לגננות להפוך את העשייה האינטואיטיבית לעשייה מודעת ומתועדת, ולנטר את חלוקת תשומת הלב והמשאבים באופן שיטתי. שלישית, ההכרה בגן כמרחב מתקן, המצמצם פערים חברתיים-כלכליים, מחייבת מדיניות תומכת המספקת לגננות את המשאבים והגיבוי הדרושים למימוש תפקידן כסוכנות של צדק ושוויון. רביעית, מומלץ להנגיש לגננות מתחילות ליווי וחונכות ממוקדים בתחום זה, כדי לקצר את הדרך אל השפה המקצועית שהגננות הוותיקות רכשו רק לאחר שנים של ניסיון.</w:t>
      </w:r>
    </w:p>
    <w:p>
      <w:pPr>
        <w:bidi w:val="1"/>
        <w:pStyle w:val="Heading2"/>
        <w:bidi w:val="1"/>
        <w:spacing w:line="360" w:lineRule="auto" w:before="280" w:after="160"/>
        <w:jc w:val="both"/>
      </w:pPr>
      <w:r>
        <w:rPr>
          <w:rFonts w:ascii="David" w:hAnsi="David" w:cs="David"/>
          <w:b/>
          <w:color w:val="000000"/>
          <w:sz w:val="26"/>
          <w:szCs w:val="26"/>
          <w:rtl w:val="1"/>
          <w:rtl w:val="1"/>
        </w:rPr>
        <w:t>7.3 המלצות למחקר המשך</w:t>
      </w:r>
    </w:p>
    <w:p>
      <w:pPr>
        <w:bidi w:val="1"/>
        <w:spacing w:line="360" w:lineRule="auto" w:before="0" w:after="120"/>
        <w:ind/>
        <w:jc w:val="both"/>
      </w:pPr>
      <w:r>
        <w:rPr>
          <w:rFonts w:ascii="David" w:hAnsi="David" w:cs="David"/>
          <w:b w:val="0"/>
          <w:color w:val="000000"/>
          <w:sz w:val="24"/>
          <w:szCs w:val="24"/>
          <w:rtl w:val="1"/>
        </w:rPr>
        <w:t>מוצע להרחיב את המדגם ולכלול גננות מאזורים גיאוגרפיים ומגזרים מגוונים, וכן גננים, כדי לבחון אם תפיסות הצדק משתנות בהתאם לרקע, למגדר ולהקשר. כן מוצע לשלב בין ראיונות לבין תצפיות בשדה, כדי לבחון את מידת ההלימה בין התפיסות המוצהרות של הגננות לבין הפרקטיקה בפועל, שכן ייתכן פער בין השניים. מחקר עתידי יוכל גם לבחון את סוגיית הצדק בגן דרך נקודת מבטם של הילדים עצמם ושל ההורים, ובכך להשלים את התמונה הרב-ממדית של ההתנהלות הצודקת בגן. לבסוף, ניתן לבחון לאורך זמן את השפעתה של הכשרה ייעודית בנושא הצדק החלוקתי על תפיסותיהן ועל פרקטיקות ההוראה של גננות.</w:t>
      </w:r>
    </w:p>
    <w:p>
      <w:pPr>
        <w:bidi w:val="1"/>
        <w:pStyle w:val="Heading2"/>
        <w:bidi w:val="1"/>
        <w:spacing w:line="360" w:lineRule="auto" w:before="280" w:after="160"/>
        <w:jc w:val="both"/>
      </w:pPr>
      <w:r>
        <w:rPr>
          <w:rFonts w:ascii="David" w:hAnsi="David" w:cs="David"/>
          <w:b/>
          <w:color w:val="000000"/>
          <w:sz w:val="26"/>
          <w:szCs w:val="26"/>
          <w:rtl w:val="1"/>
          <w:rtl w:val="1"/>
        </w:rPr>
        <w:t>7.4 מגבלות המחקר</w:t>
      </w:r>
    </w:p>
    <w:p>
      <w:pPr>
        <w:bidi w:val="1"/>
        <w:spacing w:line="360" w:lineRule="auto" w:before="0" w:after="120"/>
        <w:ind/>
        <w:jc w:val="both"/>
      </w:pPr>
      <w:r>
        <w:rPr>
          <w:rFonts w:ascii="David" w:hAnsi="David" w:cs="David"/>
          <w:b w:val="0"/>
          <w:color w:val="000000"/>
          <w:sz w:val="24"/>
          <w:szCs w:val="24"/>
          <w:rtl w:val="1"/>
        </w:rPr>
        <w:t>לצד תרומותיו, למחקר זה מספר מגבלות. ראשית, המדגם קטן וכולל שש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 רביעית, המחקר מבוסס על דיווח עצמי של הגננות בראיונות, ולכן ייתכן פער בין התפיסות המוצהרות שלהן לבין התנהלותן בפועל בשדה, פער שרק תצפית ישירה תוכל לחשוף.</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8. רשימת המקורות</w:t>
      </w:r>
    </w:p>
    <w:p>
      <w:pPr>
        <w:bidi w:val="1"/>
        <w:spacing w:line="360" w:lineRule="auto" w:before="0" w:after="80"/>
        <w:jc w:val="both"/>
      </w:pPr>
      <w:r>
        <w:rPr>
          <w:rFonts w:ascii="David" w:hAnsi="David" w:cs="David"/>
          <w:b/>
          <w:color w:val="000000"/>
          <w:sz w:val="24"/>
          <w:szCs w:val="24"/>
          <w:rtl w:val="1"/>
        </w:rPr>
        <w:t>מקורות בעברית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color w:val="000000"/>
          <w:sz w:val="24"/>
          <w:szCs w:val="24"/>
          <w:rtl w:val="1"/>
        </w:rPr>
        <w:t>מקורות באנגלית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9.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