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60" w:lineRule="auto"/>
        <w:jc w:val="center"/>
      </w:pPr>
      <w:r>
        <w:rPr>
          <w:rFonts w:ascii="Times New Roman" w:cs="David" w:eastAsia="David" w:hAnsi="Times New Roman"/>
          <w:b/>
          <w:bCs/>
          <w:i w:val="false"/>
          <w:sz w:val="30"/>
          <w:szCs w:val="30"/>
          <w:rtl/>
        </w:rPr>
        <w:t xml:space="preserve">המסלול האקדמי המכללה למינהל</w:t>
      </w:r>
    </w:p>
    <w:p>
      <w:pPr>
        <w:bidi/>
        <w:spacing w:after="480" w:before="0" w:line="360" w:lineRule="auto"/>
        <w:jc w:val="center"/>
      </w:pPr>
      <w:r>
        <w:rPr>
          <w:rFonts w:ascii="Times New Roman" w:cs="David" w:eastAsia="David" w:hAnsi="Times New Roman"/>
          <w:b/>
          <w:bCs/>
          <w:i w:val="false"/>
          <w:sz w:val="28"/>
          <w:szCs w:val="28"/>
          <w:rtl/>
        </w:rPr>
        <w:t xml:space="preserve">בית הספר לתקשורת</w:t>
      </w:r>
    </w:p>
    <w:p>
      <w:pPr>
        <w:bidi/>
        <w:spacing w:after="60" w:before="0" w:line="360" w:lineRule="auto"/>
        <w:jc w:val="center"/>
      </w:pPr>
      <w:r>
        <w:rPr>
          <w:rFonts w:ascii="Times New Roman" w:cs="David" w:eastAsia="David" w:hAnsi="Times New Roman"/>
          <w:b w:val="false"/>
          <w:i w:val="false"/>
          <w:sz w:val="26"/>
          <w:szCs w:val="26"/>
          <w:rtl/>
        </w:rPr>
        <w:t xml:space="preserve">עבודה מסכמת בקורס:</w:t>
      </w:r>
    </w:p>
    <w:p>
      <w:pPr>
        <w:bidi/>
        <w:spacing w:after="60" w:before="0" w:line="360" w:lineRule="auto"/>
        <w:jc w:val="center"/>
      </w:pPr>
      <w:r>
        <w:rPr>
          <w:rFonts w:ascii="Times New Roman" w:cs="David" w:eastAsia="David" w:hAnsi="Times New Roman"/>
          <w:b/>
          <w:bCs/>
          <w:i w:val="false"/>
          <w:sz w:val="28"/>
          <w:szCs w:val="28"/>
          <w:rtl/>
        </w:rPr>
        <w:t xml:space="preserve">קריאה וכתיבה אקדמית ב'</w:t>
      </w:r>
    </w:p>
    <w:p>
      <w:pPr>
        <w:bidi/>
        <w:spacing w:after="300" w:before="0" w:line="360" w:lineRule="auto"/>
        <w:jc w:val="center"/>
      </w:pPr>
      <w:r>
        <w:rPr>
          <w:rFonts w:ascii="Times New Roman" w:cs="David" w:eastAsia="David" w:hAnsi="Times New Roman"/>
          <w:b w:val="false"/>
          <w:i w:val="false"/>
          <w:sz w:val="24"/>
          <w:szCs w:val="24"/>
          <w:rtl/>
        </w:rPr>
        <w:t xml:space="preserve">קוד קורס: 411042, סמסטר ב', תשפ"ו</w:t>
      </w:r>
    </w:p>
    <w:p>
      <w:pPr>
        <w:bidi/>
        <w:spacing w:after="360" w:before="0" w:line="360" w:lineRule="auto"/>
        <w:jc w:val="center"/>
      </w:pPr>
      <w:r>
        <w:rPr>
          <w:rFonts w:ascii="Times New Roman" w:cs="David" w:eastAsia="David" w:hAnsi="Times New Roman"/>
          <w:b/>
          <w:bCs/>
          <w:i w:val="false"/>
          <w:sz w:val="32"/>
          <w:szCs w:val="32"/>
          <w:rtl/>
        </w:rPr>
        <w:t xml:space="preserve">תשתית לראש פרק בסקירת הספרות של עבודת הסמינריון</w:t>
      </w:r>
    </w:p>
    <w:p>
      <w:pPr>
        <w:bidi/>
        <w:spacing w:after="60" w:before="0" w:line="360" w:lineRule="auto"/>
        <w:jc w:val="center"/>
      </w:pPr>
      <w:r>
        <w:rPr>
          <w:rFonts w:ascii="Times New Roman" w:cs="David" w:eastAsia="David" w:hAnsi="Times New Roman"/>
          <w:b w:val="false"/>
          <w:i w:val="false"/>
          <w:sz w:val="26"/>
          <w:szCs w:val="26"/>
          <w:rtl/>
        </w:rPr>
        <w:t xml:space="preserve">מרצה: ______________</w:t>
      </w:r>
    </w:p>
    <w:p>
      <w:pPr>
        <w:bidi/>
        <w:spacing w:after="60" w:before="0" w:line="360" w:lineRule="auto"/>
        <w:jc w:val="center"/>
      </w:pPr>
      <w:r>
        <w:rPr>
          <w:rFonts w:ascii="Times New Roman" w:cs="David" w:eastAsia="David" w:hAnsi="Times New Roman"/>
          <w:b/>
          <w:bCs/>
          <w:i w:val="false"/>
          <w:sz w:val="26"/>
          <w:szCs w:val="26"/>
          <w:rtl/>
        </w:rPr>
        <w:t xml:space="preserve">מגישה: הדר פוקס</w:t>
      </w:r>
    </w:p>
    <w:p>
      <w:pPr>
        <w:bidi/>
        <w:spacing w:after="480" w:before="0" w:line="360" w:lineRule="auto"/>
        <w:jc w:val="center"/>
      </w:pPr>
      <w:r>
        <w:rPr>
          <w:rFonts w:ascii="Times New Roman" w:cs="David" w:eastAsia="David" w:hAnsi="Times New Roman"/>
          <w:b w:val="false"/>
          <w:i w:val="false"/>
          <w:sz w:val="26"/>
          <w:szCs w:val="26"/>
          <w:rtl/>
        </w:rPr>
        <w:t xml:space="preserve">ת"ז: ______________</w:t>
      </w:r>
    </w:p>
    <w:p>
      <w:pPr>
        <w:bidi/>
        <w:spacing w:after="0" w:before="0" w:line="360" w:lineRule="auto"/>
        <w:jc w:val="center"/>
      </w:pPr>
      <w:r>
        <w:rPr>
          <w:rFonts w:ascii="Times New Roman" w:cs="David" w:eastAsia="David" w:hAnsi="Times New Roman"/>
          <w:b w:val="false"/>
          <w:i w:val="false"/>
          <w:sz w:val="26"/>
          <w:szCs w:val="26"/>
          <w:rtl/>
        </w:rPr>
        <w:t xml:space="preserve">אב תשפ"ו, אוגוסט 2026</w:t>
      </w:r>
    </w:p>
    <w:p>
      <w:pPr>
        <w:pageBreakBefore/>
        <w:bidi/>
        <w:spacing w:after="240" w:line="360" w:lineRule="auto"/>
        <w:jc w:val="start"/>
      </w:pPr>
      <w:r>
        <w:rPr>
          <w:rFonts w:ascii="Times New Roman" w:cs="David" w:eastAsia="David" w:hAnsi="Times New Roman"/>
          <w:b/>
          <w:bCs/>
          <w:i w:val="false"/>
          <w:sz w:val="32"/>
          <w:szCs w:val="32"/>
          <w:rtl/>
        </w:rPr>
        <w:t xml:space="preserve">1. נושא העבודה ושאלת המחקר</w:t>
      </w:r>
    </w:p>
    <w:p>
      <w:pPr>
        <w:bidi/>
        <w:spacing w:after="120" w:line="360" w:lineRule="auto"/>
        <w:jc w:val="both"/>
      </w:pPr>
      <w:r>
        <w:rPr>
          <w:rFonts w:ascii="Times New Roman" w:cs="David" w:eastAsia="David" w:hAnsi="Times New Roman"/>
          <w:b w:val="false"/>
          <w:i w:val="false"/>
          <w:sz w:val="24"/>
          <w:szCs w:val="24"/>
          <w:rtl/>
        </w:rPr>
        <w:t xml:space="preserve">נושא עבודת הסמינריון, כפי שאושר על ידי מרצה הסמינריון בקורס "המשפט כתרבות פופולרית", הוא ניתוח אוטואתנוגרפי של תביעת עבודה, תוך התמקדות בפער שבין ייצוגי המשפט והצדק בתרבות הפופולרית לבין המציאות של ההליך, הסחבת והגבייה. שאלת המחקר: כיצד משתקף הפער בין הבניית "עשיית הצדק" בתרבות הפופולרית לבין מציאות הגבייה ויחסי הכוח בתביעות עבודה? ניתוח מקרה בוחן אישי.</w:t>
      </w:r>
    </w:p>
    <w:p>
      <w:pPr>
        <w:bidi/>
        <w:spacing w:after="240" w:line="360" w:lineRule="auto"/>
        <w:jc w:val="start"/>
      </w:pPr>
      <w:r>
        <w:rPr>
          <w:rFonts w:ascii="Times New Roman" w:cs="David" w:eastAsia="David" w:hAnsi="Times New Roman"/>
          <w:b/>
          <w:bCs/>
          <w:i w:val="false"/>
          <w:sz w:val="32"/>
          <w:szCs w:val="32"/>
          <w:rtl/>
        </w:rPr>
        <w:t xml:space="preserve">2. שלושת הפריטים האקדמיים ואופן איתורם</w:t>
      </w:r>
    </w:p>
    <w:p>
      <w:pPr>
        <w:bidi/>
        <w:spacing w:after="120" w:line="360" w:lineRule="auto"/>
        <w:jc w:val="both"/>
      </w:pPr>
      <w:r>
        <w:rPr>
          <w:rFonts w:ascii="Times New Roman" w:cs="David" w:eastAsia="David" w:hAnsi="Times New Roman"/>
          <w:b w:val="false"/>
          <w:i w:val="false"/>
          <w:sz w:val="24"/>
          <w:szCs w:val="24"/>
          <w:rtl/>
        </w:rPr>
        <w:t xml:space="preserve">(Sandefur, 2019) - מאמר אקדמי מכתב עת. אותר במנוע החיפוש Google Scholar באמצעות מילות החיפוש והאופרטורים: "access to justice" AND "legal aid" AND inequality. קישור לטקסט המלא:</w:t>
      </w:r>
    </w:p>
    <w:p>
      <w:pPr>
        <w:bidi w:val="false"/>
        <w:spacing w:after="120" w:line="360" w:lineRule="auto"/>
        <w:ind w:left="709"/>
        <w:jc w:val="left"/>
      </w:pPr>
      <w:hyperlink w:history="1" r:id="rIddphlygreo5hzr35mkjvhn">
        <w:r>
          <w:rPr>
            <w:rStyle w:val="Hyperlink"/>
            <w:rFonts w:ascii="Times New Roman" w:cs="Times New Roman" w:eastAsia="Times New Roman" w:hAnsi="Times New Roman"/>
            <w:sz w:val="22"/>
            <w:szCs w:val="22"/>
          </w:rPr>
          <w:t xml:space="preserve">https://www.amacad.org/sites/default/files/publication/downloads/19_Winter_Daedalus_Sandefur.pdf</w:t>
        </w:r>
      </w:hyperlink>
    </w:p>
    <w:p>
      <w:pPr>
        <w:bidi/>
        <w:spacing w:after="120" w:line="360" w:lineRule="auto"/>
        <w:jc w:val="both"/>
      </w:pPr>
      <w:r>
        <w:rPr>
          <w:rFonts w:ascii="Times New Roman" w:cs="David" w:eastAsia="David" w:hAnsi="Times New Roman"/>
          <w:b w:val="false"/>
          <w:i w:val="false"/>
          <w:sz w:val="24"/>
          <w:szCs w:val="24"/>
          <w:rtl/>
        </w:rPr>
        <w:t xml:space="preserve">(Sela, 2016) - מאמר אקדמי מכתב עת. אותר במנוע החיפוש Google Scholar באמצעות מילות החיפוש והאופרטורים: "online courts" AND "self-represented litigants". קישור לטקסט המלא:</w:t>
      </w:r>
    </w:p>
    <w:p>
      <w:pPr>
        <w:bidi w:val="false"/>
        <w:spacing w:after="120" w:line="360" w:lineRule="auto"/>
        <w:ind w:left="709"/>
        <w:jc w:val="left"/>
      </w:pPr>
      <w:hyperlink w:history="1" r:id="rIdnznb0peoc82v5nftrsisg">
        <w:r>
          <w:rPr>
            <w:rStyle w:val="Hyperlink"/>
            <w:rFonts w:ascii="Times New Roman" w:cs="Times New Roman" w:eastAsia="Times New Roman" w:hAnsi="Times New Roman"/>
            <w:sz w:val="22"/>
            <w:szCs w:val="22"/>
          </w:rPr>
          <w:t xml:space="preserve">https://scholarship.law.cornell.edu/cjlpp/vol26/iss2/3/</w:t>
        </w:r>
      </w:hyperlink>
    </w:p>
    <w:p>
      <w:pPr>
        <w:bidi/>
        <w:spacing w:after="120" w:line="360" w:lineRule="auto"/>
        <w:jc w:val="both"/>
      </w:pPr>
      <w:r>
        <w:rPr>
          <w:rFonts w:ascii="Times New Roman" w:cs="David" w:eastAsia="David" w:hAnsi="Times New Roman"/>
          <w:b w:val="false"/>
          <w:i w:val="false"/>
          <w:sz w:val="24"/>
          <w:szCs w:val="24"/>
          <w:rtl/>
        </w:rPr>
        <w:t xml:space="preserve">(מור, 2016) - מאמר אקדמי מכתב עת. אותר במדור כתבי העת של המאגר המשפטי נבו, בכתב העת "חוקים", באמצעות מילות החיפוש: נגישות לצדק AND נגישות למשפט. קישור לטקסט המלא:</w:t>
      </w:r>
    </w:p>
    <w:p>
      <w:pPr>
        <w:bidi w:val="false"/>
        <w:spacing w:after="120" w:line="360" w:lineRule="auto"/>
        <w:ind w:left="709"/>
        <w:jc w:val="left"/>
      </w:pPr>
      <w:hyperlink w:history="1" r:id="rIdf0f-sy4fjlma6obqcchs2">
        <w:r>
          <w:rPr>
            <w:rStyle w:val="Hyperlink"/>
            <w:rFonts w:ascii="Times New Roman" w:cs="Times New Roman" w:eastAsia="Times New Roman" w:hAnsi="Times New Roman"/>
            <w:sz w:val="22"/>
            <w:szCs w:val="22"/>
          </w:rPr>
          <w:t xml:space="preserve">https://law.haifa.ac.il/images/documents/Trial_Accessible%20to%20all.pdf</w:t>
        </w:r>
      </w:hyperlink>
    </w:p>
    <w:p>
      <w:pPr>
        <w:bidi/>
        <w:spacing w:after="240" w:line="360" w:lineRule="auto"/>
        <w:jc w:val="start"/>
      </w:pPr>
      <w:r>
        <w:rPr>
          <w:rFonts w:ascii="Times New Roman" w:cs="David" w:eastAsia="David" w:hAnsi="Times New Roman"/>
          <w:b/>
          <w:bCs/>
          <w:i w:val="false"/>
          <w:sz w:val="32"/>
          <w:szCs w:val="32"/>
          <w:rtl/>
        </w:rPr>
        <w:t xml:space="preserve">3. ראש הפרק: הייצוג מטעם המדינה ונגישות לצדק</w:t>
      </w:r>
    </w:p>
    <w:p>
      <w:pPr>
        <w:bidi/>
        <w:spacing w:after="120" w:line="360" w:lineRule="auto"/>
        <w:jc w:val="both"/>
      </w:pPr>
      <w:r>
        <w:rPr>
          <w:rFonts w:ascii="Times New Roman" w:cs="David" w:eastAsia="David" w:hAnsi="Times New Roman"/>
          <w:b w:val="false"/>
          <w:i w:val="false"/>
          <w:sz w:val="24"/>
          <w:szCs w:val="24"/>
          <w:rtl/>
        </w:rPr>
        <w:t xml:space="preserve">ראש פרק זה, הראשון בסקירת הספרות של עבודת הסמינריון, עוסק בנגישות לצדק ובייצוג המשפטי הניתן מטעם המדינה למי שידם אינה משגת. נקודת המוצא היא שזכות הגישה לערכאות נותרת ריקה מתוכן כאשר מימושה בפועל תלוי במשאבים, בידע ובזמן שאין לתובע מן השורה. בשיח הציבורי מקובל לזהות את פתרון הבעיה עם עצם קיומו של ייצוג, כלומר עם מינוי עורך דין מטעם הסיוע המשפטי למי שאינו יכול לשלם, וכך נמדדת בדרך כלל גם הצלחתה של מדיניות הרווחה המשפטית. הטענה המרכזית של ראש הפרק היא שנגישות לצדק אינה מסתכמת בהעמדת עורך דין, אלא תלויה באופן שבו המוסדות בנויים, בשפה שבה הם מדברים, ובאופן שבו בעלי הדין תופסים אותם וחווים אותם לאורך ההליך. מן הטענה נגזרת השערה מעשית: גם מי שקיבל ייצוג ציבורי מלא עשוי להיתקל בחסמים של זמן, ידע, שפה ותודעה, ולחוות את ההליך כזירה זרה שאינה ערוכה סביבו. לביסוס הטענה נשען הפרק על שלושה מקורות מן העשור האחרון, הבוחנים את הנגישות משלושה כיוונים משלימים: הגדרה מחודשת של היקף הבעיה ושורשיה, העיצוב המוסדי והטכנולוגי של מערכות יישוב סכסוכים, וההמשגה הישראלית העדכנית של המושג. הדיון המשולב בשלושתם יניח את התשתית לניתוח חוויית הייצוג מטעם המדינה במקרה הבוחן האישי שבלב העבודה.</w:t>
      </w:r>
    </w:p>
    <w:p>
      <w:pPr>
        <w:bidi/>
        <w:spacing w:after="120" w:line="360" w:lineRule="auto"/>
        <w:jc w:val="both"/>
      </w:pPr>
      <w:r>
        <w:rPr>
          <w:rFonts w:ascii="Times New Roman" w:cs="David" w:eastAsia="David" w:hAnsi="Times New Roman"/>
          <w:b w:val="false"/>
          <w:i w:val="false"/>
          <w:sz w:val="24"/>
          <w:szCs w:val="24"/>
          <w:rtl/>
        </w:rPr>
        <w:t xml:space="preserve">סנדפור (Sandefur, 2019) בוחנת את משבר הנגישות לצדק בארצות הברית ומציעה לו אבחון מפתיע. לטענתה, הבעיה המרכזית אינה מחסור בעורכי דין או במימון הייצוג, כפי שנהוג להניח. מחקריה מראים שמרבית האנשים המתמודדים עם בעיות בעלות אופי משפטי, בתחומי תעסוקה, דיור וחובות, כלל אינם מזהים אותן כבעיות משפטיות. משום כך הם אינם פונים לעזרה מקצועית, והבעיות מוכרעות בפועל על ידי הצד החזק, המעסיק, בעל הבית או הנושה. גם כאשר האזרח כן מגיע למערכת, הוא מוצא מוסדות שבנויים סביב צורכיהם של אנשי המקצוע ולא סביב יכולותיו של ההדיוט. מכאן שהפתרון אינו רק תוספת של עורכי דין, אלא עיצוב מחדש של נקודות המפגש שבין הציבור למערכת. המסקנה החשובה לענייננו היא שייצוג ציבורי הוא תנאי הכרחי אך לא מספיק לנגישות ממשית לצדק.</w:t>
      </w:r>
    </w:p>
    <w:p>
      <w:pPr>
        <w:bidi/>
        <w:spacing w:after="120" w:line="360" w:lineRule="auto"/>
        <w:jc w:val="both"/>
      </w:pPr>
      <w:r>
        <w:rPr>
          <w:rFonts w:ascii="Times New Roman" w:cs="David" w:eastAsia="David" w:hAnsi="Times New Roman"/>
          <w:b w:val="false"/>
          <w:i w:val="false"/>
          <w:sz w:val="24"/>
          <w:szCs w:val="24"/>
          <w:rtl/>
        </w:rPr>
        <w:t xml:space="preserve">שני המקורות הנוספים מפתחים את הכיוון הזה משני עברים, הטכנולוגי-מוסדי והמושגי-ישראלי. סלע (Sela, 2016) מתמקדת בעיצוב המוסדי ומראה כיצד בתי משפט מקוונים יכולים לתת מענה לקשייהם של מתדיינים המייצגים את עצמם, אלה שההליך המסורתי יקר, מסורבל ומרתיע מדי עבורם. ממחקרה עולה שעיצוב נכון של סביבת ההתדיינות משפר את חוויית ההליך ההוגן של בעלי דין לא מיוצגים, כלומר שהנגישות תלויה במבנה הממשק שבין האזרח למערכת. מור (2016) מציעה את התשתית המושגית לדיון הישראלי ומבחינה בין שלוש רמות של נגישות: גישה לערכאות, נגישות למשפט ונגישות לצדק, שהיא התוצאה ההוגנת בפועל. מניתוחה, הנשען על ביקורת המוגבלות, עולה שחסמים בדרך אל הצדק אינם תקלה נקודתית אלא מאפיין מבני של האופן שבו המערכת תוכננה, ולכן הסרתם דורשת עיצוב מחדש של המוסדות ולא רק סיוע פרטני. חיבור שני המקורות מלמד שהנגישות מוכרעת בשני מפגשים: בין האזרח למוסד, ובין האזרח למושג הצדק שהוא נושא עימו. כאשר המפגשים האלה מתווכים על ידי מחסור ועומס, הייצוג הציבורי נחווה כברירת מחדל ולא כזכות.</w:t>
      </w:r>
    </w:p>
    <w:p>
      <w:pPr>
        <w:bidi/>
        <w:spacing w:after="120" w:line="360" w:lineRule="auto"/>
        <w:jc w:val="both"/>
      </w:pPr>
      <w:r>
        <w:rPr>
          <w:rFonts w:ascii="Times New Roman" w:cs="David" w:eastAsia="David" w:hAnsi="Times New Roman"/>
          <w:b w:val="false"/>
          <w:i w:val="false"/>
          <w:sz w:val="24"/>
          <w:szCs w:val="24"/>
          <w:rtl/>
        </w:rPr>
        <w:t xml:space="preserve">השורה התחתונה של ראש הפרק היא שנגישות לצדק צריכה להימדד בחוויית המשתמש ובתוצאה המעשית, ולא רק בקיומו הפורמלי של ייצוג. שלושת המקורות, כל אחד מזווית אחרת, מצביעים יחד על פער עקבי בין הזכות הכתובה לבין מימושה בפועל, פער שמתרכז דווקא אצל האוכלוסיות התלויות בייצוג הציבורי. הפער אינו נסגר ברגע שממונה עורך דין מטעם המדינה, והוא מלווה את בעל הדין בכל תחנה של ההליך, מהגשת התביעה ועד ההכרעה. חשוב מכך, הוא אינו מסתיים גם בפסק הדין עצמו, שכן זכייה כתובה שאינה נאכפת נותרת הבטחה על נייר. מסקנה זו מובילה ישירות לראש הפרק הבא בסקירת הספרות, שיעסוק בפער שבין החוק שבספרים לחוק שבפעולה לאור תופעת האקטיביזם המשפטי בישראל. שם ייבחן השלב שבו הנגישות לצדק עומדת במבחנה האחרון והקשה ביותר: גביית פסק הדין הלכה למעשה.</w:t>
      </w:r>
    </w:p>
    <w:p>
      <w:pPr>
        <w:pageBreakBefore/>
        <w:bidi/>
        <w:spacing w:after="240" w:line="360" w:lineRule="auto"/>
        <w:jc w:val="start"/>
      </w:pPr>
      <w:r>
        <w:rPr>
          <w:rFonts w:ascii="Times New Roman" w:cs="David" w:eastAsia="David" w:hAnsi="Times New Roman"/>
          <w:b/>
          <w:bCs/>
          <w:i w:val="false"/>
          <w:sz w:val="32"/>
          <w:szCs w:val="32"/>
          <w:rtl/>
        </w:rPr>
        <w:t xml:space="preserve">רשימת מקורות</w:t>
      </w:r>
    </w:p>
    <w:p>
      <w:pPr>
        <w:bidi/>
        <w:spacing w:after="180" w:line="360" w:lineRule="auto"/>
        <w:ind w:left="709" w:hanging="709"/>
        <w:jc w:val="start"/>
      </w:pPr>
      <w:r>
        <w:rPr>
          <w:rFonts w:ascii="Times New Roman" w:cs="David" w:eastAsia="David" w:hAnsi="Times New Roman"/>
          <w:b w:val="false"/>
          <w:i w:val="false"/>
          <w:sz w:val="24"/>
          <w:szCs w:val="24"/>
          <w:rtl/>
        </w:rPr>
        <w:t xml:space="preserve">מור, ש' (2016). משפט נגיש לכל: הזכות לנגישות ונגישות למשפט - ביקורת מוגבלות. </w:t>
      </w:r>
      <w:r>
        <w:rPr>
          <w:rFonts w:ascii="Times New Roman" w:cs="David" w:eastAsia="David" w:hAnsi="Times New Roman"/>
          <w:b w:val="false"/>
          <w:i/>
          <w:iCs/>
          <w:sz w:val="24"/>
          <w:szCs w:val="24"/>
          <w:rtl/>
        </w:rPr>
        <w:t xml:space="preserve">חוקים, ח</w:t>
      </w:r>
      <w:r>
        <w:rPr>
          <w:rFonts w:ascii="Times New Roman" w:cs="David" w:eastAsia="David" w:hAnsi="Times New Roman"/>
          <w:b w:val="false"/>
          <w:i w:val="false"/>
          <w:sz w:val="24"/>
          <w:szCs w:val="24"/>
          <w:rtl/>
        </w:rPr>
        <w:t xml:space="preserve">, 15-83. זמין במאגר המשפטי נבו.</w:t>
      </w:r>
    </w:p>
    <w:p>
      <w:pPr>
        <w:bidi w:val="false"/>
        <w:spacing w:after="180" w:line="360" w:lineRule="auto"/>
        <w:ind w:left="709"/>
        <w:jc w:val="left"/>
      </w:pPr>
      <w:hyperlink w:history="1" r:id="rIdyvvfiocuj5eh9k-1upsqm">
        <w:r>
          <w:rPr>
            <w:rStyle w:val="Hyperlink"/>
            <w:rFonts w:ascii="Times New Roman" w:cs="Times New Roman" w:eastAsia="Times New Roman" w:hAnsi="Times New Roman"/>
            <w:sz w:val="22"/>
            <w:szCs w:val="22"/>
          </w:rPr>
          <w:t xml:space="preserve">https://law.haifa.ac.il/images/documents/Trial_Accessible%20to%20all.pdf</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Sela, A. (2016). Streamlining justice: How online courts can resolve the challenges of pro se litigation. </w:t>
      </w:r>
      <w:r>
        <w:rPr>
          <w:rFonts w:ascii="Times New Roman" w:cs="Times New Roman" w:eastAsia="Times New Roman" w:hAnsi="Times New Roman"/>
          <w:b w:val="false"/>
          <w:i/>
          <w:iCs/>
          <w:sz w:val="24"/>
          <w:szCs w:val="24"/>
          <w:rtl w:val="false"/>
        </w:rPr>
        <w:t xml:space="preserve">Cornell Journal of Law and Public Policy, 26</w:t>
      </w:r>
      <w:r>
        <w:rPr>
          <w:rFonts w:ascii="Times New Roman" w:cs="Times New Roman" w:eastAsia="Times New Roman" w:hAnsi="Times New Roman"/>
          <w:b w:val="false"/>
          <w:i w:val="false"/>
          <w:sz w:val="24"/>
          <w:szCs w:val="24"/>
          <w:rtl w:val="false"/>
        </w:rPr>
        <w:t xml:space="preserve">(2), 331.</w:t>
      </w:r>
    </w:p>
    <w:p>
      <w:pPr>
        <w:bidi w:val="false"/>
        <w:spacing w:after="180" w:line="360" w:lineRule="auto"/>
        <w:ind w:left="709"/>
        <w:jc w:val="left"/>
      </w:pPr>
      <w:hyperlink w:history="1" r:id="rIdzcrbtipudzvbrlasmebdc">
        <w:r>
          <w:rPr>
            <w:rStyle w:val="Hyperlink"/>
            <w:rFonts w:ascii="Times New Roman" w:cs="Times New Roman" w:eastAsia="Times New Roman" w:hAnsi="Times New Roman"/>
            <w:sz w:val="22"/>
            <w:szCs w:val="22"/>
          </w:rPr>
          <w:t xml:space="preserve">https://scholarship.law.cornell.edu/cjlpp/vol26/iss2/3/</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Sandefur, R. L. (2019). Access to what? </w:t>
      </w:r>
      <w:r>
        <w:rPr>
          <w:rFonts w:ascii="Times New Roman" w:cs="Times New Roman" w:eastAsia="Times New Roman" w:hAnsi="Times New Roman"/>
          <w:b w:val="false"/>
          <w:i/>
          <w:iCs/>
          <w:sz w:val="24"/>
          <w:szCs w:val="24"/>
          <w:rtl w:val="false"/>
        </w:rPr>
        <w:t xml:space="preserve">Daedalus, 148</w:t>
      </w:r>
      <w:r>
        <w:rPr>
          <w:rFonts w:ascii="Times New Roman" w:cs="Times New Roman" w:eastAsia="Times New Roman" w:hAnsi="Times New Roman"/>
          <w:b w:val="false"/>
          <w:i w:val="false"/>
          <w:sz w:val="24"/>
          <w:szCs w:val="24"/>
          <w:rtl w:val="false"/>
        </w:rPr>
        <w:t xml:space="preserve">(1), 49-55.</w:t>
      </w:r>
    </w:p>
    <w:p>
      <w:pPr>
        <w:bidi w:val="false"/>
        <w:spacing w:after="180" w:line="360" w:lineRule="auto"/>
        <w:ind w:left="709"/>
        <w:jc w:val="left"/>
      </w:pPr>
      <w:hyperlink w:history="1" r:id="rIdllt9q6sh0hnmpeo8kvg1p">
        <w:r>
          <w:rPr>
            <w:rStyle w:val="Hyperlink"/>
            <w:rFonts w:ascii="Times New Roman" w:cs="Times New Roman" w:eastAsia="Times New Roman" w:hAnsi="Times New Roman"/>
            <w:sz w:val="22"/>
            <w:szCs w:val="22"/>
          </w:rPr>
          <w:t xml:space="preserve">https://doi.org/10.1162/daed_a_00534</w:t>
        </w:r>
      </w:hyperlink>
    </w:p>
    <w:p>
      <w:pPr>
        <w:pageBreakBefore/>
        <w:bidi/>
        <w:spacing w:after="240" w:line="360" w:lineRule="auto"/>
        <w:jc w:val="start"/>
      </w:pPr>
      <w:r>
        <w:rPr>
          <w:rFonts w:ascii="Times New Roman" w:cs="David" w:eastAsia="David" w:hAnsi="Times New Roman"/>
          <w:b/>
          <w:bCs/>
          <w:i w:val="false"/>
          <w:sz w:val="32"/>
          <w:szCs w:val="32"/>
          <w:rtl/>
        </w:rPr>
        <w:t xml:space="preserve">נספחים</w:t>
      </w:r>
    </w:p>
    <w:p>
      <w:pPr>
        <w:bidi/>
        <w:spacing w:after="120" w:line="360" w:lineRule="auto"/>
        <w:jc w:val="both"/>
      </w:pPr>
      <w:r>
        <w:rPr>
          <w:rFonts w:ascii="Times New Roman" w:cs="David" w:eastAsia="David" w:hAnsi="Times New Roman"/>
          <w:b w:val="false"/>
          <w:i w:val="false"/>
          <w:sz w:val="24"/>
          <w:szCs w:val="24"/>
          <w:rtl/>
        </w:rPr>
        <w:t xml:space="preserve">להלן העמודים המרכזיים מן הפריטים האקדמיים ששימשו לכתיבת ראש הפרק. הפריטים המלאים מצורפים לתיבת ההגשה כנדרש בהנחיות.</w:t>
      </w:r>
    </w:p>
    <w:p>
      <w:pPr>
        <w:bidi/>
        <w:spacing w:after="120" w:line="360" w:lineRule="auto"/>
        <w:jc w:val="start"/>
      </w:pPr>
      <w:r>
        <w:rPr>
          <w:rFonts w:ascii="Times New Roman" w:cs="David" w:eastAsia="David" w:hAnsi="Times New Roman"/>
          <w:b/>
          <w:bCs/>
          <w:i w:val="false"/>
          <w:sz w:val="24"/>
          <w:szCs w:val="24"/>
          <w:u w:val="single"/>
          <w:rtl/>
        </w:rPr>
        <w:t xml:space="preserve">נספח א: Sandefur (2019), המאמר המלא</w:t>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10125" cy="6800850"/>
                    </a:xfrm>
                    <a:prstGeom prst="rect">
                      <a:avLst/>
                    </a:prstGeom>
                  </pic:spPr>
                </pic:pic>
              </a:graphicData>
            </a:graphic>
          </wp:inline>
        </w:drawing>
      </w:r>
    </w:p>
    <w:p>
      <w:pPr>
        <w:pageBreakBefore/>
        <w:bidi/>
        <w:spacing w:after="120" w:line="360" w:lineRule="auto"/>
        <w:jc w:val="start"/>
      </w:pPr>
      <w:r>
        <w:rPr>
          <w:rFonts w:ascii="Times New Roman" w:cs="David" w:eastAsia="David" w:hAnsi="Times New Roman"/>
          <w:b/>
          <w:bCs/>
          <w:i w:val="false"/>
          <w:sz w:val="24"/>
          <w:szCs w:val="24"/>
          <w:u w:val="single"/>
          <w:rtl/>
        </w:rPr>
        <w:t xml:space="preserve">נספח ב: מור (2016), עמ' 15-18 (תקציר, מבוא וההבחנה בין שלושת מישורי הנגישות)</w:t>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10125" cy="6800850"/>
                    </a:xfrm>
                    <a:prstGeom prst="rect">
                      <a:avLst/>
                    </a:prstGeom>
                  </pic:spPr>
                </pic:pic>
              </a:graphicData>
            </a:graphic>
          </wp:inline>
        </w:drawing>
      </w:r>
    </w:p>
    <w:p>
      <w:pPr>
        <w:pageBreakBefore/>
        <w:bidi/>
        <w:spacing w:after="120" w:line="360" w:lineRule="auto"/>
        <w:jc w:val="start"/>
      </w:pPr>
      <w:r>
        <w:rPr>
          <w:rFonts w:ascii="Times New Roman" w:cs="David" w:eastAsia="David" w:hAnsi="Times New Roman"/>
          <w:b/>
          <w:bCs/>
          <w:i w:val="false"/>
          <w:sz w:val="24"/>
          <w:szCs w:val="24"/>
          <w:u w:val="single"/>
          <w:rtl/>
        </w:rPr>
        <w:t xml:space="preserve">נספח ג: Sela (2016), עמ' 331-334 (עמוד השער והתקציר, המבוא ומבנה הטיעון)</w:t>
      </w:r>
    </w:p>
    <w:p>
      <w:pPr>
        <w:spacing w:after="60"/>
        <w:jc w:val="center"/>
      </w:pPr>
      <w:r>
        <w:drawing>
          <wp:inline distT="0" distB="0" distL="0" distR="0">
            <wp:extent cx="4411362"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11362" cy="6800850"/>
                    </a:xfrm>
                    <a:prstGeom prst="rect">
                      <a:avLst/>
                    </a:prstGeom>
                  </pic:spPr>
                </pic:pic>
              </a:graphicData>
            </a:graphic>
          </wp:inline>
        </w:drawing>
      </w:r>
    </w:p>
    <w:p>
      <w:pPr>
        <w:spacing w:after="60"/>
        <w:jc w:val="center"/>
      </w:pPr>
      <w:r>
        <w:drawing>
          <wp:inline distT="0" distB="0" distL="0" distR="0">
            <wp:extent cx="4411362"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11362" cy="6800850"/>
                    </a:xfrm>
                    <a:prstGeom prst="rect">
                      <a:avLst/>
                    </a:prstGeom>
                  </pic:spPr>
                </pic:pic>
              </a:graphicData>
            </a:graphic>
          </wp:inline>
        </w:drawing>
      </w:r>
    </w:p>
    <w:p>
      <w:pPr>
        <w:spacing w:after="60"/>
        <w:jc w:val="center"/>
      </w:pPr>
      <w:r>
        <w:drawing>
          <wp:inline distT="0" distB="0" distL="0" distR="0">
            <wp:extent cx="4411362"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11362" cy="6800850"/>
                    </a:xfrm>
                    <a:prstGeom prst="rect">
                      <a:avLst/>
                    </a:prstGeom>
                  </pic:spPr>
                </pic:pic>
              </a:graphicData>
            </a:graphic>
          </wp:inline>
        </w:drawing>
      </w:r>
    </w:p>
    <w:p>
      <w:pPr>
        <w:spacing w:after="60"/>
        <w:jc w:val="center"/>
      </w:pPr>
      <w:r>
        <w:drawing>
          <wp:inline distT="0" distB="0" distL="0" distR="0">
            <wp:extent cx="4411362"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11362" cy="6800850"/>
                    </a:xfrm>
                    <a:prstGeom prst="rect">
                      <a:avLst/>
                    </a:prstGeom>
                  </pic:spPr>
                </pic:pic>
              </a:graphicData>
            </a:graphic>
          </wp:inline>
        </w:drawing>
      </w:r>
    </w:p>
    <w:sectPr>
      <w:headerReference w:type="default" r:id="rId7"/>
      <w:head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dphlygreo5hzr35mkjvhn" Type="http://schemas.openxmlformats.org/officeDocument/2006/relationships/hyperlink" Target="https://www.amacad.org/sites/default/files/publication/downloads/19_Winter_Daedalus_Sandefur.pdf" TargetMode="External"/><Relationship Id="rIdnznb0peoc82v5nftrsisg" Type="http://schemas.openxmlformats.org/officeDocument/2006/relationships/hyperlink" Target="https://scholarship.law.cornell.edu/cjlpp/vol26/iss2/3/" TargetMode="External"/><Relationship Id="rIdf0f-sy4fjlma6obqcchs2" Type="http://schemas.openxmlformats.org/officeDocument/2006/relationships/hyperlink" Target="https://law.haifa.ac.il/images/documents/Trial_Accessible%20to%20all.pdf" TargetMode="External"/><Relationship Id="rIdyvvfiocuj5eh9k-1upsqm" Type="http://schemas.openxmlformats.org/officeDocument/2006/relationships/hyperlink" Target="https://law.haifa.ac.il/images/documents/Trial_Accessible%20to%20all.pdf" TargetMode="External"/><Relationship Id="rIdzcrbtipudzvbrlasmebdc" Type="http://schemas.openxmlformats.org/officeDocument/2006/relationships/hyperlink" Target="https://scholarship.law.cornell.edu/cjlpp/vol26/iss2/3/" TargetMode="External"/><Relationship Id="rIdllt9q6sh0hnmpeo8kvg1p" Type="http://schemas.openxmlformats.org/officeDocument/2006/relationships/hyperlink" Target="https://doi.org/10.1162/daed_a_00534" TargetMode="External"/><Relationship Id="rId9" Type="http://schemas.openxmlformats.org/officeDocument/2006/relationships/image" Target="media/05ddc4aeaab80d6433e1901a35456985d6fc9a90.jpg"/><Relationship Id="rId10" Type="http://schemas.openxmlformats.org/officeDocument/2006/relationships/image" Target="media/808f9b05d2e65b8475b6674603dd85ac0be4dbba.jpg"/><Relationship Id="rId11" Type="http://schemas.openxmlformats.org/officeDocument/2006/relationships/image" Target="media/5434cd452d491c8f88e8c0e557cf33ab76c050f0.jpg"/><Relationship Id="rId12" Type="http://schemas.openxmlformats.org/officeDocument/2006/relationships/image" Target="media/528b715e97728522137617da93ecad35f179dba3.jpg"/><Relationship Id="rId13" Type="http://schemas.openxmlformats.org/officeDocument/2006/relationships/image" Target="media/3bfb804059136416a0a72a24d59aec27fcb3aa35.jpg"/><Relationship Id="rId14" Type="http://schemas.openxmlformats.org/officeDocument/2006/relationships/image" Target="media/dc31621a732de98d44604830c2fb80395f54b3c5.jpg"/><Relationship Id="rId15" Type="http://schemas.openxmlformats.org/officeDocument/2006/relationships/image" Target="media/51e8b7e61f9f741c39d0d89576492fc9c9c261ee.jpg"/><Relationship Id="rId16" Type="http://schemas.openxmlformats.org/officeDocument/2006/relationships/image" Target="media/07ea3fad040d00609925643ddf65f83e6378ddbd.jpg"/><Relationship Id="rId17" Type="http://schemas.openxmlformats.org/officeDocument/2006/relationships/image" Target="media/6fd9a78d3f3dbfc1555e9af8c462a71e25ef578e.jpg"/><Relationship Id="rId18" Type="http://schemas.openxmlformats.org/officeDocument/2006/relationships/image" Target="media/77d77b9906d98d2355336fbc5e6558001bebf26f.jpg"/><Relationship Id="rId19" Type="http://schemas.openxmlformats.org/officeDocument/2006/relationships/image" Target="media/ea1109ba8fcf8668a9c705dc6dac16d8775bab03.jpg"/><Relationship Id="rId20" Type="http://schemas.openxmlformats.org/officeDocument/2006/relationships/image" Target="media/70323d3044096d128cb10703c9e7d61700d33f54.jpg"/><Relationship Id="rId21" Type="http://schemas.openxmlformats.org/officeDocument/2006/relationships/image" Target="media/484f1b0513760c2cd8c6d979da10211fac41cfac.jpg"/><Relationship Id="rId22" Type="http://schemas.openxmlformats.org/officeDocument/2006/relationships/image" Target="media/00c62ea153e639020855935c9839a2ae3f8030bd.jpg"/><Relationship Id="rId23" Type="http://schemas.openxmlformats.org/officeDocument/2006/relationships/image" Target="media/70ddf3c3fd2390bde80faa1b054110ed552fc6f3.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תשתית לראש פרק בסקירת הספרות של עבודת הסמינריון</dc:title>
  <dc:creator>הדר פוקס</dc:creator>
  <cp:lastModifiedBy>Un-named</cp:lastModifiedBy>
  <cp:revision>1</cp:revision>
  <dcterms:created xsi:type="dcterms:W3CDTF">2026-08-01T11:42:59.257Z</dcterms:created>
  <dcterms:modified xsi:type="dcterms:W3CDTF">2026-08-01T11:42:59.258Z</dcterms:modified>
</cp:coreProperties>
</file>

<file path=docProps/custom.xml><?xml version="1.0" encoding="utf-8"?>
<Properties xmlns="http://schemas.openxmlformats.org/officeDocument/2006/custom-properties" xmlns:vt="http://schemas.openxmlformats.org/officeDocument/2006/docPropsVTypes"/>
</file>