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(אנגל, תש"ף, עמ' 13-55; השל, תש"ף, עמ' 5-30; Engel, 2009, pp. 30-53).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(פלדמן, תש"ף, עמ' 295-296).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(ברזלי, תש"ף, עמ' 195-196, 206-207).</w:t>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(וולקוב, 2002, עמ' 71-98; Volkov, 1978, pp. 25-46).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w:t>
      </w:r>
    </w:p>
    <w:p>
      <w:pPr>
        <w:pStyle w:val="Heading1"/>
        <w:pageBreakBefore/>
        <w:bidi/>
        <w:spacing w:after="160" w:before="360" w:line="360"/>
        <w:jc w:val="right"/>
      </w:pPr>
      <w:r>
        <w:rPr>
          <w:rFonts w:ascii="David" w:cs="David" w:eastAsia="David" w:hAnsi="David"/>
          <w:b/>
          <w:bCs/>
          <w:sz w:val="32"/>
          <w:szCs w:val="32"/>
          <w:rtl/>
        </w:rPr>
        <w:t xml:space="preserve">פרק שני: הגורמים למהפך שאינם קשורים לפרשת דרייפוס</w:t>
      </w:r>
    </w:p>
    <w:p>
      <w:pPr>
        <w:bidi/>
        <w:spacing w:after="120" w:line="360" w:lineRule="auto"/>
        <w:jc w:val="right"/>
      </w:pPr>
      <w:r>
        <w:rPr>
          <w:rFonts w:ascii="David" w:cs="David" w:eastAsia="David" w:hAnsi="David"/>
          <w:sz w:val="24"/>
          <w:szCs w:val="24"/>
          <w:rt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sz w:val="28"/>
          <w:szCs w:val="28"/>
          <w:rtl/>
        </w:rPr>
        <w:t xml:space="preserve">1. עדות הרצל: רשימת הגורמים ביומן (יוני 1895)</w:t>
      </w:r>
    </w:p>
    <w:p>
      <w:pPr>
        <w:bidi/>
        <w:spacing w:after="120" w:line="360" w:lineRule="auto"/>
        <w:jc w:val="right"/>
      </w:pPr>
      <w:r>
        <w:rPr>
          <w:rFonts w:ascii="David" w:cs="David" w:eastAsia="David" w:hAnsi="David"/>
          <w:sz w:val="24"/>
          <w:szCs w:val="24"/>
          <w:rt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(הרצל, 1895/1997, כרך א, רשימות הפתיחה; Herzl, 1960, vol. 1, pp. 3-12).</w:t>
      </w:r>
    </w:p>
    <w:p>
      <w:pPr>
        <w:bidi/>
        <w:spacing w:after="120" w:line="360" w:lineRule="auto"/>
        <w:jc w:val="right"/>
      </w:pPr>
      <w:r>
        <w:rPr>
          <w:rFonts w:ascii="David" w:cs="David" w:eastAsia="David" w:hAnsi="David"/>
          <w:sz w:val="24"/>
          <w:szCs w:val="24"/>
          <w:rt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(אבינרי, 2007, עמ' 93-108; Avineri, 1999, pp. 1-46).</w:t>
      </w:r>
    </w:p>
    <w:p>
      <w:pPr>
        <w:pStyle w:val="Heading2"/>
        <w:bidi/>
        <w:spacing w:after="160" w:before="240" w:line="360"/>
        <w:jc w:val="right"/>
      </w:pPr>
      <w:r>
        <w:rPr>
          <w:rFonts w:ascii="David" w:cs="David" w:eastAsia="David" w:hAnsi="David"/>
          <w:b/>
          <w:bCs/>
          <w:sz w:val="28"/>
          <w:szCs w:val="28"/>
          <w:rtl/>
        </w:rPr>
        <w:t xml:space="preserve">2. המפגשים המוקדמים: דירינג ואגודת "אלביה"</w:t>
      </w:r>
    </w:p>
    <w:p>
      <w:pPr>
        <w:bidi/>
        <w:spacing w:after="120" w:line="360" w:lineRule="auto"/>
        <w:jc w:val="right"/>
      </w:pPr>
      <w:r>
        <w:rPr>
          <w:rFonts w:ascii="David" w:cs="David" w:eastAsia="David" w:hAnsi="David"/>
          <w:sz w:val="24"/>
          <w:szCs w:val="24"/>
          <w:rt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(אבינרי, 2007, עמ' 34-41; Kornberg, 1993, pp. 42-58).</w:t>
      </w:r>
    </w:p>
    <w:p>
      <w:pPr>
        <w:bidi/>
        <w:spacing w:after="120" w:line="360" w:lineRule="auto"/>
        <w:jc w:val="right"/>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(Bein, 1941, pp. 41-54; Schorske, 1980, pp. 150-153).</w:t>
      </w:r>
    </w:p>
    <w:p>
      <w:pPr>
        <w:pStyle w:val="Heading2"/>
        <w:bidi/>
        <w:spacing w:after="160" w:before="240" w:line="360"/>
        <w:jc w:val="right"/>
      </w:pPr>
      <w:r>
        <w:rPr>
          <w:rFonts w:ascii="David" w:cs="David" w:eastAsia="David" w:hAnsi="David"/>
          <w:b/>
          <w:bCs/>
          <w:sz w:val="28"/>
          <w:szCs w:val="28"/>
          <w:rtl/>
        </w:rPr>
        <w:t xml:space="preserve">3. בית הספר של פריז: פרלמנט, המונים ודרימון</w:t>
      </w:r>
    </w:p>
    <w:p>
      <w:pPr>
        <w:bidi/>
        <w:spacing w:after="120" w:line="360" w:lineRule="auto"/>
        <w:jc w:val="right"/>
      </w:pPr>
      <w:r>
        <w:rPr>
          <w:rFonts w:ascii="David" w:cs="David" w:eastAsia="David" w:hAnsi="David"/>
          <w:sz w:val="24"/>
          <w:szCs w:val="24"/>
          <w:rt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(Elon, 1975, pp. 100-113; Penslar, 2020, pp. 40-48).</w:t>
      </w:r>
    </w:p>
    <w:p>
      <w:pPr>
        <w:bidi/>
        <w:spacing w:after="120" w:line="360" w:lineRule="auto"/>
        <w:jc w:val="right"/>
      </w:pPr>
      <w:r>
        <w:rPr>
          <w:rFonts w:ascii="David" w:cs="David" w:eastAsia="David" w:hAnsi="David"/>
          <w:sz w:val="24"/>
          <w:szCs w:val="24"/>
          <w:rt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(אבינרי, 2007, עמ' 57-70; Kornberg, 1993, pp. 115-133).</w:t>
      </w:r>
    </w:p>
    <w:p>
      <w:pPr>
        <w:bidi/>
        <w:spacing w:after="120" w:line="360" w:lineRule="auto"/>
        <w:jc w:val="right"/>
      </w:pPr>
      <w:r>
        <w:rPr>
          <w:rFonts w:ascii="David" w:cs="David" w:eastAsia="David" w:hAnsi="David"/>
          <w:sz w:val="24"/>
          <w:szCs w:val="24"/>
          <w:rt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(Herzl, 1960, vol. 1, p. 22; Kornberg, 1993, pp. 159-182; Herzl, 1988, pp. 80-83).</w:t>
      </w:r>
    </w:p>
    <w:p>
      <w:pPr>
        <w:pStyle w:val="Heading2"/>
        <w:bidi/>
        <w:spacing w:after="160" w:before="240" w:line="360"/>
        <w:jc w:val="right"/>
      </w:pPr>
      <w:r>
        <w:rPr>
          <w:rFonts w:ascii="David" w:cs="David" w:eastAsia="David" w:hAnsi="David"/>
          <w:b/>
          <w:bCs/>
          <w:sz w:val="28"/>
          <w:szCs w:val="28"/>
          <w:rtl/>
        </w:rPr>
        <w:t xml:space="preserve">4. המשבר האישי ו"הגטו החדש"</w:t>
      </w:r>
    </w:p>
    <w:p>
      <w:pPr>
        <w:bidi/>
        <w:spacing w:after="120" w:line="360" w:lineRule="auto"/>
        <w:jc w:val="right"/>
      </w:pPr>
      <w:r>
        <w:rPr>
          <w:rFonts w:ascii="David" w:cs="David" w:eastAsia="David" w:hAnsi="David"/>
          <w:sz w:val="24"/>
          <w:szCs w:val="24"/>
          <w:rt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(Elon, 1975, pp. 114-130; Penslar, 2020, pp. 49-70).</w:t>
      </w:r>
    </w:p>
    <w:p>
      <w:pPr>
        <w:bidi/>
        <w:spacing w:after="120" w:line="360" w:lineRule="auto"/>
        <w:jc w:val="right"/>
      </w:pPr>
      <w:r>
        <w:rPr>
          <w:rFonts w:ascii="David" w:cs="David" w:eastAsia="David" w:hAnsi="David"/>
          <w:sz w:val="24"/>
          <w:szCs w:val="24"/>
          <w:rt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(אבינרי, 2007, עמ' 71-83; Kornberg, 1993, pp. 134-158).</w:t>
      </w:r>
    </w:p>
    <w:p>
      <w:pPr>
        <w:bidi/>
        <w:spacing w:after="120" w:line="360" w:lineRule="auto"/>
        <w:jc w:val="right"/>
      </w:pPr>
      <w:r>
        <w:rPr>
          <w:rFonts w:ascii="David" w:cs="David" w:eastAsia="David" w:hAnsi="David"/>
          <w:sz w:val="24"/>
          <w:szCs w:val="24"/>
          <w:rt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(Pawel, 1989, pp. 189-202).</w:t>
      </w:r>
    </w:p>
    <w:p>
      <w:pPr>
        <w:pStyle w:val="Heading2"/>
        <w:bidi/>
        <w:spacing w:after="160" w:before="240" w:line="360"/>
        <w:jc w:val="right"/>
      </w:pPr>
      <w:r>
        <w:rPr>
          <w:rFonts w:ascii="David" w:cs="David" w:eastAsia="David" w:hAnsi="David"/>
          <w:b/>
          <w:bCs/>
          <w:sz w:val="28"/>
          <w:szCs w:val="28"/>
          <w:rtl/>
        </w:rPr>
        <w:t xml:space="preserve">5. וינה 1895: עליית לואגר</w:t>
      </w:r>
    </w:p>
    <w:p>
      <w:pPr>
        <w:bidi/>
        <w:spacing w:after="120" w:line="360" w:lineRule="auto"/>
        <w:jc w:val="right"/>
      </w:pPr>
      <w:r>
        <w:rPr>
          <w:rFonts w:ascii="David" w:cs="David" w:eastAsia="David" w:hAnsi="David"/>
          <w:sz w:val="24"/>
          <w:szCs w:val="24"/>
          <w:rt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(אבינרי, 2007, עמ' 100-108; הרצל, 1895/1997, כרך א, רשימות מיוני 1895).</w:t>
      </w:r>
    </w:p>
    <w:p>
      <w:pPr>
        <w:bidi/>
        <w:spacing w:after="120" w:line="360" w:lineRule="auto"/>
        <w:jc w:val="right"/>
      </w:pPr>
      <w:r>
        <w:rPr>
          <w:rFonts w:ascii="David" w:cs="David" w:eastAsia="David" w:hAnsi="David"/>
          <w:sz w:val="24"/>
          <w:szCs w:val="24"/>
          <w:rt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(Herzl, 1960, vol. 1, pp. 13-130; Pawel, 1989, pp. 218-240).</w:t>
      </w:r>
    </w:p>
    <w:p>
      <w:pPr>
        <w:pStyle w:val="Heading2"/>
        <w:bidi/>
        <w:spacing w:after="160" w:before="240" w:line="360"/>
        <w:jc w:val="right"/>
      </w:pPr>
      <w:r>
        <w:rPr>
          <w:rFonts w:ascii="David" w:cs="David" w:eastAsia="David" w:hAnsi="David"/>
          <w:b/>
          <w:bCs/>
          <w:sz w:val="28"/>
          <w:szCs w:val="28"/>
          <w:rtl/>
        </w:rPr>
        <w:t xml:space="preserve">6. הגורמים במחקר: קורנברג, אבינרי, שורסקה ובלר</w:t>
      </w:r>
    </w:p>
    <w:p>
      <w:pPr>
        <w:bidi/>
        <w:spacing w:after="120" w:line="360" w:lineRule="auto"/>
        <w:jc w:val="right"/>
      </w:pPr>
      <w:r>
        <w:rPr>
          <w:rFonts w:ascii="David" w:cs="David" w:eastAsia="David" w:hAnsi="David"/>
          <w:sz w:val="24"/>
          <w:szCs w:val="24"/>
          <w:rt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(Kornberg, 1980, pp. 226-252; Kornberg, 1993, pp. 183-202).</w:t>
      </w:r>
    </w:p>
    <w:p>
      <w:pPr>
        <w:bidi/>
        <w:spacing w:after="120" w:line="360" w:lineRule="auto"/>
        <w:jc w:val="right"/>
      </w:pPr>
      <w:r>
        <w:rPr>
          <w:rFonts w:ascii="David" w:cs="David" w:eastAsia="David" w:hAnsi="David"/>
          <w:sz w:val="24"/>
          <w:szCs w:val="24"/>
          <w:rt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(אבינרי, 2007, עמ' 84-108).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(Schorske, 1980, pp. 146-175). רוברט ויסטריך הדגיש אף הוא את המקור הווינאי ואת כישרונו של הרצל לבנות מיתוסים, ובכלל זה את מיתוס הולדתו שלו כציוני (Wistrich, 1995, pp. 1-37).</w:t>
      </w:r>
    </w:p>
    <w:p>
      <w:pPr>
        <w:bidi/>
        <w:spacing w:after="120" w:line="360" w:lineRule="auto"/>
        <w:jc w:val="right"/>
      </w:pPr>
      <w:r>
        <w:rPr>
          <w:rFonts w:ascii="David" w:cs="David" w:eastAsia="David" w:hAnsi="David"/>
          <w:sz w:val="24"/>
          <w:szCs w:val="24"/>
          <w:rt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(Beller, 1991, pp. 20-45).</w:t>
      </w:r>
    </w:p>
    <w:p>
      <w:pPr>
        <w:pStyle w:val="Heading2"/>
        <w:bidi/>
        <w:spacing w:after="160" w:before="240" w:line="360"/>
        <w:jc w:val="right"/>
      </w:pPr>
      <w:r>
        <w:rPr>
          <w:rFonts w:ascii="David" w:cs="David" w:eastAsia="David" w:hAnsi="David"/>
          <w:b/>
          <w:bCs/>
          <w:sz w:val="28"/>
          <w:szCs w:val="28"/>
          <w:rtl/>
        </w:rPr>
        <w:t xml:space="preserve">7. סיכום הפרק</w:t>
      </w:r>
    </w:p>
    <w:p>
      <w:pPr>
        <w:bidi/>
        <w:spacing w:after="120" w:line="360" w:lineRule="auto"/>
        <w:jc w:val="right"/>
      </w:pPr>
      <w:r>
        <w:rPr>
          <w:rFonts w:ascii="David" w:cs="David" w:eastAsia="David" w:hAnsi="David"/>
          <w:sz w:val="24"/>
          <w:szCs w:val="24"/>
          <w:rt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הרצל עצמו, כשמנה את הגורמים ביומנו, מנה את אלה ולא את דרייפוס. הפרק הבא יבחן מה מקומה של הפרשה לצדם.</w:t>
      </w:r>
    </w:p>
    <w:p>
      <w:pPr>
        <w:pStyle w:val="Heading1"/>
        <w:pageBreakBefore/>
        <w:bidi/>
        <w:spacing w:after="160" w:before="360" w:line="360"/>
        <w:jc w:val="right"/>
      </w:pPr>
      <w:r>
        <w:rPr>
          <w:rFonts w:ascii="David" w:cs="David" w:eastAsia="David" w:hAnsi="David"/>
          <w:b/>
          <w:bCs/>
          <w:sz w:val="32"/>
          <w:szCs w:val="32"/>
          <w:rtl/>
        </w:rPr>
        <w:t xml:space="preserve">פרק שלישי: פרשת דרייפוס והרצל</w:t>
      </w:r>
    </w:p>
    <w:p>
      <w:pPr>
        <w:bidi/>
        <w:spacing w:after="120" w:line="360" w:lineRule="auto"/>
        <w:jc w:val="right"/>
      </w:pPr>
      <w:r>
        <w:rPr>
          <w:rFonts w:ascii="David" w:cs="David" w:eastAsia="David" w:hAnsi="David"/>
          <w:sz w:val="24"/>
          <w:szCs w:val="24"/>
          <w:rt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sz w:val="28"/>
          <w:szCs w:val="28"/>
          <w:rtl/>
        </w:rPr>
        <w:t xml:space="preserve">1. השתלשלות הפרשה (1894-1906)</w:t>
      </w:r>
    </w:p>
    <w:p>
      <w:pPr>
        <w:bidi/>
        <w:spacing w:after="120" w:line="360" w:lineRule="auto"/>
        <w:jc w:val="right"/>
      </w:pPr>
      <w:r>
        <w:rPr>
          <w:rFonts w:ascii="David" w:cs="David" w:eastAsia="David" w:hAnsi="David"/>
          <w:sz w:val="24"/>
          <w:szCs w:val="24"/>
          <w:rt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(Bredin, 1986, pp. 59-95; Hyman, 1998, pp. 99-102).</w:t>
      </w:r>
    </w:p>
    <w:p>
      <w:pPr>
        <w:bidi/>
        <w:spacing w:after="120" w:line="360" w:lineRule="auto"/>
        <w:jc w:val="right"/>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(Bredin, 1986, pp. 96-128; Harris, 2010, pp. 20-43).</w:t>
      </w:r>
    </w:p>
    <w:p>
      <w:pPr>
        <w:bidi/>
        <w:spacing w:after="120" w:line="360" w:lineRule="auto"/>
        <w:jc w:val="right"/>
      </w:pPr>
      <w:r>
        <w:rPr>
          <w:rFonts w:ascii="David" w:cs="David" w:eastAsia="David" w:hAnsi="David"/>
          <w:sz w:val="24"/>
          <w:szCs w:val="24"/>
          <w:rt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(Lazare, 1896; Bredin, 1986, pp. 129-247).</w:t>
      </w:r>
    </w:p>
    <w:p>
      <w:pPr>
        <w:bidi/>
        <w:spacing w:after="120" w:line="360" w:lineRule="auto"/>
        <w:jc w:val="right"/>
      </w:pPr>
      <w:r>
        <w:rPr>
          <w:rFonts w:ascii="David" w:cs="David" w:eastAsia="David" w:hAnsi="David"/>
          <w:sz w:val="24"/>
          <w:szCs w:val="24"/>
          <w:rt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(Zola, 1898; Wilson, 1982, pp. 106-124; Harris, 2010, pp. 104-160).</w:t>
      </w:r>
    </w:p>
    <w:p>
      <w:pPr>
        <w:bidi/>
        <w:spacing w:after="120" w:line="360" w:lineRule="auto"/>
        <w:jc w:val="right"/>
      </w:pPr>
      <w:r>
        <w:rPr>
          <w:rFonts w:ascii="David" w:cs="David" w:eastAsia="David" w:hAnsi="David"/>
          <w:sz w:val="24"/>
          <w:szCs w:val="24"/>
          <w:rt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(מירון, 2022, עמ' 63; Bredin, 1986, pp. 379-485; Hyman, 1998, pp. 106-114).</w:t>
      </w:r>
    </w:p>
    <w:p>
      <w:pPr>
        <w:pStyle w:val="Heading2"/>
        <w:bidi/>
        <w:spacing w:after="160" w:before="240" w:line="360"/>
        <w:jc w:val="right"/>
      </w:pPr>
      <w:r>
        <w:rPr>
          <w:rFonts w:ascii="David" w:cs="David" w:eastAsia="David" w:hAnsi="David"/>
          <w:b/>
          <w:bCs/>
          <w:sz w:val="28"/>
          <w:szCs w:val="28"/>
          <w:rtl/>
        </w:rPr>
        <w:t xml:space="preserve">2. הרצל כעד: דיווחים, יומן ו"מדינת היהודים"</w:t>
      </w:r>
    </w:p>
    <w:p>
      <w:pPr>
        <w:bidi/>
        <w:spacing w:after="120" w:line="360" w:lineRule="auto"/>
        <w:jc w:val="right"/>
      </w:pPr>
      <w:r>
        <w:rPr>
          <w:rFonts w:ascii="David" w:cs="David" w:eastAsia="David" w:hAnsi="David"/>
          <w:sz w:val="24"/>
          <w:szCs w:val="24"/>
          <w:rt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ואת ניתוחם המדוקדק חבים אנו לקורנברג ולאבינרי.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גדעון קוץ, שבחן את הדיווחים במסגרת מחקרו על סיקור הפרשה בעיתונות היהודית, הגיע לאותה מסקנה: דיווחי הרצל לא נקטו עמדה בשאלת חפותו של הנאשם, הזכירו את יהדותו פעם אחת בלבד ונמנעו מלתאר תגובות אנטישמיות, גם בטקס שלילת הדרגה (אבינרי, 2007, עמ' 84-92; קוץ, 2014, עמ' 8; Kornberg, 1993, pp. 183-194).</w:t>
      </w:r>
    </w:p>
    <w:p>
      <w:pPr>
        <w:bidi/>
        <w:spacing w:after="120" w:line="360" w:lineRule="auto"/>
        <w:jc w:val="right"/>
      </w:pPr>
      <w:r>
        <w:rPr>
          <w:rFonts w:ascii="David" w:cs="David" w:eastAsia="David" w:hAnsi="David"/>
          <w:sz w:val="24"/>
          <w:szCs w:val="24"/>
          <w:rt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(הרצל, 1895/1997, כרך א; Herzl, 1960, vol. 1, pp. 3-130).</w:t>
      </w:r>
    </w:p>
    <w:p>
      <w:pPr>
        <w:bidi/>
        <w:spacing w:after="120" w:line="360" w:lineRule="auto"/>
        <w:jc w:val="right"/>
      </w:pPr>
      <w:r>
        <w:rPr>
          <w:rFonts w:ascii="David" w:cs="David" w:eastAsia="David" w:hAnsi="David"/>
          <w:sz w:val="24"/>
          <w:szCs w:val="24"/>
          <w:rt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(ויטל, 1978, עמ' 217-262; אבינרי, 1980, עמ' 107-124; Herzl, 1988, pp. 75-100).</w:t>
      </w:r>
    </w:p>
    <w:p>
      <w:pPr>
        <w:pStyle w:val="Heading2"/>
        <w:bidi/>
        <w:spacing w:after="160" w:before="240" w:line="360"/>
        <w:jc w:val="right"/>
      </w:pPr>
      <w:r>
        <w:rPr>
          <w:rFonts w:ascii="David" w:cs="David" w:eastAsia="David" w:hAnsi="David"/>
          <w:b/>
          <w:bCs/>
          <w:sz w:val="28"/>
          <w:szCs w:val="28"/>
          <w:rtl/>
        </w:rPr>
        <w:t xml:space="preserve">3. הפרשה חוזרת: 1897-1899 ומאמר "ציונות"</w:t>
      </w:r>
    </w:p>
    <w:p>
      <w:pPr>
        <w:bidi/>
        <w:spacing w:after="120" w:line="360" w:lineRule="auto"/>
        <w:jc w:val="right"/>
      </w:pPr>
      <w:r>
        <w:rPr>
          <w:rFonts w:ascii="David" w:cs="David" w:eastAsia="David" w:hAnsi="David"/>
          <w:sz w:val="24"/>
          <w:szCs w:val="24"/>
          <w:rt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לנג ציין שבקרב יהודי צרפת, שהגיבו על הפרשה "בדיסקרטיות רבה", נתקבלו מאמריו של הרצל על הפרשה בהסתייגות כבלתי מתאימים, בעוד דבריהם של לאזאר ושל ההיסטוריון יוסף ריינך נחשבו ראויים (לנג, 2014, עמ' 21; Elon, 1975, pp. 253-260; Hyman, 1998, pp. 104-106).</w:t>
      </w:r>
    </w:p>
    <w:p>
      <w:pPr>
        <w:bidi/>
        <w:spacing w:after="120" w:line="360" w:lineRule="auto"/>
        <w:jc w:val="right"/>
      </w:pPr>
      <w:r>
        <w:rPr>
          <w:rFonts w:ascii="David" w:cs="David" w:eastAsia="David" w:hAnsi="David"/>
          <w:sz w:val="24"/>
          <w:szCs w:val="24"/>
          <w:rtl/>
        </w:rPr>
        <w:t xml:space="preserve">עד ינואר 1898 היה "מקרה דרייפוס" עניין צרפתי בעיקרו. קוץ הראה שהעיתונות היהודית בצרפת טיפלה בראשית הפרשה בזהירות, מתוך הנחה שהפרשה גרמה להתפרצות האנטישמית ולא שהאנטישמיות הביאה לעלילה, ושבעיתונות העברית באירופה נחלקו העמדות לפי קו אידאולוגי: העיתונים הציוניים, "המליץ" ו"המגיד", ראו בדרייפוס קורבן לעלילה אנטישמית, ואילו "הצפירה" של נחום סוקולוב, שהאמין בעתיד היהודים כאזרחים שווים, נטה לקבל את הרשעתו. גם בארץ ישראל, כפי שהראה יוסף לנג, פירשה עיתונותו של אליעזר בן־יהודה את הפרשה בכלים לאומיים, ואברהם לודוויפול כתב ב"הצבי" שהתקרבותם של לאזאר ונורדאו לרעיון הלאומי נבעה מ"מדינת היהודים" של הרצל (קוץ, 2014, עמ' 14-15; לנג, 2014, עמ' 18-19). רק עם משפט זולא והמהומות נעשתה הפרשה לנושא הראשון במעלה בעיתונות האירופית והאמריקנית, והתמונה של "צרפת האנטישמית" התקבעה. הדיה הגיעו הרחק מעבר לצרפת ולעולם היהודי. אגניישקה פרידריך הראתה שהשבועון האנטישמי הוורשאי "רולה", שדיווח על המעצר כבר בנובמבר 1894 והפנה את תשומת הלב למוצאו היהודי של החשוד, השתמש בפרשה כהוכחה לבגידת היהודים והחזיק באשמתו של דרייפוס גם לאחר זיכויו הסופי, בעוד השבועון היהודי "איזראליטה" היה משוכנע בחפותו מן הרגע הראשון (פרידריך, 2014, עמ' 39-43). שאול סחייק מצא שגם העיתונות הערבית במצרים ובסוריה עקבה אחר הפרשה: רוב העיתונים החזיקו תחילה באשמת דרייפוס, אך עם התפתחות הפרשה מתחו ביקורת חריפה על ראשי השלטון והצבא בצרפת והביעו שאט נפש מגילויי השנאה נגד היהודים (סחייק, 1997, עמ' ריג-ריד).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(Cahm, 1996, pp. 49-68).</w:t>
      </w:r>
    </w:p>
    <w:p>
      <w:pPr>
        <w:bidi/>
        <w:spacing w:after="120" w:line="360" w:lineRule="auto"/>
        <w:jc w:val="right"/>
      </w:pPr>
      <w:r>
        <w:rPr>
          <w:rFonts w:ascii="David" w:cs="David" w:eastAsia="David" w:hAnsi="David"/>
          <w:sz w:val="24"/>
          <w:szCs w:val="24"/>
          <w:rt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(אבינרי, 2007, עמ' 86-90; Herzl, 1899, pp. 1-8).</w:t>
      </w:r>
    </w:p>
    <w:p>
      <w:pPr>
        <w:pStyle w:val="Heading2"/>
        <w:bidi/>
        <w:spacing w:after="160" w:before="240" w:line="360"/>
        <w:jc w:val="right"/>
      </w:pPr>
      <w:r>
        <w:rPr>
          <w:rFonts w:ascii="David" w:cs="David" w:eastAsia="David" w:hAnsi="David"/>
          <w:b/>
          <w:bCs/>
          <w:sz w:val="28"/>
          <w:szCs w:val="28"/>
          <w:rtl/>
        </w:rPr>
        <w:t xml:space="preserve">4. הוויכוח ההיסטוריוגרפי</w:t>
      </w:r>
    </w:p>
    <w:p>
      <w:pPr>
        <w:bidi/>
        <w:spacing w:after="120" w:line="360" w:lineRule="auto"/>
        <w:jc w:val="right"/>
      </w:pPr>
      <w:r>
        <w:rPr>
          <w:rFonts w:ascii="David" w:cs="David" w:eastAsia="David" w:hAnsi="David"/>
          <w:sz w:val="24"/>
          <w:szCs w:val="24"/>
          <w:rt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(Bein, 1941, pp. 95-124; Elon, 1975, pp. 114-130; Stewart, 1974, pp. 155-182).</w:t>
      </w:r>
    </w:p>
    <w:p>
      <w:pPr>
        <w:bidi/>
        <w:spacing w:after="120" w:line="360" w:lineRule="auto"/>
        <w:jc w:val="right"/>
      </w:pPr>
      <w:r>
        <w:rPr>
          <w:rFonts w:ascii="David" w:cs="David" w:eastAsia="David" w:hAnsi="David"/>
          <w:sz w:val="24"/>
          <w:szCs w:val="24"/>
          <w:rt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(השל, תש"ף, עמ' 5-30; Penslar, 2020, pp. 49-70).</w:t>
      </w:r>
    </w:p>
    <w:p>
      <w:pPr>
        <w:pStyle w:val="Heading2"/>
        <w:bidi/>
        <w:spacing w:after="160" w:before="240" w:line="360"/>
        <w:jc w:val="right"/>
      </w:pPr>
      <w:r>
        <w:rPr>
          <w:rFonts w:ascii="David" w:cs="David" w:eastAsia="David" w:hAnsi="David"/>
          <w:b/>
          <w:bCs/>
          <w:sz w:val="28"/>
          <w:szCs w:val="28"/>
          <w:rtl/>
        </w:rPr>
        <w:t xml:space="preserve">5. הערכה: שני שלבים</w:t>
      </w:r>
    </w:p>
    <w:p>
      <w:pPr>
        <w:bidi/>
        <w:spacing w:after="120" w:line="360" w:lineRule="auto"/>
        <w:jc w:val="right"/>
      </w:pPr>
      <w:r>
        <w:rPr>
          <w:rFonts w:ascii="David" w:cs="David" w:eastAsia="David" w:hAnsi="David"/>
          <w:sz w:val="24"/>
          <w:szCs w:val="24"/>
          <w:rt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w:t>
      </w:r>
    </w:p>
    <w:p>
      <w:pPr>
        <w:bidi/>
        <w:spacing w:after="120" w:line="360" w:lineRule="auto"/>
        <w:jc w:val="right"/>
      </w:pPr>
      <w:r>
        <w:rPr>
          <w:rFonts w:ascii="David" w:cs="David" w:eastAsia="David" w:hAnsi="David"/>
          <w:sz w:val="24"/>
          <w:szCs w:val="24"/>
          <w:rt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(Wistrich, 1995, pp. 1-37; Penslar, 2020, pp. 60-70).</w:t>
      </w:r>
    </w:p>
    <w:p>
      <w:pPr>
        <w:pStyle w:val="Heading1"/>
        <w:pageBreakBefore/>
        <w:bidi/>
        <w:spacing w:after="160" w:before="360" w:line="360"/>
        <w:jc w:val="right"/>
      </w:pPr>
      <w:r>
        <w:rPr>
          <w:rFonts w:ascii="David" w:cs="David" w:eastAsia="David" w:hAnsi="David"/>
          <w:b/>
          <w:bCs/>
          <w:sz w:val="32"/>
          <w:szCs w:val="32"/>
          <w:rtl/>
        </w:rPr>
        <w:t xml:space="preserve">סיכום</w:t>
      </w:r>
    </w:p>
    <w:p>
      <w:pPr>
        <w:bidi/>
        <w:spacing w:after="120" w:line="360" w:lineRule="auto"/>
        <w:jc w:val="right"/>
      </w:pPr>
      <w:r>
        <w:rPr>
          <w:rFonts w:ascii="David" w:cs="David" w:eastAsia="David" w:hAnsi="David"/>
          <w:sz w:val="24"/>
          <w:szCs w:val="24"/>
          <w:rt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right"/>
      </w:pPr>
      <w:r>
        <w:rPr>
          <w:rFonts w:ascii="David" w:cs="David" w:eastAsia="David" w:hAnsi="David"/>
          <w:sz w:val="24"/>
          <w:szCs w:val="24"/>
          <w:rt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right"/>
      </w:pPr>
      <w:r>
        <w:rPr>
          <w:rFonts w:ascii="David" w:cs="David" w:eastAsia="David" w:hAnsi="David"/>
          <w:sz w:val="24"/>
          <w:szCs w:val="24"/>
          <w:rt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right"/>
      </w:pPr>
      <w:r>
        <w:rPr>
          <w:rFonts w:ascii="David" w:cs="David" w:eastAsia="David" w:hAnsi="David"/>
          <w:sz w:val="24"/>
          <w:szCs w:val="24"/>
          <w:rt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right"/>
      </w:pPr>
      <w:r>
        <w:rPr>
          <w:rFonts w:ascii="David" w:cs="David" w:eastAsia="David" w:hAnsi="David"/>
          <w:sz w:val="24"/>
          <w:szCs w:val="24"/>
          <w:rt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לנג, י' (2014). תגובות העיתונות העברית בארץ ישראל על פרשת דרייפוס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16-29.</w:t>
      </w:r>
    </w:p>
    <w:p>
      <w:pPr>
        <w:bidi/>
        <w:spacing w:after="240" w:line="240" w:lineRule="auto"/>
        <w:ind w:left="720" w:hanging="720"/>
        <w:jc w:val="right"/>
      </w:pPr>
      <w:r>
        <w:rPr>
          <w:rFonts w:ascii="David" w:cs="David" w:eastAsia="David" w:hAnsi="David"/>
          <w:sz w:val="24"/>
          <w:szCs w:val="24"/>
          <w:rtl/>
        </w:rPr>
        <w:t xml:space="preserve">סחייק, ש' (1997). פרשת דרייפוס בעיתונות הערבית. </w:t>
      </w:r>
      <w:r>
        <w:rPr>
          <w:rFonts w:ascii="David" w:cs="David" w:eastAsia="David" w:hAnsi="David"/>
          <w:b/>
          <w:bCs/>
          <w:i w:val="false"/>
          <w:iCs w:val="false"/>
          <w:sz w:val="24"/>
          <w:szCs w:val="24"/>
          <w:rtl/>
        </w:rPr>
        <w:t xml:space="preserve">מיכאל: מאסף לתולדות היהודים בתפוצות</w:t>
      </w:r>
      <w:r>
        <w:rPr>
          <w:rFonts w:ascii="David" w:cs="David" w:eastAsia="David" w:hAnsi="David"/>
          <w:sz w:val="24"/>
          <w:szCs w:val="24"/>
          <w:rtl/>
        </w:rPr>
        <w:t xml:space="preserve">, יד, קפז-ריד.</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spacing w:after="240" w:line="240" w:lineRule="auto"/>
        <w:ind w:left="720" w:hanging="720"/>
        <w:jc w:val="right"/>
      </w:pPr>
      <w:r>
        <w:rPr>
          <w:rFonts w:ascii="David" w:cs="David" w:eastAsia="David" w:hAnsi="David"/>
          <w:sz w:val="24"/>
          <w:szCs w:val="24"/>
          <w:rtl/>
        </w:rPr>
        <w:t xml:space="preserve">פרידריך, א' (2014). פרשת דרייפוס וכתב העת הוורשאי Rola בין השנים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39-43.</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כוחן של אידאולוגיות.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4-15.</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2026-09-19T09:28:10.839Z</dcterms:created>
  <dcterms:modified xsi:type="dcterms:W3CDTF">2026-09-19T09:28:10.842Z</dcterms:modified>
</cp:coreProperties>
</file>

<file path=docProps/custom.xml><?xml version="1.0" encoding="utf-8"?>
<Properties xmlns="http://schemas.openxmlformats.org/officeDocument/2006/custom-properties" xmlns:vt="http://schemas.openxmlformats.org/officeDocument/2006/docPropsVTypes"/>
</file>